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47" w:rsidRPr="000E6A4A" w:rsidRDefault="00E17747" w:rsidP="00FB70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color w:val="FF0000"/>
          <w:sz w:val="20"/>
          <w:szCs w:val="20"/>
          <w:lang w:val="fr-CA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76"/>
      </w:tblGrid>
      <w:tr w:rsidR="00E17747" w:rsidRPr="000E6A4A" w:rsidTr="006D6E0E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E17747" w:rsidRPr="000E6A4A" w:rsidRDefault="00E17747" w:rsidP="00C532F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 Comité de consultation patronale-syndicale du </w:t>
            </w:r>
            <w:r w:rsidR="00C532F8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P</w:t>
            </w: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rogramme du </w:t>
            </w:r>
            <w:r w:rsidR="00C532F8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t</w:t>
            </w: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ravail (CCPSPT)</w:t>
            </w:r>
          </w:p>
        </w:tc>
      </w:tr>
      <w:tr w:rsidR="00E17747" w:rsidRPr="000E6A4A" w:rsidTr="006D6E0E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E17747" w:rsidRPr="000E6A4A" w:rsidRDefault="00E17747" w:rsidP="006D6E0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Procès-verbal</w:t>
            </w:r>
          </w:p>
          <w:p w:rsidR="00E17747" w:rsidRPr="000E6A4A" w:rsidRDefault="00E17747" w:rsidP="006D6E0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Réunion du 4 décembre 2017</w:t>
            </w:r>
          </w:p>
        </w:tc>
      </w:tr>
    </w:tbl>
    <w:p w:rsidR="00E17747" w:rsidRPr="000E6A4A" w:rsidRDefault="00E17747" w:rsidP="00FB70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aps/>
          <w:sz w:val="20"/>
          <w:szCs w:val="20"/>
          <w:highlight w:val="yellow"/>
          <w:u w:val="single"/>
          <w:lang w:val="fr-CA"/>
        </w:rPr>
      </w:pPr>
    </w:p>
    <w:p w:rsidR="00E17747" w:rsidRPr="000E6A4A" w:rsidRDefault="00E17747" w:rsidP="00FB70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aps/>
          <w:sz w:val="20"/>
          <w:szCs w:val="20"/>
          <w:lang w:val="fr-CA"/>
        </w:rPr>
      </w:pPr>
      <w:r w:rsidRPr="000E6A4A">
        <w:rPr>
          <w:rFonts w:ascii="Calibri" w:hAnsi="Calibri" w:cs="Calibri"/>
          <w:b/>
          <w:bCs/>
          <w:caps/>
          <w:sz w:val="20"/>
          <w:szCs w:val="20"/>
          <w:u w:val="single"/>
          <w:lang w:val="fr-CA"/>
        </w:rPr>
        <w:t>Représentants de la direction</w:t>
      </w:r>
      <w:r w:rsidR="00E612C9" w:rsidRPr="00124D1C">
        <w:rPr>
          <w:rFonts w:ascii="Calibri" w:hAnsi="Calibri" w:cs="Calibri"/>
          <w:b/>
          <w:bCs/>
          <w:caps/>
          <w:sz w:val="20"/>
          <w:szCs w:val="20"/>
          <w:lang w:val="fr-CA"/>
        </w:rPr>
        <w:t> </w:t>
      </w:r>
      <w:r w:rsidRPr="00124D1C">
        <w:rPr>
          <w:rFonts w:ascii="Calibri" w:hAnsi="Calibri" w:cs="Calibri"/>
          <w:caps/>
          <w:sz w:val="20"/>
          <w:szCs w:val="20"/>
          <w:lang w:val="fr-CA"/>
        </w:rPr>
        <w:t>:</w:t>
      </w:r>
    </w:p>
    <w:p w:rsidR="00E17747" w:rsidRPr="000E6A4A" w:rsidRDefault="00E17747" w:rsidP="00FB70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  <w:lang w:val="fr-CA"/>
        </w:rPr>
      </w:pPr>
    </w:p>
    <w:p w:rsidR="00E17747" w:rsidRPr="000E6A4A" w:rsidRDefault="00E17747" w:rsidP="00CB137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fr-CA"/>
        </w:rPr>
      </w:pPr>
      <w:r w:rsidRPr="000E6A4A">
        <w:rPr>
          <w:rFonts w:ascii="Calibri" w:hAnsi="Calibri" w:cs="Calibri"/>
          <w:b/>
          <w:bCs/>
          <w:sz w:val="20"/>
          <w:szCs w:val="20"/>
          <w:lang w:val="fr-CA"/>
        </w:rPr>
        <w:t xml:space="preserve">Gary Robertson </w:t>
      </w:r>
      <w:r w:rsidRPr="00922E01">
        <w:rPr>
          <w:rFonts w:ascii="Calibri" w:hAnsi="Calibri" w:cs="Calibri"/>
          <w:sz w:val="20"/>
          <w:szCs w:val="20"/>
          <w:lang w:val="fr-CA"/>
        </w:rPr>
        <w:t>pour Lori Sterling, sous-ministre</w:t>
      </w:r>
      <w:r w:rsidRPr="000E6A4A">
        <w:rPr>
          <w:rFonts w:ascii="Calibri" w:hAnsi="Calibri" w:cs="Calibri"/>
          <w:b/>
          <w:bCs/>
          <w:sz w:val="20"/>
          <w:szCs w:val="20"/>
          <w:lang w:val="fr-CA"/>
        </w:rPr>
        <w:t xml:space="preserve"> </w:t>
      </w:r>
      <w:r w:rsidRPr="000E6A4A">
        <w:rPr>
          <w:rFonts w:ascii="Calibri" w:hAnsi="Calibri" w:cs="Calibri"/>
          <w:sz w:val="20"/>
          <w:szCs w:val="20"/>
          <w:lang w:val="fr-CA"/>
        </w:rPr>
        <w:t>adjoint</w:t>
      </w:r>
      <w:r w:rsidR="00922E01">
        <w:rPr>
          <w:rFonts w:ascii="Calibri" w:hAnsi="Calibri" w:cs="Calibri"/>
          <w:sz w:val="20"/>
          <w:szCs w:val="20"/>
          <w:lang w:val="fr-CA"/>
        </w:rPr>
        <w:t>e</w:t>
      </w:r>
      <w:r w:rsidRPr="000E6A4A">
        <w:rPr>
          <w:rFonts w:ascii="Calibri" w:hAnsi="Calibri" w:cs="Calibri"/>
          <w:sz w:val="20"/>
          <w:szCs w:val="20"/>
          <w:lang w:val="fr-CA"/>
        </w:rPr>
        <w:t>, Conformité, Opérations et Développement d</w:t>
      </w:r>
      <w:r w:rsidR="00922E01">
        <w:rPr>
          <w:rFonts w:ascii="Calibri" w:hAnsi="Calibri" w:cs="Calibri"/>
          <w:sz w:val="20"/>
          <w:szCs w:val="20"/>
          <w:lang w:val="fr-CA"/>
        </w:rPr>
        <w:t>u programme</w:t>
      </w:r>
      <w:r w:rsidRPr="000E6A4A">
        <w:rPr>
          <w:rFonts w:ascii="Calibri" w:hAnsi="Calibri" w:cs="Calibri"/>
          <w:sz w:val="20"/>
          <w:szCs w:val="20"/>
          <w:lang w:val="fr-CA"/>
        </w:rPr>
        <w:t xml:space="preserve">, Programme du </w:t>
      </w:r>
      <w:r w:rsidR="00CB1372">
        <w:rPr>
          <w:rFonts w:ascii="Calibri" w:hAnsi="Calibri" w:cs="Calibri"/>
          <w:sz w:val="20"/>
          <w:szCs w:val="20"/>
          <w:lang w:val="fr-CA"/>
        </w:rPr>
        <w:t>t</w:t>
      </w:r>
      <w:r w:rsidRPr="000E6A4A">
        <w:rPr>
          <w:rFonts w:ascii="Calibri" w:hAnsi="Calibri" w:cs="Calibri"/>
          <w:sz w:val="20"/>
          <w:szCs w:val="20"/>
          <w:lang w:val="fr-CA"/>
        </w:rPr>
        <w:t>ravail</w:t>
      </w:r>
    </w:p>
    <w:p w:rsidR="00E17747" w:rsidRPr="000E6A4A" w:rsidRDefault="00E17747" w:rsidP="00FB70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fr-CA"/>
        </w:rPr>
      </w:pPr>
      <w:r w:rsidRPr="000E6A4A">
        <w:rPr>
          <w:rFonts w:ascii="Calibri" w:hAnsi="Calibri" w:cs="Calibri"/>
          <w:b/>
          <w:bCs/>
          <w:sz w:val="20"/>
          <w:szCs w:val="20"/>
          <w:lang w:val="fr-CA"/>
        </w:rPr>
        <w:t>Anthony</w:t>
      </w:r>
      <w:r w:rsidR="00E612C9">
        <w:rPr>
          <w:rFonts w:ascii="Calibri" w:hAnsi="Calibri" w:cs="Calibri"/>
          <w:b/>
          <w:bCs/>
          <w:sz w:val="20"/>
          <w:szCs w:val="20"/>
          <w:lang w:val="fr-CA"/>
        </w:rPr>
        <w:t> </w:t>
      </w:r>
      <w:r w:rsidRPr="000E6A4A">
        <w:rPr>
          <w:rFonts w:ascii="Calibri" w:hAnsi="Calibri" w:cs="Calibri"/>
          <w:b/>
          <w:bCs/>
          <w:sz w:val="20"/>
          <w:szCs w:val="20"/>
          <w:lang w:val="fr-CA"/>
        </w:rPr>
        <w:t>Giles</w:t>
      </w:r>
      <w:r w:rsidRPr="000E6A4A">
        <w:rPr>
          <w:rFonts w:ascii="Calibri" w:hAnsi="Calibri" w:cs="Calibri"/>
          <w:sz w:val="20"/>
          <w:szCs w:val="20"/>
          <w:lang w:val="fr-CA"/>
        </w:rPr>
        <w:t>, sous-ministre adjoint, Politique, Règlement des différends et Affaires internationales, Programme du travail</w:t>
      </w:r>
    </w:p>
    <w:p w:rsidR="00E17747" w:rsidRPr="000E6A4A" w:rsidRDefault="00E17747" w:rsidP="00CB137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fr-CA"/>
        </w:rPr>
      </w:pPr>
      <w:r w:rsidRPr="000E6A4A">
        <w:rPr>
          <w:rFonts w:ascii="Calibri" w:hAnsi="Calibri" w:cs="Calibri"/>
          <w:b/>
          <w:bCs/>
          <w:sz w:val="20"/>
          <w:szCs w:val="20"/>
          <w:lang w:val="fr-CA"/>
        </w:rPr>
        <w:t>Lyne</w:t>
      </w:r>
      <w:r w:rsidR="00E612C9">
        <w:rPr>
          <w:rFonts w:ascii="Calibri" w:hAnsi="Calibri" w:cs="Calibri"/>
          <w:b/>
          <w:bCs/>
          <w:sz w:val="20"/>
          <w:szCs w:val="20"/>
          <w:lang w:val="fr-CA"/>
        </w:rPr>
        <w:t> </w:t>
      </w:r>
      <w:r w:rsidRPr="000E6A4A">
        <w:rPr>
          <w:rFonts w:ascii="Calibri" w:hAnsi="Calibri" w:cs="Calibri"/>
          <w:b/>
          <w:bCs/>
          <w:sz w:val="20"/>
          <w:szCs w:val="20"/>
          <w:lang w:val="fr-CA"/>
        </w:rPr>
        <w:t>Bourget,</w:t>
      </w:r>
      <w:r w:rsidRPr="000E6A4A">
        <w:rPr>
          <w:rFonts w:ascii="Calibri" w:hAnsi="Calibri" w:cs="Calibri"/>
          <w:sz w:val="20"/>
          <w:szCs w:val="20"/>
          <w:lang w:val="fr-CA"/>
        </w:rPr>
        <w:t xml:space="preserve"> directrice générale, Direction de l’intégration stratégique, de la planification et du renouvellement, Programme du </w:t>
      </w:r>
      <w:r w:rsidR="00CB1372">
        <w:rPr>
          <w:rFonts w:ascii="Calibri" w:hAnsi="Calibri" w:cs="Calibri"/>
          <w:sz w:val="20"/>
          <w:szCs w:val="20"/>
          <w:lang w:val="fr-CA"/>
        </w:rPr>
        <w:t>t</w:t>
      </w:r>
      <w:r w:rsidRPr="000E6A4A">
        <w:rPr>
          <w:rFonts w:ascii="Calibri" w:hAnsi="Calibri" w:cs="Calibri"/>
          <w:sz w:val="20"/>
          <w:szCs w:val="20"/>
          <w:lang w:val="fr-CA"/>
        </w:rPr>
        <w:t>ravail</w:t>
      </w:r>
    </w:p>
    <w:p w:rsidR="00E17747" w:rsidRPr="000E6A4A" w:rsidRDefault="00E17747" w:rsidP="00CB137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fr-CA"/>
        </w:rPr>
      </w:pPr>
      <w:r w:rsidRPr="000E6A4A">
        <w:rPr>
          <w:rFonts w:ascii="Calibri" w:hAnsi="Calibri" w:cs="Calibri"/>
          <w:b/>
          <w:bCs/>
          <w:sz w:val="20"/>
          <w:szCs w:val="20"/>
          <w:lang w:val="fr-CA"/>
        </w:rPr>
        <w:t>Annik</w:t>
      </w:r>
      <w:r w:rsidR="00E612C9">
        <w:rPr>
          <w:rFonts w:ascii="Calibri" w:hAnsi="Calibri" w:cs="Calibri"/>
          <w:b/>
          <w:bCs/>
          <w:sz w:val="20"/>
          <w:szCs w:val="20"/>
          <w:lang w:val="fr-CA"/>
        </w:rPr>
        <w:t> </w:t>
      </w:r>
      <w:r w:rsidRPr="000E6A4A">
        <w:rPr>
          <w:rFonts w:ascii="Calibri" w:hAnsi="Calibri" w:cs="Calibri"/>
          <w:b/>
          <w:bCs/>
          <w:sz w:val="20"/>
          <w:szCs w:val="20"/>
          <w:lang w:val="fr-CA"/>
        </w:rPr>
        <w:t>Wilson</w:t>
      </w:r>
      <w:r w:rsidRPr="000E6A4A">
        <w:rPr>
          <w:rFonts w:ascii="Calibri" w:hAnsi="Calibri" w:cs="Calibri"/>
          <w:sz w:val="20"/>
          <w:szCs w:val="20"/>
          <w:lang w:val="fr-CA"/>
        </w:rPr>
        <w:t xml:space="preserve">, directrice générale, </w:t>
      </w:r>
      <w:r w:rsidR="00922E01" w:rsidRPr="00922E01">
        <w:rPr>
          <w:rFonts w:ascii="Calibri" w:hAnsi="Calibri" w:cs="Calibri"/>
          <w:sz w:val="20"/>
          <w:szCs w:val="20"/>
          <w:lang w:val="fr-CA"/>
        </w:rPr>
        <w:t>Direction de la conformité et des opérations régionales</w:t>
      </w:r>
      <w:r w:rsidRPr="000E6A4A">
        <w:rPr>
          <w:rFonts w:ascii="Calibri" w:hAnsi="Calibri" w:cs="Calibri"/>
          <w:sz w:val="20"/>
          <w:szCs w:val="20"/>
          <w:lang w:val="fr-CA"/>
        </w:rPr>
        <w:t xml:space="preserve">, Programme du </w:t>
      </w:r>
      <w:r w:rsidR="00CB1372">
        <w:rPr>
          <w:rFonts w:ascii="Calibri" w:hAnsi="Calibri" w:cs="Calibri"/>
          <w:sz w:val="20"/>
          <w:szCs w:val="20"/>
          <w:lang w:val="fr-CA"/>
        </w:rPr>
        <w:t>t</w:t>
      </w:r>
      <w:r w:rsidRPr="000E6A4A">
        <w:rPr>
          <w:rFonts w:ascii="Calibri" w:hAnsi="Calibri" w:cs="Calibri"/>
          <w:sz w:val="20"/>
          <w:szCs w:val="20"/>
          <w:lang w:val="fr-CA"/>
        </w:rPr>
        <w:t>ravail</w:t>
      </w:r>
    </w:p>
    <w:p w:rsidR="00E17747" w:rsidRPr="000E6A4A" w:rsidRDefault="00E17747" w:rsidP="00CB137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fr-CA"/>
        </w:rPr>
      </w:pPr>
      <w:r w:rsidRPr="000E6A4A">
        <w:rPr>
          <w:rFonts w:ascii="Calibri" w:hAnsi="Calibri" w:cs="Calibri"/>
          <w:b/>
          <w:sz w:val="20"/>
          <w:szCs w:val="20"/>
          <w:lang w:val="fr-CA"/>
        </w:rPr>
        <w:t>Mary</w:t>
      </w:r>
      <w:r w:rsidR="00E612C9">
        <w:rPr>
          <w:rFonts w:ascii="Calibri" w:hAnsi="Calibri" w:cs="Calibri"/>
          <w:b/>
          <w:sz w:val="20"/>
          <w:szCs w:val="20"/>
          <w:lang w:val="fr-CA"/>
        </w:rPr>
        <w:t> </w:t>
      </w:r>
      <w:r w:rsidRPr="000E6A4A">
        <w:rPr>
          <w:rFonts w:ascii="Calibri" w:hAnsi="Calibri" w:cs="Calibri"/>
          <w:b/>
          <w:sz w:val="20"/>
          <w:szCs w:val="20"/>
          <w:lang w:val="fr-CA"/>
        </w:rPr>
        <w:t>Donaghy</w:t>
      </w:r>
      <w:r w:rsidRPr="000E6A4A">
        <w:rPr>
          <w:rFonts w:ascii="Calibri" w:hAnsi="Calibri" w:cs="Calibri"/>
          <w:sz w:val="20"/>
          <w:szCs w:val="20"/>
          <w:lang w:val="fr-CA"/>
        </w:rPr>
        <w:t xml:space="preserve">, directrice générale, </w:t>
      </w:r>
      <w:r w:rsidR="00922E01" w:rsidRPr="00922E01">
        <w:rPr>
          <w:rFonts w:ascii="Calibri" w:hAnsi="Calibri" w:cs="Calibri"/>
          <w:sz w:val="20"/>
          <w:szCs w:val="20"/>
          <w:lang w:val="fr-CA"/>
        </w:rPr>
        <w:t>Direction de la conformité et des opérations régionales</w:t>
      </w:r>
      <w:r w:rsidRPr="000E6A4A">
        <w:rPr>
          <w:rFonts w:ascii="Calibri" w:hAnsi="Calibri" w:cs="Calibri"/>
          <w:sz w:val="20"/>
          <w:szCs w:val="20"/>
          <w:lang w:val="fr-CA"/>
        </w:rPr>
        <w:t xml:space="preserve">, Programme du </w:t>
      </w:r>
      <w:r w:rsidR="00CB1372">
        <w:rPr>
          <w:rFonts w:ascii="Calibri" w:hAnsi="Calibri" w:cs="Calibri"/>
          <w:sz w:val="20"/>
          <w:szCs w:val="20"/>
          <w:lang w:val="fr-CA"/>
        </w:rPr>
        <w:t>t</w:t>
      </w:r>
      <w:r w:rsidRPr="000E6A4A">
        <w:rPr>
          <w:rFonts w:ascii="Calibri" w:hAnsi="Calibri" w:cs="Calibri"/>
          <w:sz w:val="20"/>
          <w:szCs w:val="20"/>
          <w:lang w:val="fr-CA"/>
        </w:rPr>
        <w:t>ravail</w:t>
      </w:r>
    </w:p>
    <w:p w:rsidR="00E17747" w:rsidRPr="000E6A4A" w:rsidRDefault="00E17747" w:rsidP="00FB70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  <w:u w:val="single"/>
          <w:lang w:val="fr-CA"/>
        </w:rPr>
      </w:pPr>
    </w:p>
    <w:p w:rsidR="00E17747" w:rsidRPr="000E6A4A" w:rsidRDefault="00E17747" w:rsidP="00922E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  <w:lang w:val="fr-CA"/>
        </w:rPr>
      </w:pPr>
      <w:r w:rsidRPr="000E6A4A">
        <w:rPr>
          <w:rFonts w:ascii="Calibri" w:hAnsi="Calibri" w:cs="Calibri"/>
          <w:b/>
          <w:bCs/>
          <w:sz w:val="20"/>
          <w:szCs w:val="20"/>
          <w:u w:val="single"/>
          <w:lang w:val="fr-CA"/>
        </w:rPr>
        <w:t>REPRÉSENTANTS SYNDICA</w:t>
      </w:r>
      <w:r w:rsidR="00922E01">
        <w:rPr>
          <w:rFonts w:ascii="Calibri" w:hAnsi="Calibri" w:cs="Calibri"/>
          <w:b/>
          <w:bCs/>
          <w:sz w:val="20"/>
          <w:szCs w:val="20"/>
          <w:u w:val="single"/>
          <w:lang w:val="fr-CA"/>
        </w:rPr>
        <w:t>UX</w:t>
      </w:r>
      <w:r w:rsidR="00E612C9" w:rsidRPr="00124D1C">
        <w:rPr>
          <w:rFonts w:ascii="Calibri" w:hAnsi="Calibri" w:cs="Calibri"/>
          <w:b/>
          <w:bCs/>
          <w:sz w:val="20"/>
          <w:szCs w:val="20"/>
          <w:lang w:val="fr-CA"/>
        </w:rPr>
        <w:t> </w:t>
      </w:r>
      <w:r w:rsidRPr="00124D1C">
        <w:rPr>
          <w:rFonts w:ascii="Calibri" w:hAnsi="Calibri" w:cs="Calibri"/>
          <w:b/>
          <w:bCs/>
          <w:sz w:val="20"/>
          <w:szCs w:val="20"/>
          <w:lang w:val="fr-CA"/>
        </w:rPr>
        <w:t>:</w:t>
      </w:r>
    </w:p>
    <w:p w:rsidR="00E17747" w:rsidRPr="000E6A4A" w:rsidRDefault="00E17747" w:rsidP="00FB70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  <w:lang w:val="fr-CA"/>
        </w:rPr>
      </w:pPr>
    </w:p>
    <w:p w:rsidR="00E17747" w:rsidRPr="00922E01" w:rsidRDefault="00E17747" w:rsidP="00FB70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fr-CA"/>
        </w:rPr>
      </w:pPr>
      <w:r w:rsidRPr="000E6A4A">
        <w:rPr>
          <w:rFonts w:ascii="Calibri" w:hAnsi="Calibri" w:cs="Calibri"/>
          <w:b/>
          <w:bCs/>
          <w:sz w:val="20"/>
          <w:szCs w:val="20"/>
          <w:lang w:val="fr-CA"/>
        </w:rPr>
        <w:t>Kevin</w:t>
      </w:r>
      <w:r w:rsidR="00E612C9">
        <w:rPr>
          <w:rFonts w:ascii="Calibri" w:hAnsi="Calibri" w:cs="Calibri"/>
          <w:b/>
          <w:bCs/>
          <w:sz w:val="20"/>
          <w:szCs w:val="20"/>
          <w:lang w:val="fr-CA"/>
        </w:rPr>
        <w:t> </w:t>
      </w:r>
      <w:r w:rsidRPr="000E6A4A">
        <w:rPr>
          <w:rFonts w:ascii="Calibri" w:hAnsi="Calibri" w:cs="Calibri"/>
          <w:b/>
          <w:bCs/>
          <w:sz w:val="20"/>
          <w:szCs w:val="20"/>
          <w:lang w:val="fr-CA"/>
        </w:rPr>
        <w:t>King</w:t>
      </w:r>
      <w:r w:rsidRPr="00922E01">
        <w:rPr>
          <w:rFonts w:ascii="Calibri" w:hAnsi="Calibri" w:cs="Calibri"/>
          <w:sz w:val="20"/>
          <w:szCs w:val="20"/>
          <w:lang w:val="fr-CA"/>
        </w:rPr>
        <w:t>, président national, SEN – AFPC</w:t>
      </w:r>
    </w:p>
    <w:p w:rsidR="00E17747" w:rsidRPr="000E6A4A" w:rsidRDefault="00E17747" w:rsidP="00FB70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fr-CA"/>
        </w:rPr>
      </w:pPr>
      <w:r w:rsidRPr="000E6A4A">
        <w:rPr>
          <w:rFonts w:ascii="Calibri" w:hAnsi="Calibri" w:cs="Calibri"/>
          <w:b/>
          <w:bCs/>
          <w:sz w:val="20"/>
          <w:szCs w:val="20"/>
          <w:lang w:val="fr-CA"/>
        </w:rPr>
        <w:t>Linda</w:t>
      </w:r>
      <w:r w:rsidR="00E612C9">
        <w:rPr>
          <w:rFonts w:ascii="Calibri" w:hAnsi="Calibri" w:cs="Calibri"/>
          <w:b/>
          <w:bCs/>
          <w:sz w:val="20"/>
          <w:szCs w:val="20"/>
          <w:lang w:val="fr-CA"/>
        </w:rPr>
        <w:t> </w:t>
      </w:r>
      <w:r w:rsidRPr="000E6A4A">
        <w:rPr>
          <w:rFonts w:ascii="Calibri" w:hAnsi="Calibri" w:cs="Calibri"/>
          <w:b/>
          <w:bCs/>
          <w:sz w:val="20"/>
          <w:szCs w:val="20"/>
          <w:lang w:val="fr-CA"/>
        </w:rPr>
        <w:t>Koo,</w:t>
      </w:r>
      <w:r w:rsidRPr="000E6A4A">
        <w:rPr>
          <w:rFonts w:ascii="Calibri" w:hAnsi="Calibri" w:cs="Calibri"/>
          <w:sz w:val="20"/>
          <w:szCs w:val="20"/>
          <w:lang w:val="fr-CA"/>
        </w:rPr>
        <w:t xml:space="preserve"> agente des relations de travail, SEN – AFPC</w:t>
      </w:r>
    </w:p>
    <w:p w:rsidR="00E17747" w:rsidRPr="00922E01" w:rsidRDefault="00E17747" w:rsidP="00FB70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fr-CA"/>
        </w:rPr>
      </w:pPr>
      <w:r w:rsidRPr="000E6A4A">
        <w:rPr>
          <w:rFonts w:ascii="Calibri" w:hAnsi="Calibri" w:cs="Calibri"/>
          <w:b/>
          <w:bCs/>
          <w:sz w:val="20"/>
          <w:szCs w:val="20"/>
          <w:lang w:val="fr-CA"/>
        </w:rPr>
        <w:t xml:space="preserve">Luc Provost, </w:t>
      </w:r>
      <w:r w:rsidRPr="00922E01">
        <w:rPr>
          <w:rFonts w:ascii="Calibri" w:hAnsi="Calibri" w:cs="Calibri"/>
          <w:sz w:val="20"/>
          <w:szCs w:val="20"/>
          <w:lang w:val="fr-CA"/>
        </w:rPr>
        <w:t>président, section locale</w:t>
      </w:r>
      <w:r w:rsidR="00E612C9" w:rsidRPr="00922E01">
        <w:rPr>
          <w:rFonts w:ascii="Calibri" w:hAnsi="Calibri" w:cs="Calibri"/>
          <w:sz w:val="20"/>
          <w:szCs w:val="20"/>
          <w:lang w:val="fr-CA"/>
        </w:rPr>
        <w:t> </w:t>
      </w:r>
      <w:r w:rsidRPr="00922E01">
        <w:rPr>
          <w:rFonts w:ascii="Calibri" w:hAnsi="Calibri" w:cs="Calibri"/>
          <w:sz w:val="20"/>
          <w:szCs w:val="20"/>
          <w:lang w:val="fr-CA"/>
        </w:rPr>
        <w:t>10259, SEN – AFPC</w:t>
      </w:r>
    </w:p>
    <w:p w:rsidR="00E17747" w:rsidRPr="00922E01" w:rsidRDefault="00E17747" w:rsidP="00FB70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fr-CA"/>
        </w:rPr>
      </w:pPr>
      <w:r w:rsidRPr="000E6A4A">
        <w:rPr>
          <w:rFonts w:ascii="Calibri" w:hAnsi="Calibri" w:cs="Calibri"/>
          <w:b/>
          <w:bCs/>
          <w:sz w:val="20"/>
          <w:szCs w:val="20"/>
          <w:lang w:val="fr-CA"/>
        </w:rPr>
        <w:t>Michael</w:t>
      </w:r>
      <w:r w:rsidR="00E612C9">
        <w:rPr>
          <w:rFonts w:ascii="Calibri" w:hAnsi="Calibri" w:cs="Calibri"/>
          <w:b/>
          <w:bCs/>
          <w:sz w:val="20"/>
          <w:szCs w:val="20"/>
          <w:lang w:val="fr-CA"/>
        </w:rPr>
        <w:t> </w:t>
      </w:r>
      <w:r w:rsidRPr="000E6A4A">
        <w:rPr>
          <w:rFonts w:ascii="Calibri" w:hAnsi="Calibri" w:cs="Calibri"/>
          <w:b/>
          <w:bCs/>
          <w:sz w:val="20"/>
          <w:szCs w:val="20"/>
          <w:lang w:val="fr-CA"/>
        </w:rPr>
        <w:t xml:space="preserve">O’Donnell, </w:t>
      </w:r>
      <w:r w:rsidRPr="00922E01">
        <w:rPr>
          <w:rFonts w:ascii="Calibri" w:hAnsi="Calibri" w:cs="Calibri"/>
          <w:sz w:val="20"/>
          <w:szCs w:val="20"/>
          <w:lang w:val="fr-CA"/>
        </w:rPr>
        <w:t>président, section locale</w:t>
      </w:r>
      <w:r w:rsidR="00E612C9" w:rsidRPr="00922E01">
        <w:rPr>
          <w:rFonts w:ascii="Calibri" w:hAnsi="Calibri" w:cs="Calibri"/>
          <w:sz w:val="20"/>
          <w:szCs w:val="20"/>
          <w:lang w:val="fr-CA"/>
        </w:rPr>
        <w:t> </w:t>
      </w:r>
      <w:r w:rsidRPr="00922E01">
        <w:rPr>
          <w:rFonts w:ascii="Calibri" w:hAnsi="Calibri" w:cs="Calibri"/>
          <w:sz w:val="20"/>
          <w:szCs w:val="20"/>
          <w:lang w:val="fr-CA"/>
        </w:rPr>
        <w:t>70263, SEN – AFPC</w:t>
      </w:r>
    </w:p>
    <w:p w:rsidR="00E17747" w:rsidRPr="000E6A4A" w:rsidRDefault="00E17747" w:rsidP="00FB70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fr-CA"/>
        </w:rPr>
      </w:pPr>
      <w:r w:rsidRPr="000E6A4A">
        <w:rPr>
          <w:rFonts w:ascii="Calibri" w:hAnsi="Calibri" w:cs="Calibri"/>
          <w:b/>
          <w:bCs/>
          <w:sz w:val="20"/>
          <w:szCs w:val="20"/>
          <w:lang w:val="fr-CA"/>
        </w:rPr>
        <w:t>Am</w:t>
      </w:r>
      <w:r w:rsidR="00E612C9">
        <w:rPr>
          <w:rFonts w:ascii="Calibri" w:hAnsi="Calibri" w:cs="Calibri"/>
          <w:b/>
          <w:bCs/>
          <w:sz w:val="20"/>
          <w:szCs w:val="20"/>
          <w:lang w:val="fr-CA"/>
        </w:rPr>
        <w:t>i</w:t>
      </w:r>
      <w:r w:rsidRPr="000E6A4A">
        <w:rPr>
          <w:rFonts w:ascii="Calibri" w:hAnsi="Calibri" w:cs="Calibri"/>
          <w:b/>
          <w:bCs/>
          <w:sz w:val="20"/>
          <w:szCs w:val="20"/>
          <w:lang w:val="fr-CA"/>
        </w:rPr>
        <w:t xml:space="preserve"> Awad,</w:t>
      </w:r>
      <w:r w:rsidRPr="000E6A4A">
        <w:rPr>
          <w:rFonts w:ascii="Calibri" w:hAnsi="Calibri" w:cs="Calibri"/>
          <w:sz w:val="20"/>
          <w:szCs w:val="20"/>
          <w:lang w:val="fr-CA"/>
        </w:rPr>
        <w:t xml:space="preserve"> secrétaire-trésorière, ACEP, section locale</w:t>
      </w:r>
      <w:r w:rsidR="00E612C9">
        <w:rPr>
          <w:rFonts w:ascii="Calibri" w:hAnsi="Calibri" w:cs="Calibri"/>
          <w:sz w:val="20"/>
          <w:szCs w:val="20"/>
          <w:lang w:val="fr-CA"/>
        </w:rPr>
        <w:t> </w:t>
      </w:r>
      <w:r w:rsidRPr="000E6A4A">
        <w:rPr>
          <w:rFonts w:ascii="Calibri" w:hAnsi="Calibri" w:cs="Calibri"/>
          <w:sz w:val="20"/>
          <w:szCs w:val="20"/>
          <w:lang w:val="fr-CA"/>
        </w:rPr>
        <w:t>514</w:t>
      </w:r>
    </w:p>
    <w:p w:rsidR="00E17747" w:rsidRPr="000E6A4A" w:rsidRDefault="00E17747" w:rsidP="00FB70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fr-CA"/>
        </w:rPr>
      </w:pPr>
      <w:r w:rsidRPr="000E6A4A">
        <w:rPr>
          <w:rFonts w:ascii="Calibri" w:hAnsi="Calibri" w:cs="Calibri"/>
          <w:b/>
          <w:bCs/>
          <w:sz w:val="20"/>
          <w:szCs w:val="20"/>
          <w:lang w:val="fr-CA"/>
        </w:rPr>
        <w:t>Andrew Gibson,</w:t>
      </w:r>
      <w:r w:rsidRPr="000E6A4A">
        <w:rPr>
          <w:rFonts w:ascii="Calibri" w:hAnsi="Calibri" w:cs="Calibri"/>
          <w:sz w:val="20"/>
          <w:szCs w:val="20"/>
          <w:lang w:val="fr-CA"/>
        </w:rPr>
        <w:t xml:space="preserve"> délégué syndical, ACEP, section locale</w:t>
      </w:r>
      <w:r w:rsidR="00E612C9">
        <w:rPr>
          <w:rFonts w:ascii="Calibri" w:hAnsi="Calibri" w:cs="Calibri"/>
          <w:sz w:val="20"/>
          <w:szCs w:val="20"/>
          <w:lang w:val="fr-CA"/>
        </w:rPr>
        <w:t> </w:t>
      </w:r>
      <w:r w:rsidRPr="000E6A4A">
        <w:rPr>
          <w:rFonts w:ascii="Calibri" w:hAnsi="Calibri" w:cs="Calibri"/>
          <w:sz w:val="20"/>
          <w:szCs w:val="20"/>
          <w:lang w:val="fr-CA"/>
        </w:rPr>
        <w:t>514</w:t>
      </w:r>
    </w:p>
    <w:p w:rsidR="00E17747" w:rsidRPr="000E6A4A" w:rsidRDefault="00E17747" w:rsidP="00FB70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fr-CA"/>
        </w:rPr>
      </w:pPr>
    </w:p>
    <w:p w:rsidR="00E17747" w:rsidRPr="000E6A4A" w:rsidRDefault="00E17747" w:rsidP="00FB70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  <w:u w:val="single"/>
          <w:lang w:val="fr-CA"/>
        </w:rPr>
      </w:pPr>
      <w:r w:rsidRPr="000E6A4A">
        <w:rPr>
          <w:rFonts w:ascii="Calibri" w:hAnsi="Calibri" w:cs="Calibri"/>
          <w:b/>
          <w:bCs/>
          <w:sz w:val="20"/>
          <w:szCs w:val="20"/>
          <w:u w:val="single"/>
          <w:lang w:val="fr-CA"/>
        </w:rPr>
        <w:t>SECRÉTARIAT DU CCPSPT</w:t>
      </w:r>
      <w:r w:rsidR="00E612C9" w:rsidRPr="00124D1C">
        <w:rPr>
          <w:rFonts w:ascii="Calibri" w:hAnsi="Calibri" w:cs="Calibri"/>
          <w:b/>
          <w:bCs/>
          <w:sz w:val="20"/>
          <w:szCs w:val="20"/>
          <w:lang w:val="fr-CA"/>
        </w:rPr>
        <w:t> </w:t>
      </w:r>
      <w:r w:rsidRPr="00124D1C">
        <w:rPr>
          <w:rFonts w:ascii="Calibri" w:hAnsi="Calibri" w:cs="Calibri"/>
          <w:b/>
          <w:bCs/>
          <w:sz w:val="20"/>
          <w:szCs w:val="20"/>
          <w:lang w:val="fr-CA"/>
        </w:rPr>
        <w:t>:</w:t>
      </w:r>
    </w:p>
    <w:p w:rsidR="00E17747" w:rsidRPr="000E6A4A" w:rsidRDefault="00E17747" w:rsidP="00FB70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fr-CA"/>
        </w:rPr>
      </w:pPr>
    </w:p>
    <w:p w:rsidR="00E17747" w:rsidRPr="001B64AC" w:rsidRDefault="00E17747" w:rsidP="001B64AC">
      <w:pPr>
        <w:widowControl w:val="0"/>
        <w:autoSpaceDE w:val="0"/>
        <w:autoSpaceDN w:val="0"/>
        <w:adjustRightInd w:val="0"/>
        <w:spacing w:after="0" w:line="240" w:lineRule="auto"/>
        <w:ind w:right="-279"/>
        <w:rPr>
          <w:rFonts w:ascii="Calibri" w:hAnsi="Calibri" w:cs="Calibri"/>
          <w:sz w:val="20"/>
          <w:szCs w:val="20"/>
          <w:lang w:val="fr-CA"/>
        </w:rPr>
      </w:pPr>
      <w:r w:rsidRPr="000E6A4A">
        <w:rPr>
          <w:rFonts w:ascii="Calibri" w:hAnsi="Calibri" w:cs="Calibri"/>
          <w:b/>
          <w:bCs/>
          <w:sz w:val="20"/>
          <w:szCs w:val="20"/>
          <w:lang w:val="fr-CA"/>
        </w:rPr>
        <w:t>Guy</w:t>
      </w:r>
      <w:r w:rsidR="00E612C9">
        <w:rPr>
          <w:rFonts w:ascii="Calibri" w:hAnsi="Calibri" w:cs="Calibri"/>
          <w:b/>
          <w:bCs/>
          <w:sz w:val="20"/>
          <w:szCs w:val="20"/>
          <w:lang w:val="fr-CA"/>
        </w:rPr>
        <w:t> </w:t>
      </w:r>
      <w:r w:rsidRPr="000E6A4A">
        <w:rPr>
          <w:rFonts w:ascii="Calibri" w:hAnsi="Calibri" w:cs="Calibri"/>
          <w:b/>
          <w:bCs/>
          <w:sz w:val="20"/>
          <w:szCs w:val="20"/>
          <w:lang w:val="fr-CA"/>
        </w:rPr>
        <w:t xml:space="preserve">Cyr, </w:t>
      </w:r>
      <w:r w:rsidRPr="00F47C3A">
        <w:rPr>
          <w:rFonts w:ascii="Calibri" w:hAnsi="Calibri" w:cs="Calibri"/>
          <w:sz w:val="20"/>
          <w:szCs w:val="20"/>
          <w:lang w:val="fr-CA"/>
        </w:rPr>
        <w:t xml:space="preserve">directeur, </w:t>
      </w:r>
      <w:r w:rsidR="001B64AC" w:rsidRPr="001B64AC">
        <w:rPr>
          <w:rFonts w:ascii="Calibri" w:hAnsi="Calibri" w:cs="Calibri"/>
          <w:sz w:val="20"/>
          <w:szCs w:val="20"/>
          <w:lang w:val="fr-CA"/>
        </w:rPr>
        <w:t>Relations de travail</w:t>
      </w:r>
    </w:p>
    <w:p w:rsidR="00E17747" w:rsidRPr="000E6A4A" w:rsidRDefault="00E17747" w:rsidP="00FB702C">
      <w:pPr>
        <w:widowControl w:val="0"/>
        <w:autoSpaceDE w:val="0"/>
        <w:autoSpaceDN w:val="0"/>
        <w:adjustRightInd w:val="0"/>
        <w:spacing w:after="0" w:line="240" w:lineRule="auto"/>
        <w:ind w:right="-279"/>
        <w:rPr>
          <w:rFonts w:ascii="Calibri" w:hAnsi="Calibri" w:cs="Calibri"/>
          <w:sz w:val="20"/>
          <w:szCs w:val="20"/>
          <w:lang w:val="fr-CA"/>
        </w:rPr>
      </w:pPr>
      <w:r w:rsidRPr="000E6A4A">
        <w:rPr>
          <w:rFonts w:ascii="Calibri" w:hAnsi="Calibri" w:cs="Calibri"/>
          <w:b/>
          <w:bCs/>
          <w:sz w:val="20"/>
          <w:szCs w:val="20"/>
          <w:lang w:val="fr-CA"/>
        </w:rPr>
        <w:t>Serge Viens</w:t>
      </w:r>
      <w:r w:rsidRPr="000E6A4A">
        <w:rPr>
          <w:rFonts w:ascii="Calibri" w:hAnsi="Calibri" w:cs="Calibri"/>
          <w:sz w:val="20"/>
          <w:szCs w:val="20"/>
          <w:lang w:val="fr-CA"/>
        </w:rPr>
        <w:t>, gestionnaire, Relations de travail</w:t>
      </w:r>
    </w:p>
    <w:p w:rsidR="00E17747" w:rsidRPr="000E6A4A" w:rsidRDefault="00E17747" w:rsidP="00FB702C">
      <w:pPr>
        <w:widowControl w:val="0"/>
        <w:autoSpaceDE w:val="0"/>
        <w:autoSpaceDN w:val="0"/>
        <w:adjustRightInd w:val="0"/>
        <w:spacing w:after="0" w:line="240" w:lineRule="auto"/>
        <w:ind w:right="-279"/>
        <w:rPr>
          <w:rFonts w:ascii="Calibri" w:hAnsi="Calibri" w:cs="Calibri"/>
          <w:sz w:val="20"/>
          <w:szCs w:val="20"/>
          <w:lang w:val="fr-CA"/>
        </w:rPr>
      </w:pPr>
      <w:r w:rsidRPr="000E6A4A">
        <w:rPr>
          <w:rFonts w:ascii="Calibri" w:hAnsi="Calibri" w:cs="Calibri"/>
          <w:b/>
          <w:bCs/>
          <w:sz w:val="20"/>
          <w:szCs w:val="20"/>
          <w:lang w:val="fr-CA"/>
        </w:rPr>
        <w:t>Line</w:t>
      </w:r>
      <w:r w:rsidR="00E612C9">
        <w:rPr>
          <w:rFonts w:ascii="Calibri" w:hAnsi="Calibri" w:cs="Calibri"/>
          <w:b/>
          <w:bCs/>
          <w:sz w:val="20"/>
          <w:szCs w:val="20"/>
          <w:lang w:val="fr-CA"/>
        </w:rPr>
        <w:t> </w:t>
      </w:r>
      <w:r w:rsidRPr="000E6A4A">
        <w:rPr>
          <w:rFonts w:ascii="Calibri" w:hAnsi="Calibri" w:cs="Calibri"/>
          <w:b/>
          <w:bCs/>
          <w:sz w:val="20"/>
          <w:szCs w:val="20"/>
          <w:lang w:val="fr-CA"/>
        </w:rPr>
        <w:t>Leblanc</w:t>
      </w:r>
      <w:r w:rsidRPr="000E6A4A">
        <w:rPr>
          <w:rFonts w:ascii="Calibri" w:hAnsi="Calibri" w:cs="Calibri"/>
          <w:sz w:val="20"/>
          <w:szCs w:val="20"/>
          <w:lang w:val="fr-CA"/>
        </w:rPr>
        <w:t>, adjointe administrative, Relations de travail</w:t>
      </w:r>
    </w:p>
    <w:p w:rsidR="00E17747" w:rsidRPr="00F47C3A" w:rsidRDefault="00E17747" w:rsidP="00FB702C">
      <w:pPr>
        <w:widowControl w:val="0"/>
        <w:autoSpaceDE w:val="0"/>
        <w:autoSpaceDN w:val="0"/>
        <w:adjustRightInd w:val="0"/>
        <w:spacing w:after="0" w:line="240" w:lineRule="auto"/>
        <w:ind w:right="-279"/>
        <w:rPr>
          <w:rFonts w:ascii="Calibri" w:hAnsi="Calibri" w:cs="Calibri"/>
          <w:sz w:val="20"/>
          <w:szCs w:val="20"/>
          <w:lang w:val="fr-CA"/>
        </w:rPr>
      </w:pPr>
      <w:r w:rsidRPr="000E6A4A">
        <w:rPr>
          <w:rFonts w:ascii="Calibri" w:hAnsi="Calibri" w:cs="Calibri"/>
          <w:b/>
          <w:bCs/>
          <w:sz w:val="20"/>
          <w:szCs w:val="20"/>
          <w:lang w:val="fr-CA"/>
        </w:rPr>
        <w:t>José</w:t>
      </w:r>
      <w:r w:rsidR="00E612C9">
        <w:rPr>
          <w:rFonts w:ascii="Calibri" w:hAnsi="Calibri" w:cs="Calibri"/>
          <w:b/>
          <w:bCs/>
          <w:sz w:val="20"/>
          <w:szCs w:val="20"/>
          <w:lang w:val="fr-CA"/>
        </w:rPr>
        <w:t> </w:t>
      </w:r>
      <w:r w:rsidRPr="000E6A4A">
        <w:rPr>
          <w:rFonts w:ascii="Calibri" w:hAnsi="Calibri" w:cs="Calibri"/>
          <w:b/>
          <w:bCs/>
          <w:sz w:val="20"/>
          <w:szCs w:val="20"/>
          <w:lang w:val="fr-CA"/>
        </w:rPr>
        <w:t xml:space="preserve">Vasquez, </w:t>
      </w:r>
      <w:r w:rsidRPr="00F47C3A">
        <w:rPr>
          <w:rFonts w:ascii="Calibri" w:hAnsi="Calibri" w:cs="Calibri"/>
          <w:sz w:val="20"/>
          <w:szCs w:val="20"/>
          <w:lang w:val="fr-CA"/>
        </w:rPr>
        <w:t>conseiller, Relations de travail</w:t>
      </w:r>
    </w:p>
    <w:p w:rsidR="00E17747" w:rsidRPr="000E6A4A" w:rsidRDefault="00E17747" w:rsidP="00FB702C">
      <w:pPr>
        <w:widowControl w:val="0"/>
        <w:autoSpaceDE w:val="0"/>
        <w:autoSpaceDN w:val="0"/>
        <w:adjustRightInd w:val="0"/>
        <w:spacing w:after="0" w:line="240" w:lineRule="auto"/>
        <w:ind w:right="-279"/>
        <w:rPr>
          <w:rFonts w:ascii="Calibri" w:hAnsi="Calibri" w:cs="Calibri"/>
          <w:b/>
          <w:bCs/>
          <w:sz w:val="20"/>
          <w:szCs w:val="20"/>
          <w:lang w:val="fr-CA"/>
        </w:rPr>
      </w:pPr>
      <w:r w:rsidRPr="000E6A4A">
        <w:rPr>
          <w:rFonts w:ascii="Calibri" w:hAnsi="Calibri" w:cs="Calibri"/>
          <w:b/>
          <w:bCs/>
          <w:sz w:val="20"/>
          <w:szCs w:val="20"/>
          <w:lang w:val="fr-CA"/>
        </w:rPr>
        <w:t>Patricia</w:t>
      </w:r>
      <w:r w:rsidR="00E612C9">
        <w:rPr>
          <w:rFonts w:ascii="Calibri" w:hAnsi="Calibri" w:cs="Calibri"/>
          <w:b/>
          <w:bCs/>
          <w:sz w:val="20"/>
          <w:szCs w:val="20"/>
          <w:lang w:val="fr-CA"/>
        </w:rPr>
        <w:t> </w:t>
      </w:r>
      <w:r w:rsidRPr="000E6A4A">
        <w:rPr>
          <w:rFonts w:ascii="Calibri" w:hAnsi="Calibri" w:cs="Calibri"/>
          <w:b/>
          <w:bCs/>
          <w:sz w:val="20"/>
          <w:szCs w:val="20"/>
          <w:lang w:val="fr-CA"/>
        </w:rPr>
        <w:t xml:space="preserve">Hinse, </w:t>
      </w:r>
      <w:r w:rsidRPr="00F47C3A">
        <w:rPr>
          <w:rFonts w:ascii="Calibri" w:hAnsi="Calibri" w:cs="Calibri"/>
          <w:sz w:val="20"/>
          <w:szCs w:val="20"/>
          <w:lang w:val="fr-CA"/>
        </w:rPr>
        <w:t>conseillère principale en RH, Relations de travail</w:t>
      </w:r>
    </w:p>
    <w:p w:rsidR="00E17747" w:rsidRPr="000E6A4A" w:rsidRDefault="00E17747" w:rsidP="00FB70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Cs/>
          <w:sz w:val="20"/>
          <w:szCs w:val="20"/>
          <w:lang w:val="fr-CA"/>
        </w:rPr>
      </w:pPr>
    </w:p>
    <w:p w:rsidR="00E17747" w:rsidRPr="000E6A4A" w:rsidRDefault="00E17747" w:rsidP="00FB70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  <w:u w:val="single"/>
          <w:lang w:val="fr-CA"/>
        </w:rPr>
      </w:pPr>
      <w:r w:rsidRPr="000E6A4A">
        <w:rPr>
          <w:rFonts w:ascii="Calibri" w:hAnsi="Calibri" w:cs="Calibri"/>
          <w:b/>
          <w:bCs/>
          <w:sz w:val="20"/>
          <w:szCs w:val="20"/>
          <w:u w:val="single"/>
          <w:lang w:val="fr-CA"/>
        </w:rPr>
        <w:t>INVITÉS</w:t>
      </w:r>
      <w:r w:rsidR="00E612C9">
        <w:rPr>
          <w:rFonts w:ascii="Calibri" w:hAnsi="Calibri" w:cs="Calibri"/>
          <w:b/>
          <w:bCs/>
          <w:sz w:val="20"/>
          <w:szCs w:val="20"/>
          <w:lang w:val="fr-CA"/>
        </w:rPr>
        <w:t> </w:t>
      </w:r>
      <w:r w:rsidRPr="000E6A4A">
        <w:rPr>
          <w:rFonts w:ascii="Calibri" w:hAnsi="Calibri" w:cs="Calibri"/>
          <w:b/>
          <w:bCs/>
          <w:sz w:val="20"/>
          <w:szCs w:val="20"/>
          <w:lang w:val="fr-CA"/>
        </w:rPr>
        <w:t>:</w:t>
      </w:r>
    </w:p>
    <w:p w:rsidR="00E17747" w:rsidRPr="000E6A4A" w:rsidRDefault="00E17747" w:rsidP="00FB70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  <w:lang w:val="fr-CA"/>
        </w:rPr>
      </w:pPr>
    </w:p>
    <w:p w:rsidR="00E17747" w:rsidRPr="000E6A4A" w:rsidRDefault="00E17747" w:rsidP="00124D1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  <w:lang w:val="fr-CA"/>
        </w:rPr>
      </w:pPr>
      <w:r w:rsidRPr="000E6A4A">
        <w:rPr>
          <w:rFonts w:ascii="Calibri" w:hAnsi="Calibri" w:cs="Calibri"/>
          <w:b/>
          <w:bCs/>
          <w:sz w:val="20"/>
          <w:szCs w:val="20"/>
          <w:lang w:val="fr-CA"/>
        </w:rPr>
        <w:t>Stéphane</w:t>
      </w:r>
      <w:r w:rsidR="00E612C9">
        <w:rPr>
          <w:rFonts w:ascii="Calibri" w:hAnsi="Calibri" w:cs="Calibri"/>
          <w:b/>
          <w:bCs/>
          <w:sz w:val="20"/>
          <w:szCs w:val="20"/>
          <w:lang w:val="fr-CA"/>
        </w:rPr>
        <w:t> </w:t>
      </w:r>
      <w:r w:rsidRPr="000E6A4A">
        <w:rPr>
          <w:rFonts w:ascii="Calibri" w:hAnsi="Calibri" w:cs="Calibri"/>
          <w:b/>
          <w:bCs/>
          <w:sz w:val="20"/>
          <w:szCs w:val="20"/>
          <w:lang w:val="fr-CA"/>
        </w:rPr>
        <w:t xml:space="preserve">Michaud, </w:t>
      </w:r>
      <w:r w:rsidR="001B64AC">
        <w:rPr>
          <w:rFonts w:ascii="Calibri" w:hAnsi="Calibri" w:cs="Calibri"/>
          <w:sz w:val="20"/>
          <w:szCs w:val="20"/>
          <w:lang w:val="fr-CA"/>
        </w:rPr>
        <w:t>d</w:t>
      </w:r>
      <w:r w:rsidRPr="000E6A4A">
        <w:rPr>
          <w:rFonts w:ascii="Calibri" w:hAnsi="Calibri" w:cs="Calibri"/>
          <w:sz w:val="20"/>
          <w:szCs w:val="20"/>
          <w:lang w:val="fr-CA"/>
        </w:rPr>
        <w:t xml:space="preserve">irecteur général, Locaux et installations, </w:t>
      </w:r>
      <w:r w:rsidR="00124D1C">
        <w:rPr>
          <w:rFonts w:ascii="Calibri" w:hAnsi="Calibri" w:cs="Calibri"/>
          <w:sz w:val="20"/>
          <w:szCs w:val="20"/>
          <w:lang w:val="fr-CA"/>
        </w:rPr>
        <w:t>DPF</w:t>
      </w:r>
    </w:p>
    <w:p w:rsidR="00E17747" w:rsidRPr="000E6A4A" w:rsidRDefault="00E17747" w:rsidP="00124D1C">
      <w:pPr>
        <w:widowControl w:val="0"/>
        <w:autoSpaceDE w:val="0"/>
        <w:autoSpaceDN w:val="0"/>
        <w:adjustRightInd w:val="0"/>
        <w:spacing w:after="0" w:line="240" w:lineRule="auto"/>
        <w:ind w:right="-279"/>
        <w:rPr>
          <w:rFonts w:ascii="Calibri" w:hAnsi="Calibri" w:cs="Calibri"/>
          <w:sz w:val="20"/>
          <w:szCs w:val="20"/>
          <w:lang w:val="fr-CA"/>
        </w:rPr>
      </w:pPr>
      <w:r w:rsidRPr="000E6A4A">
        <w:rPr>
          <w:rFonts w:ascii="Calibri" w:hAnsi="Calibri" w:cs="Calibri"/>
          <w:b/>
          <w:bCs/>
          <w:sz w:val="20"/>
          <w:szCs w:val="20"/>
          <w:lang w:val="fr-CA"/>
        </w:rPr>
        <w:t>Kathleen</w:t>
      </w:r>
      <w:r w:rsidR="00E612C9">
        <w:rPr>
          <w:rFonts w:ascii="Calibri" w:hAnsi="Calibri" w:cs="Calibri"/>
          <w:b/>
          <w:bCs/>
          <w:sz w:val="20"/>
          <w:szCs w:val="20"/>
          <w:lang w:val="fr-CA"/>
        </w:rPr>
        <w:t> </w:t>
      </w:r>
      <w:r w:rsidRPr="000E6A4A">
        <w:rPr>
          <w:rFonts w:ascii="Calibri" w:hAnsi="Calibri" w:cs="Calibri"/>
          <w:b/>
          <w:bCs/>
          <w:sz w:val="20"/>
          <w:szCs w:val="20"/>
          <w:lang w:val="fr-CA"/>
        </w:rPr>
        <w:t>Tremblay</w:t>
      </w:r>
      <w:r w:rsidRPr="000E6A4A">
        <w:rPr>
          <w:rFonts w:ascii="Calibri" w:hAnsi="Calibri" w:cs="Calibri"/>
          <w:sz w:val="20"/>
          <w:szCs w:val="20"/>
          <w:lang w:val="fr-CA"/>
        </w:rPr>
        <w:t xml:space="preserve">, gestionnaire </w:t>
      </w:r>
      <w:r w:rsidR="00124D1C">
        <w:rPr>
          <w:rFonts w:ascii="Calibri" w:hAnsi="Calibri" w:cs="Calibri"/>
          <w:sz w:val="20"/>
          <w:szCs w:val="20"/>
          <w:lang w:val="fr-CA"/>
        </w:rPr>
        <w:t>p. i.</w:t>
      </w:r>
      <w:r w:rsidRPr="000E6A4A">
        <w:rPr>
          <w:rFonts w:ascii="Calibri" w:hAnsi="Calibri" w:cs="Calibri"/>
          <w:sz w:val="20"/>
          <w:szCs w:val="20"/>
          <w:lang w:val="fr-CA"/>
        </w:rPr>
        <w:t>, Relations de travail</w:t>
      </w:r>
    </w:p>
    <w:p w:rsidR="00E17747" w:rsidRPr="000E6A4A" w:rsidRDefault="00E17747" w:rsidP="00CB137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fr-CA"/>
        </w:rPr>
      </w:pPr>
      <w:r w:rsidRPr="000E6A4A">
        <w:rPr>
          <w:rFonts w:ascii="Calibri" w:hAnsi="Calibri" w:cs="Calibri"/>
          <w:b/>
          <w:bCs/>
          <w:sz w:val="20"/>
          <w:szCs w:val="20"/>
          <w:lang w:val="fr-CA"/>
        </w:rPr>
        <w:t>Brenda</w:t>
      </w:r>
      <w:r w:rsidR="00E612C9">
        <w:rPr>
          <w:rFonts w:ascii="Calibri" w:hAnsi="Calibri" w:cs="Calibri"/>
          <w:b/>
          <w:bCs/>
          <w:sz w:val="20"/>
          <w:szCs w:val="20"/>
          <w:lang w:val="fr-CA"/>
        </w:rPr>
        <w:t> </w:t>
      </w:r>
      <w:r w:rsidRPr="000E6A4A">
        <w:rPr>
          <w:rFonts w:ascii="Calibri" w:hAnsi="Calibri" w:cs="Calibri"/>
          <w:b/>
          <w:bCs/>
          <w:sz w:val="20"/>
          <w:szCs w:val="20"/>
          <w:lang w:val="fr-CA"/>
        </w:rPr>
        <w:t>Baxter</w:t>
      </w:r>
      <w:r w:rsidRPr="000E6A4A">
        <w:rPr>
          <w:rFonts w:ascii="Calibri" w:hAnsi="Calibri" w:cs="Calibri"/>
          <w:sz w:val="20"/>
          <w:szCs w:val="20"/>
          <w:lang w:val="fr-CA"/>
        </w:rPr>
        <w:t xml:space="preserve">, directrice générale, Direction du milieu de travail, Programme du </w:t>
      </w:r>
      <w:r w:rsidR="00CB1372">
        <w:rPr>
          <w:rFonts w:ascii="Calibri" w:hAnsi="Calibri" w:cs="Calibri"/>
          <w:sz w:val="20"/>
          <w:szCs w:val="20"/>
          <w:lang w:val="fr-CA"/>
        </w:rPr>
        <w:t>t</w:t>
      </w:r>
      <w:r w:rsidRPr="000E6A4A">
        <w:rPr>
          <w:rFonts w:ascii="Calibri" w:hAnsi="Calibri" w:cs="Calibri"/>
          <w:sz w:val="20"/>
          <w:szCs w:val="20"/>
          <w:lang w:val="fr-CA"/>
        </w:rPr>
        <w:t>ravail</w:t>
      </w:r>
    </w:p>
    <w:p w:rsidR="00E17747" w:rsidRPr="000E6A4A" w:rsidRDefault="00E17747" w:rsidP="00FB70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fr-CA"/>
        </w:rPr>
      </w:pPr>
      <w:r w:rsidRPr="000E6A4A">
        <w:rPr>
          <w:rFonts w:ascii="Calibri" w:hAnsi="Calibri" w:cs="Calibri"/>
          <w:b/>
          <w:bCs/>
          <w:sz w:val="20"/>
          <w:szCs w:val="20"/>
          <w:lang w:val="fr-CA"/>
        </w:rPr>
        <w:t>Jennifer</w:t>
      </w:r>
      <w:r w:rsidR="00E612C9">
        <w:rPr>
          <w:rFonts w:ascii="Calibri" w:hAnsi="Calibri" w:cs="Calibri"/>
          <w:b/>
          <w:bCs/>
          <w:sz w:val="20"/>
          <w:szCs w:val="20"/>
          <w:lang w:val="fr-CA"/>
        </w:rPr>
        <w:t> </w:t>
      </w:r>
      <w:r w:rsidRPr="000E6A4A">
        <w:rPr>
          <w:rFonts w:ascii="Calibri" w:hAnsi="Calibri" w:cs="Calibri"/>
          <w:b/>
          <w:bCs/>
          <w:sz w:val="20"/>
          <w:szCs w:val="20"/>
          <w:lang w:val="fr-CA"/>
        </w:rPr>
        <w:t>Hamilton</w:t>
      </w:r>
      <w:r w:rsidRPr="000E6A4A">
        <w:rPr>
          <w:rFonts w:ascii="Calibri" w:hAnsi="Calibri" w:cs="Calibri"/>
          <w:sz w:val="20"/>
          <w:szCs w:val="20"/>
          <w:lang w:val="fr-CA"/>
        </w:rPr>
        <w:t>, directrice, Rémunération</w:t>
      </w:r>
    </w:p>
    <w:p w:rsidR="00E17747" w:rsidRPr="000E6A4A" w:rsidRDefault="00E17747" w:rsidP="00FB70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  <w:lang w:val="fr-CA"/>
        </w:rPr>
      </w:pPr>
    </w:p>
    <w:p w:rsidR="00E17747" w:rsidRPr="000E6A4A" w:rsidRDefault="00E17747" w:rsidP="00FB70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  <w:lang w:val="fr-CA"/>
        </w:rPr>
      </w:pPr>
      <w:r w:rsidRPr="000E6A4A">
        <w:rPr>
          <w:rFonts w:ascii="Calibri" w:hAnsi="Calibri" w:cs="Calibri"/>
          <w:b/>
          <w:bCs/>
          <w:sz w:val="20"/>
          <w:szCs w:val="20"/>
          <w:u w:val="single"/>
          <w:lang w:val="fr-CA"/>
        </w:rPr>
        <w:t>ABSENTS</w:t>
      </w:r>
      <w:r w:rsidRPr="00124D1C">
        <w:rPr>
          <w:rFonts w:ascii="Calibri" w:hAnsi="Calibri" w:cs="Calibri"/>
          <w:b/>
          <w:bCs/>
          <w:sz w:val="20"/>
          <w:szCs w:val="20"/>
          <w:lang w:val="fr-CA"/>
        </w:rPr>
        <w:t> :</w:t>
      </w:r>
    </w:p>
    <w:p w:rsidR="00E17747" w:rsidRPr="000E6A4A" w:rsidRDefault="00E17747" w:rsidP="00FB70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  <w:lang w:val="fr-CA"/>
        </w:rPr>
      </w:pPr>
    </w:p>
    <w:p w:rsidR="00E17747" w:rsidRPr="000E6A4A" w:rsidRDefault="00E17747" w:rsidP="00FB70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fr-CA"/>
        </w:rPr>
      </w:pPr>
      <w:r w:rsidRPr="000E6A4A">
        <w:rPr>
          <w:rFonts w:ascii="Calibri" w:hAnsi="Calibri" w:cs="Calibri"/>
          <w:b/>
          <w:bCs/>
          <w:sz w:val="20"/>
          <w:szCs w:val="20"/>
          <w:lang w:val="fr-CA"/>
        </w:rPr>
        <w:t>Michel</w:t>
      </w:r>
      <w:r w:rsidR="00E612C9">
        <w:rPr>
          <w:rFonts w:ascii="Calibri" w:hAnsi="Calibri" w:cs="Calibri"/>
          <w:b/>
          <w:bCs/>
          <w:sz w:val="20"/>
          <w:szCs w:val="20"/>
          <w:lang w:val="fr-CA"/>
        </w:rPr>
        <w:t> </w:t>
      </w:r>
      <w:r w:rsidRPr="000E6A4A">
        <w:rPr>
          <w:rFonts w:ascii="Calibri" w:hAnsi="Calibri" w:cs="Calibri"/>
          <w:b/>
          <w:bCs/>
          <w:sz w:val="20"/>
          <w:szCs w:val="20"/>
          <w:lang w:val="fr-CA"/>
        </w:rPr>
        <w:t xml:space="preserve">Daoust, </w:t>
      </w:r>
      <w:r w:rsidRPr="000E6A4A">
        <w:rPr>
          <w:rFonts w:ascii="Calibri" w:hAnsi="Calibri" w:cs="Calibri"/>
          <w:sz w:val="20"/>
          <w:szCs w:val="20"/>
          <w:lang w:val="fr-CA"/>
        </w:rPr>
        <w:t>agent des relations de travail, ACEP</w:t>
      </w:r>
    </w:p>
    <w:p w:rsidR="00E17747" w:rsidRPr="00E24AAE" w:rsidRDefault="00E17747" w:rsidP="00E24A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fr-CA"/>
        </w:rPr>
      </w:pPr>
      <w:r w:rsidRPr="000E6A4A">
        <w:rPr>
          <w:rFonts w:ascii="Calibri" w:hAnsi="Calibri" w:cs="Calibri"/>
          <w:b/>
          <w:sz w:val="20"/>
          <w:szCs w:val="20"/>
          <w:lang w:val="fr-CA"/>
        </w:rPr>
        <w:t>Stan</w:t>
      </w:r>
      <w:r w:rsidR="00E612C9">
        <w:rPr>
          <w:rFonts w:ascii="Calibri" w:hAnsi="Calibri" w:cs="Calibri"/>
          <w:b/>
          <w:sz w:val="20"/>
          <w:szCs w:val="20"/>
          <w:lang w:val="fr-CA"/>
        </w:rPr>
        <w:t> </w:t>
      </w:r>
      <w:r w:rsidRPr="000E6A4A">
        <w:rPr>
          <w:rFonts w:ascii="Calibri" w:hAnsi="Calibri" w:cs="Calibri"/>
          <w:b/>
          <w:sz w:val="20"/>
          <w:szCs w:val="20"/>
          <w:lang w:val="fr-CA"/>
        </w:rPr>
        <w:t>Buday</w:t>
      </w:r>
      <w:r w:rsidRPr="000E6A4A">
        <w:rPr>
          <w:rFonts w:ascii="Calibri" w:hAnsi="Calibri" w:cs="Calibri"/>
          <w:sz w:val="20"/>
          <w:szCs w:val="20"/>
          <w:lang w:val="fr-CA"/>
        </w:rPr>
        <w:t xml:space="preserve">, président, </w:t>
      </w:r>
      <w:r w:rsidR="00E24AAE" w:rsidRPr="00E24AAE">
        <w:rPr>
          <w:rFonts w:ascii="Calibri" w:hAnsi="Calibri" w:cs="Calibri"/>
          <w:sz w:val="20"/>
          <w:szCs w:val="20"/>
          <w:lang w:val="fr-CA"/>
        </w:rPr>
        <w:t>Équipe nationale de consultation (EDSC), IPFPC</w:t>
      </w:r>
    </w:p>
    <w:p w:rsidR="00E17747" w:rsidRPr="000E6A4A" w:rsidRDefault="00E17747" w:rsidP="00CB137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fr-CA"/>
        </w:rPr>
      </w:pPr>
      <w:r w:rsidRPr="000E6A4A">
        <w:rPr>
          <w:rFonts w:ascii="Calibri" w:hAnsi="Calibri" w:cs="Calibri"/>
          <w:b/>
          <w:bCs/>
          <w:sz w:val="20"/>
          <w:szCs w:val="20"/>
          <w:lang w:val="fr-CA"/>
        </w:rPr>
        <w:t>Lori Sterling</w:t>
      </w:r>
      <w:r w:rsidRPr="000E6A4A">
        <w:rPr>
          <w:rFonts w:ascii="Calibri" w:hAnsi="Calibri" w:cs="Calibri"/>
          <w:sz w:val="20"/>
          <w:szCs w:val="20"/>
          <w:lang w:val="fr-CA"/>
        </w:rPr>
        <w:t xml:space="preserve">, sous-ministre, Programme du </w:t>
      </w:r>
      <w:r w:rsidR="00CB1372">
        <w:rPr>
          <w:rFonts w:ascii="Calibri" w:hAnsi="Calibri" w:cs="Calibri"/>
          <w:sz w:val="20"/>
          <w:szCs w:val="20"/>
          <w:lang w:val="fr-CA"/>
        </w:rPr>
        <w:t>t</w:t>
      </w:r>
      <w:r w:rsidRPr="000E6A4A">
        <w:rPr>
          <w:rFonts w:ascii="Calibri" w:hAnsi="Calibri" w:cs="Calibri"/>
          <w:sz w:val="20"/>
          <w:szCs w:val="20"/>
          <w:lang w:val="fr-CA"/>
        </w:rPr>
        <w:t>ravail</w:t>
      </w:r>
    </w:p>
    <w:p w:rsidR="00E17747" w:rsidRPr="00C0611A" w:rsidRDefault="00E17747" w:rsidP="00CB137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fr-CA"/>
        </w:rPr>
      </w:pPr>
      <w:r w:rsidRPr="000E6A4A">
        <w:rPr>
          <w:rFonts w:ascii="Calibri" w:hAnsi="Calibri" w:cs="Calibri"/>
          <w:b/>
          <w:bCs/>
          <w:sz w:val="20"/>
          <w:szCs w:val="20"/>
          <w:lang w:val="fr-CA"/>
        </w:rPr>
        <w:t>Kim Cunha Bellem</w:t>
      </w:r>
      <w:r w:rsidRPr="00C0611A">
        <w:rPr>
          <w:rFonts w:ascii="Calibri" w:hAnsi="Calibri" w:cs="Calibri"/>
          <w:sz w:val="20"/>
          <w:szCs w:val="20"/>
          <w:lang w:val="fr-CA"/>
        </w:rPr>
        <w:t xml:space="preserve">, conseillère principale du sous-ministre et chef du Cabinet, Programme du </w:t>
      </w:r>
      <w:r w:rsidR="00CB1372">
        <w:rPr>
          <w:rFonts w:ascii="Calibri" w:hAnsi="Calibri" w:cs="Calibri"/>
          <w:sz w:val="20"/>
          <w:szCs w:val="20"/>
          <w:lang w:val="fr-CA"/>
        </w:rPr>
        <w:t>t</w:t>
      </w:r>
      <w:r w:rsidRPr="00C0611A">
        <w:rPr>
          <w:rFonts w:ascii="Calibri" w:hAnsi="Calibri" w:cs="Calibri"/>
          <w:sz w:val="20"/>
          <w:szCs w:val="20"/>
          <w:lang w:val="fr-CA"/>
        </w:rPr>
        <w:t>ravail</w:t>
      </w:r>
    </w:p>
    <w:p w:rsidR="00E17747" w:rsidRPr="000E6A4A" w:rsidRDefault="00E17747" w:rsidP="00FB702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  <w:lang w:val="fr-CA"/>
        </w:rPr>
      </w:pPr>
      <w:r w:rsidRPr="000E6A4A">
        <w:rPr>
          <w:rFonts w:ascii="Calibri" w:hAnsi="Calibri" w:cs="Calibri"/>
          <w:b/>
          <w:bCs/>
          <w:sz w:val="20"/>
          <w:szCs w:val="20"/>
          <w:highlight w:val="yellow"/>
          <w:lang w:val="fr-CA"/>
        </w:rPr>
        <w:br w:type="page"/>
      </w:r>
    </w:p>
    <w:tbl>
      <w:tblPr>
        <w:tblW w:w="9590" w:type="dxa"/>
        <w:jc w:val="center"/>
        <w:tblLayout w:type="fixed"/>
        <w:tblCellMar>
          <w:left w:w="114" w:type="dxa"/>
          <w:right w:w="114" w:type="dxa"/>
        </w:tblCellMar>
        <w:tblLook w:val="0000" w:firstRow="0" w:lastRow="0" w:firstColumn="0" w:lastColumn="0" w:noHBand="0" w:noVBand="0"/>
      </w:tblPr>
      <w:tblGrid>
        <w:gridCol w:w="824"/>
        <w:gridCol w:w="6644"/>
        <w:gridCol w:w="2122"/>
      </w:tblGrid>
      <w:tr w:rsidR="00E17747" w:rsidRPr="000E6A4A" w:rsidTr="00A66AA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0C0C0"/>
          </w:tcPr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before="60" w:after="2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lastRenderedPageBreak/>
              <w:t>POINT</w:t>
            </w:r>
          </w:p>
        </w:tc>
        <w:tc>
          <w:tcPr>
            <w:tcW w:w="6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0C0C0"/>
          </w:tcPr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before="60" w:after="2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OBJET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0C0C0"/>
          </w:tcPr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before="60" w:after="2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MESURE</w:t>
            </w:r>
            <w:r w:rsidR="00242C79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/</w:t>
            </w: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DÉCISION</w:t>
            </w:r>
          </w:p>
        </w:tc>
      </w:tr>
      <w:tr w:rsidR="00E17747" w:rsidRPr="000E6A4A" w:rsidTr="00A66AA7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17747" w:rsidRPr="000E6A4A" w:rsidRDefault="00E17747" w:rsidP="006D6E0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1.</w:t>
            </w:r>
          </w:p>
        </w:tc>
        <w:tc>
          <w:tcPr>
            <w:tcW w:w="6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17747" w:rsidRPr="000E6A4A" w:rsidRDefault="00E17747" w:rsidP="00771D7B">
            <w:pPr>
              <w:widowControl w:val="0"/>
              <w:tabs>
                <w:tab w:val="right" w:pos="6858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highlight w:val="white"/>
                <w:lang w:val="fr-CA"/>
              </w:rPr>
              <w:t>Mot d’ouverture et a</w:t>
            </w:r>
            <w:r w:rsidR="00771D7B">
              <w:rPr>
                <w:rFonts w:ascii="Calibri" w:hAnsi="Calibri" w:cs="Calibri"/>
                <w:b/>
                <w:bCs/>
                <w:sz w:val="20"/>
                <w:szCs w:val="20"/>
                <w:highlight w:val="white"/>
                <w:lang w:val="fr-CA"/>
              </w:rPr>
              <w:t>pprobat</w:t>
            </w: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highlight w:val="white"/>
                <w:lang w:val="fr-CA"/>
              </w:rPr>
              <w:t>ions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17747" w:rsidRPr="000E6A4A" w:rsidRDefault="00E17747" w:rsidP="006D6E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/>
                <w:lang w:val="fr-CA"/>
              </w:rPr>
            </w:pPr>
          </w:p>
        </w:tc>
      </w:tr>
      <w:tr w:rsidR="00E17747" w:rsidRPr="000E6A4A" w:rsidTr="00A66AA7">
        <w:tblPrEx>
          <w:tblCellMar>
            <w:top w:w="0" w:type="dxa"/>
            <w:bottom w:w="0" w:type="dxa"/>
          </w:tblCellMar>
        </w:tblPrEx>
        <w:trPr>
          <w:trHeight w:val="1555"/>
          <w:jc w:val="center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17747" w:rsidRPr="000E6A4A" w:rsidRDefault="00E17747" w:rsidP="006D6E0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hAnsi="Calibri"/>
                <w:lang w:val="fr-CA"/>
              </w:rPr>
            </w:pPr>
          </w:p>
        </w:tc>
        <w:tc>
          <w:tcPr>
            <w:tcW w:w="6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white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highlight w:val="white"/>
                <w:lang w:val="fr-CA"/>
              </w:rPr>
            </w:pP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highlight w:val="white"/>
                <w:lang w:val="fr-CA"/>
              </w:rPr>
              <w:t>Mot d’ouverture</w:t>
            </w:r>
          </w:p>
          <w:p w:rsidR="00E17747" w:rsidRPr="000E6A4A" w:rsidRDefault="00E17747" w:rsidP="00EC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white"/>
                <w:lang w:val="fr-CA"/>
              </w:rPr>
            </w:pPr>
            <w:r w:rsidRPr="000E6A4A">
              <w:rPr>
                <w:rFonts w:ascii="Calibri" w:hAnsi="Calibri" w:cs="Calibri"/>
                <w:sz w:val="20"/>
                <w:szCs w:val="20"/>
                <w:highlight w:val="white"/>
                <w:lang w:val="fr-CA"/>
              </w:rPr>
              <w:t xml:space="preserve">Les coprésidents </w:t>
            </w:r>
            <w:r w:rsidR="00EC0D8D">
              <w:rPr>
                <w:rFonts w:ascii="Calibri" w:hAnsi="Calibri" w:cs="Calibri"/>
                <w:sz w:val="20"/>
                <w:szCs w:val="20"/>
                <w:highlight w:val="white"/>
                <w:lang w:val="fr-CA"/>
              </w:rPr>
              <w:t>souhaitent la bienvenue aux</w:t>
            </w:r>
            <w:r w:rsidRPr="000E6A4A">
              <w:rPr>
                <w:rFonts w:ascii="Calibri" w:hAnsi="Calibri" w:cs="Calibri"/>
                <w:sz w:val="20"/>
                <w:szCs w:val="20"/>
                <w:highlight w:val="white"/>
                <w:lang w:val="fr-CA"/>
              </w:rPr>
              <w:t xml:space="preserve"> membres du comité.</w:t>
            </w: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white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highlight w:val="white"/>
                <w:lang w:val="fr-CA"/>
              </w:rPr>
            </w:pP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highlight w:val="white"/>
                <w:lang w:val="fr-CA"/>
              </w:rPr>
              <w:t>Adoption de l’ordre du jour</w:t>
            </w: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 xml:space="preserve">Les membres adoptent l’ordre du jour. </w:t>
            </w: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Approbation du procès-verbal de la réunion précédente</w:t>
            </w:r>
            <w:r w:rsidR="00E612C9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 </w:t>
            </w: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:</w:t>
            </w: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Gary Robertson invite les membres à approuver le procès-verbal de la réunion du 28 juin 2017. Luc</w:t>
            </w:r>
            <w:r w:rsidR="00E612C9">
              <w:rPr>
                <w:rFonts w:ascii="Calibri" w:hAnsi="Calibri" w:cs="Calibri"/>
                <w:sz w:val="20"/>
                <w:szCs w:val="20"/>
                <w:lang w:val="fr-CA"/>
              </w:rPr>
              <w:t> 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Provost et Andrew Gibson suggèrent que la colonne de gauche du document soit approuvée, mais pas la colonne de droite (Mesure/Décision)</w:t>
            </w:r>
            <w:r w:rsidR="00EC0D8D">
              <w:rPr>
                <w:rFonts w:ascii="Calibri" w:hAnsi="Calibri" w:cs="Calibri"/>
                <w:sz w:val="20"/>
                <w:szCs w:val="20"/>
                <w:lang w:val="fr-CA"/>
              </w:rPr>
              <w:t>,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car certaines mesures ne sont pas suffisamment détaillées.</w:t>
            </w: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Suivi de la réunion précédente – 28 juin 2017</w:t>
            </w: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Andrew Gibson soulève trois points des dernières réunions dont le suivi n</w:t>
            </w:r>
            <w:r w:rsidR="00E612C9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a pas été fait à la satisfaction de l</w:t>
            </w:r>
            <w:r w:rsidR="00E612C9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ACEP</w:t>
            </w:r>
            <w:r w:rsidR="00E612C9">
              <w:rPr>
                <w:rFonts w:ascii="Calibri" w:hAnsi="Calibri" w:cs="Calibri"/>
                <w:sz w:val="20"/>
                <w:szCs w:val="20"/>
                <w:lang w:val="fr-CA"/>
              </w:rPr>
              <w:t> 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:</w:t>
            </w:r>
          </w:p>
          <w:p w:rsidR="00E17747" w:rsidRPr="000E6A4A" w:rsidRDefault="00E17747" w:rsidP="0084606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Lancement de la phase</w:t>
            </w:r>
            <w:r w:rsidR="00E612C9">
              <w:rPr>
                <w:rFonts w:ascii="Calibri" w:hAnsi="Calibri" w:cs="Calibri"/>
                <w:sz w:val="20"/>
                <w:szCs w:val="20"/>
                <w:lang w:val="fr-CA"/>
              </w:rPr>
              <w:t> 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II d</w:t>
            </w:r>
            <w:r w:rsidR="00846066">
              <w:rPr>
                <w:rFonts w:ascii="Calibri" w:hAnsi="Calibri" w:cs="Calibri"/>
                <w:sz w:val="20"/>
                <w:szCs w:val="20"/>
                <w:lang w:val="fr-CA"/>
              </w:rPr>
              <w:t>u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Milieu de travail</w:t>
            </w:r>
            <w:r w:rsidR="00E612C9">
              <w:rPr>
                <w:rFonts w:ascii="Calibri" w:hAnsi="Calibri" w:cs="Calibri"/>
                <w:sz w:val="20"/>
                <w:szCs w:val="20"/>
                <w:lang w:val="fr-CA"/>
              </w:rPr>
              <w:t> 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2.0</w:t>
            </w:r>
          </w:p>
          <w:p w:rsidR="00E17747" w:rsidRPr="000E6A4A" w:rsidRDefault="00E17747" w:rsidP="006D6E0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Accessibilité aux salles de bien-être à la phase</w:t>
            </w:r>
            <w:r w:rsidR="00E612C9">
              <w:rPr>
                <w:rFonts w:ascii="Calibri" w:hAnsi="Calibri" w:cs="Calibri"/>
                <w:sz w:val="20"/>
                <w:szCs w:val="20"/>
                <w:lang w:val="fr-CA"/>
              </w:rPr>
              <w:t> 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II</w:t>
            </w:r>
          </w:p>
          <w:p w:rsidR="00E17747" w:rsidRPr="000E6A4A" w:rsidRDefault="00E17747" w:rsidP="009D3D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Problèmes d</w:t>
            </w:r>
            <w:r w:rsidR="00E612C9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 xml:space="preserve">accessibilité des douches </w:t>
            </w:r>
            <w:r w:rsidR="009D3DF6">
              <w:rPr>
                <w:rFonts w:ascii="Calibri" w:hAnsi="Calibri" w:cs="Calibri"/>
                <w:sz w:val="20"/>
                <w:szCs w:val="20"/>
                <w:lang w:val="fr-CA"/>
              </w:rPr>
              <w:t>aux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phase</w:t>
            </w:r>
            <w:r w:rsidR="009D3DF6">
              <w:rPr>
                <w:rFonts w:ascii="Calibri" w:hAnsi="Calibri" w:cs="Calibri"/>
                <w:sz w:val="20"/>
                <w:szCs w:val="20"/>
                <w:lang w:val="fr-CA"/>
              </w:rPr>
              <w:t>s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I</w:t>
            </w:r>
            <w:r w:rsidR="009D3DF6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et 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II</w:t>
            </w: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autoSpaceDE w:val="0"/>
              <w:autoSpaceDN w:val="0"/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Tony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Giles et Stéphane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Michaud indiquent ce qui suit pour chaque point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:</w:t>
            </w:r>
          </w:p>
          <w:p w:rsidR="00E17747" w:rsidRPr="000E6A4A" w:rsidRDefault="00E17747" w:rsidP="0084606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720" w:hanging="360"/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Lancement de la phase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II d</w:t>
            </w:r>
            <w:r w:rsidR="00846066">
              <w:rPr>
                <w:sz w:val="20"/>
                <w:szCs w:val="20"/>
                <w:lang w:val="fr-CA"/>
              </w:rPr>
              <w:t>u</w:t>
            </w:r>
            <w:r w:rsidRPr="000E6A4A">
              <w:rPr>
                <w:sz w:val="20"/>
                <w:szCs w:val="20"/>
                <w:lang w:val="fr-CA"/>
              </w:rPr>
              <w:t xml:space="preserve"> Milieu de travail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2.0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: une diapositive présentant les projets de biens immobiliers de la RCN pour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exercice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2017-2018 est présentée.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="00E612C9">
              <w:rPr>
                <w:sz w:val="20"/>
                <w:szCs w:val="20"/>
                <w:lang w:val="fr-CA"/>
              </w:rPr>
              <w:t>À l</w:t>
            </w:r>
            <w:r w:rsidR="00242C79">
              <w:rPr>
                <w:sz w:val="20"/>
                <w:szCs w:val="20"/>
                <w:lang w:val="fr-CA"/>
              </w:rPr>
              <w:t>’</w:t>
            </w:r>
            <w:r w:rsidR="00E612C9">
              <w:rPr>
                <w:sz w:val="20"/>
                <w:szCs w:val="20"/>
                <w:lang w:val="fr-CA"/>
              </w:rPr>
              <w:t>heure actuelle,</w:t>
            </w:r>
            <w:r w:rsidRPr="000E6A4A">
              <w:rPr>
                <w:sz w:val="20"/>
                <w:szCs w:val="20"/>
                <w:lang w:val="fr-CA"/>
              </w:rPr>
              <w:t xml:space="preserve">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accent est mis sur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optimisation de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espace et la livraison des postes de travail de la norme de conception d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intérieur d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EDSC pour répondre à la croissance du Ministère.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>Ainsi, seuls certains étages sont optimisés. Une deuxième diapositive présentant le plan décennal de réaménagement de la RCN est présentée.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</w:p>
          <w:p w:rsidR="00E17747" w:rsidRPr="000E6A4A" w:rsidRDefault="00E17747" w:rsidP="009E181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720" w:hanging="360"/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Salles de bien-être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: Le Ministère suit les normes de SPAC, car les salles du conseil et les salles de réunion devraient être considérées comme des salles multifonctionnelles.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>Elles doivent être perçues davantage comme des lieux de travail liés aux activités. Elles peuvent être réservé</w:t>
            </w:r>
            <w:r w:rsidR="002F114B">
              <w:rPr>
                <w:sz w:val="20"/>
                <w:szCs w:val="20"/>
                <w:lang w:val="fr-CA"/>
              </w:rPr>
              <w:t>e</w:t>
            </w:r>
            <w:r w:rsidRPr="000E6A4A">
              <w:rPr>
                <w:sz w:val="20"/>
                <w:szCs w:val="20"/>
                <w:lang w:val="fr-CA"/>
              </w:rPr>
              <w:t>s par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entremise des services ministériels de réservation de salles de réunion.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>On ne doit pas y laisser de matériel.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>Le service des</w:t>
            </w:r>
            <w:r w:rsidR="002F114B">
              <w:rPr>
                <w:sz w:val="20"/>
                <w:szCs w:val="20"/>
                <w:lang w:val="fr-CA"/>
              </w:rPr>
              <w:t xml:space="preserve"> </w:t>
            </w:r>
            <w:r w:rsidR="009E1816">
              <w:rPr>
                <w:sz w:val="20"/>
                <w:szCs w:val="20"/>
                <w:lang w:val="fr-CA"/>
              </w:rPr>
              <w:t>l</w:t>
            </w:r>
            <w:r w:rsidR="002F114B">
              <w:rPr>
                <w:sz w:val="20"/>
                <w:szCs w:val="20"/>
                <w:lang w:val="fr-CA"/>
              </w:rPr>
              <w:t>ocaux</w:t>
            </w:r>
            <w:r w:rsidRPr="000E6A4A">
              <w:rPr>
                <w:sz w:val="20"/>
                <w:szCs w:val="20"/>
                <w:lang w:val="fr-CA"/>
              </w:rPr>
              <w:t xml:space="preserve"> tente de modifier certains meubles et d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être plus souple (p. ex.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: tables pliantes).</w:t>
            </w:r>
          </w:p>
          <w:p w:rsidR="00E17747" w:rsidRPr="000E6A4A" w:rsidRDefault="00E17747" w:rsidP="009E181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720" w:hanging="360"/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Douches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 xml:space="preserve">: Dans les phases I </w:t>
            </w:r>
            <w:r w:rsidR="009E1816">
              <w:rPr>
                <w:sz w:val="20"/>
                <w:szCs w:val="20"/>
                <w:lang w:val="fr-CA"/>
              </w:rPr>
              <w:t>et</w:t>
            </w:r>
            <w:r w:rsidRPr="000E6A4A">
              <w:rPr>
                <w:sz w:val="20"/>
                <w:szCs w:val="20"/>
                <w:lang w:val="fr-CA"/>
              </w:rPr>
              <w:t xml:space="preserve"> II, il n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 xml:space="preserve">y a pas de douches </w:t>
            </w:r>
            <w:r w:rsidR="009E1816">
              <w:rPr>
                <w:sz w:val="20"/>
                <w:szCs w:val="20"/>
                <w:lang w:val="fr-CA"/>
              </w:rPr>
              <w:t xml:space="preserve">pour </w:t>
            </w:r>
            <w:r w:rsidRPr="000E6A4A">
              <w:rPr>
                <w:sz w:val="20"/>
                <w:szCs w:val="20"/>
                <w:lang w:val="fr-CA"/>
              </w:rPr>
              <w:t>EDSC. La douche existante appartient à Industrie Canada et ne fait pas partie du bail d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EDSC.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>Les douches de la phase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IV sont accessibles aux membres</w:t>
            </w:r>
            <w:r w:rsidR="006C1F9B">
              <w:rPr>
                <w:sz w:val="20"/>
                <w:szCs w:val="20"/>
                <w:lang w:val="fr-CA"/>
              </w:rPr>
              <w:t xml:space="preserve"> du centre sportif</w:t>
            </w:r>
            <w:r w:rsidRPr="000E6A4A">
              <w:rPr>
                <w:sz w:val="20"/>
                <w:szCs w:val="20"/>
                <w:lang w:val="fr-CA"/>
              </w:rPr>
              <w:t>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>Le service des</w:t>
            </w:r>
            <w:r w:rsidR="002F114B">
              <w:rPr>
                <w:sz w:val="20"/>
                <w:szCs w:val="20"/>
                <w:lang w:val="fr-CA"/>
              </w:rPr>
              <w:t xml:space="preserve"> </w:t>
            </w:r>
            <w:r w:rsidR="009E1816">
              <w:rPr>
                <w:sz w:val="20"/>
                <w:szCs w:val="20"/>
                <w:lang w:val="fr-CA"/>
              </w:rPr>
              <w:t>l</w:t>
            </w:r>
            <w:r w:rsidR="002F114B">
              <w:rPr>
                <w:sz w:val="20"/>
                <w:szCs w:val="20"/>
                <w:lang w:val="fr-CA"/>
              </w:rPr>
              <w:t>ocaux</w:t>
            </w:r>
            <w:r w:rsidRPr="000E6A4A">
              <w:rPr>
                <w:sz w:val="20"/>
                <w:szCs w:val="20"/>
                <w:lang w:val="fr-CA"/>
              </w:rPr>
              <w:t xml:space="preserve"> collabore avec SPAC et le SCT à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examen de leurs politiques, car il n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est pas obligatoire de fournir des douches sur les lieux de travail.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</w:p>
          <w:p w:rsidR="00E17747" w:rsidRPr="000E6A4A" w:rsidRDefault="00E17747" w:rsidP="006D6E0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720" w:hanging="360"/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Andrew Gibson reconnaît les efforts de la direction, mais indique ne pas être entièrement satisfait des réponses et demande quelle est la meilleure façon de poursuivre ces discussions.</w:t>
            </w:r>
          </w:p>
          <w:p w:rsidR="00E17747" w:rsidRPr="000E6A4A" w:rsidRDefault="00E17747" w:rsidP="009E181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720" w:hanging="360"/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Gary Robertson précise qu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il pourrait poursuivre les discussions avec le service des</w:t>
            </w:r>
            <w:r w:rsidR="002F114B">
              <w:rPr>
                <w:sz w:val="20"/>
                <w:szCs w:val="20"/>
                <w:lang w:val="fr-CA"/>
              </w:rPr>
              <w:t xml:space="preserve"> </w:t>
            </w:r>
            <w:r w:rsidR="009E1816">
              <w:rPr>
                <w:sz w:val="20"/>
                <w:szCs w:val="20"/>
                <w:lang w:val="fr-CA"/>
              </w:rPr>
              <w:t>l</w:t>
            </w:r>
            <w:r w:rsidR="002F114B">
              <w:rPr>
                <w:sz w:val="20"/>
                <w:szCs w:val="20"/>
                <w:lang w:val="fr-CA"/>
              </w:rPr>
              <w:t>ocaux</w:t>
            </w:r>
            <w:r w:rsidRPr="000E6A4A">
              <w:rPr>
                <w:sz w:val="20"/>
                <w:szCs w:val="20"/>
                <w:lang w:val="fr-CA"/>
              </w:rPr>
              <w:t>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 xml:space="preserve">De plus, le syndicat pourrait soumettre ses questions à la tribune nationale (CCNSP), car elles ne sont pas spécifiques au Programme du </w:t>
            </w:r>
            <w:r w:rsidR="009E1816">
              <w:rPr>
                <w:sz w:val="20"/>
                <w:szCs w:val="20"/>
                <w:lang w:val="fr-CA"/>
              </w:rPr>
              <w:t>t</w:t>
            </w:r>
            <w:r w:rsidRPr="000E6A4A">
              <w:rPr>
                <w:sz w:val="20"/>
                <w:szCs w:val="20"/>
                <w:lang w:val="fr-CA"/>
              </w:rPr>
              <w:t>ravail.</w:t>
            </w:r>
          </w:p>
          <w:p w:rsidR="00E17747" w:rsidRPr="000E6A4A" w:rsidRDefault="00E17747" w:rsidP="00CB1372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720" w:hanging="360"/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Anthony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Giles précise qu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il aimerait continuer à participer aux discussions avec le service des</w:t>
            </w:r>
            <w:r w:rsidR="002F114B">
              <w:rPr>
                <w:sz w:val="20"/>
                <w:szCs w:val="20"/>
                <w:lang w:val="fr-CA"/>
              </w:rPr>
              <w:t xml:space="preserve"> </w:t>
            </w:r>
            <w:r w:rsidR="00CB1372">
              <w:rPr>
                <w:sz w:val="20"/>
                <w:szCs w:val="20"/>
                <w:lang w:val="fr-CA"/>
              </w:rPr>
              <w:t>l</w:t>
            </w:r>
            <w:r w:rsidR="002F114B">
              <w:rPr>
                <w:sz w:val="20"/>
                <w:szCs w:val="20"/>
                <w:lang w:val="fr-CA"/>
              </w:rPr>
              <w:t>ocaux</w:t>
            </w:r>
            <w:r w:rsidRPr="000E6A4A">
              <w:rPr>
                <w:sz w:val="20"/>
                <w:szCs w:val="20"/>
                <w:lang w:val="fr-CA"/>
              </w:rPr>
              <w:t xml:space="preserve"> et le syndicat, car il les considère comme importantes.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6C1F9B" w:rsidRDefault="00230D90" w:rsidP="0060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6C1F9B">
              <w:rPr>
                <w:rFonts w:ascii="Calibri" w:hAnsi="Calibri" w:cs="Calibri"/>
                <w:sz w:val="20"/>
                <w:szCs w:val="20"/>
                <w:lang w:val="fr-CA"/>
              </w:rPr>
              <w:t>C</w:t>
            </w:r>
            <w:r w:rsidR="00E17747" w:rsidRPr="006C1F9B">
              <w:rPr>
                <w:rFonts w:ascii="Calibri" w:hAnsi="Calibri" w:cs="Calibri"/>
                <w:sz w:val="20"/>
                <w:szCs w:val="20"/>
                <w:lang w:val="fr-CA"/>
              </w:rPr>
              <w:t xml:space="preserve">larifier certaines mesures, c.-à-d. </w:t>
            </w:r>
            <w:r w:rsidR="00604354" w:rsidRPr="006C1F9B">
              <w:rPr>
                <w:rFonts w:ascii="Calibri" w:hAnsi="Calibri" w:cs="Calibri"/>
                <w:sz w:val="20"/>
                <w:szCs w:val="20"/>
                <w:lang w:val="fr-CA"/>
              </w:rPr>
              <w:t>l</w:t>
            </w:r>
            <w:r w:rsidR="00E17747" w:rsidRPr="006C1F9B">
              <w:rPr>
                <w:rFonts w:ascii="Calibri" w:hAnsi="Calibri" w:cs="Calibri"/>
                <w:sz w:val="20"/>
                <w:szCs w:val="20"/>
                <w:lang w:val="fr-CA"/>
              </w:rPr>
              <w:t>e point</w:t>
            </w:r>
            <w:r w:rsidR="00E612C9" w:rsidRPr="006C1F9B">
              <w:rPr>
                <w:rFonts w:ascii="Calibri" w:hAnsi="Calibri" w:cs="Calibri"/>
                <w:sz w:val="20"/>
                <w:szCs w:val="20"/>
                <w:lang w:val="fr-CA"/>
              </w:rPr>
              <w:t> </w:t>
            </w:r>
            <w:r w:rsidR="00E17747" w:rsidRPr="006C1F9B">
              <w:rPr>
                <w:rFonts w:ascii="Calibri" w:hAnsi="Calibri" w:cs="Calibri"/>
                <w:sz w:val="20"/>
                <w:szCs w:val="20"/>
                <w:lang w:val="fr-CA"/>
              </w:rPr>
              <w:t xml:space="preserve">3.3 </w:t>
            </w:r>
            <w:r w:rsidR="00242C79" w:rsidRPr="006C1F9B">
              <w:rPr>
                <w:rFonts w:ascii="Calibri" w:hAnsi="Calibri" w:cs="Calibri"/>
                <w:sz w:val="20"/>
                <w:szCs w:val="20"/>
                <w:lang w:val="fr-CA"/>
              </w:rPr>
              <w:t>–</w:t>
            </w:r>
            <w:r w:rsidR="00E17747" w:rsidRPr="006C1F9B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</w:t>
            </w:r>
            <w:r w:rsidR="00604354" w:rsidRPr="006C1F9B">
              <w:rPr>
                <w:rFonts w:ascii="Calibri" w:hAnsi="Calibri" w:cs="Calibri"/>
                <w:sz w:val="20"/>
                <w:szCs w:val="20"/>
                <w:lang w:val="fr-CA"/>
              </w:rPr>
              <w:t>Notation de l’évaluation de la gestion du rendement (EGR) et Politique sur la réalisation des mises à jour de l’EGR</w:t>
            </w:r>
            <w:r w:rsidR="00E612C9" w:rsidRPr="006C1F9B">
              <w:rPr>
                <w:rFonts w:ascii="Calibri" w:hAnsi="Calibri" w:cs="Calibri"/>
                <w:sz w:val="20"/>
                <w:szCs w:val="20"/>
                <w:lang w:val="fr-CA"/>
              </w:rPr>
              <w:t> </w:t>
            </w:r>
            <w:r w:rsidR="00E17747" w:rsidRPr="006C1F9B">
              <w:rPr>
                <w:rFonts w:ascii="Calibri" w:hAnsi="Calibri" w:cs="Calibri"/>
                <w:sz w:val="20"/>
                <w:szCs w:val="20"/>
                <w:lang w:val="fr-CA"/>
              </w:rPr>
              <w:t>: Vérifier si Lyne</w:t>
            </w:r>
            <w:r w:rsidR="00E612C9" w:rsidRPr="006C1F9B">
              <w:rPr>
                <w:rFonts w:ascii="Calibri" w:hAnsi="Calibri" w:cs="Calibri"/>
                <w:sz w:val="20"/>
                <w:szCs w:val="20"/>
                <w:lang w:val="fr-CA"/>
              </w:rPr>
              <w:t> </w:t>
            </w:r>
            <w:r w:rsidR="00E17747" w:rsidRPr="006C1F9B">
              <w:rPr>
                <w:rFonts w:ascii="Calibri" w:hAnsi="Calibri" w:cs="Calibri"/>
                <w:sz w:val="20"/>
                <w:szCs w:val="20"/>
                <w:lang w:val="fr-CA"/>
              </w:rPr>
              <w:t>Pépin a reçu une réponse du SCT.</w:t>
            </w: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</w:tc>
      </w:tr>
      <w:tr w:rsidR="00E17747" w:rsidRPr="000E6A4A" w:rsidTr="00A66AA7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7747" w:rsidRPr="000E6A4A" w:rsidRDefault="00E17747" w:rsidP="006D6E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2.</w:t>
            </w:r>
          </w:p>
        </w:tc>
        <w:tc>
          <w:tcPr>
            <w:tcW w:w="6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7747" w:rsidRPr="000E6A4A" w:rsidRDefault="00E17747" w:rsidP="006D6E0E">
            <w:pPr>
              <w:widowControl w:val="0"/>
              <w:tabs>
                <w:tab w:val="right" w:pos="6858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highlight w:val="white"/>
                <w:lang w:val="fr-CA"/>
              </w:rPr>
              <w:t>Questions opérationnelles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/>
                <w:lang w:val="fr-CA"/>
              </w:rPr>
            </w:pPr>
          </w:p>
        </w:tc>
      </w:tr>
      <w:tr w:rsidR="00E17747" w:rsidRPr="000E6A4A" w:rsidTr="00A66AA7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17747" w:rsidRPr="000E6A4A" w:rsidRDefault="00E17747" w:rsidP="006D6E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2</w:t>
            </w:r>
            <w:r w:rsidR="00B148B0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.</w:t>
            </w: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1</w:t>
            </w:r>
          </w:p>
        </w:tc>
        <w:tc>
          <w:tcPr>
            <w:tcW w:w="6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Le point sur les cartes d’identité (Annik</w:t>
            </w:r>
            <w:r w:rsidR="00E612C9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 </w:t>
            </w: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Wilson)</w:t>
            </w: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</w:p>
          <w:p w:rsidR="00E17747" w:rsidRPr="000E6A4A" w:rsidRDefault="00E17747" w:rsidP="00483D57">
            <w:pPr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Annik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Wilson précise qu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elle collabore actuellement avec des gestionnaires clés partout au pays et certains employés désignés par le SEN afin de proposer de nouvelles solutions d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 xml:space="preserve">identification pour les agents des affaires du travail (AAT), </w:t>
            </w:r>
            <w:r w:rsidR="00483D57">
              <w:rPr>
                <w:sz w:val="20"/>
                <w:szCs w:val="20"/>
                <w:lang w:val="fr-CA"/>
              </w:rPr>
              <w:t>fond</w:t>
            </w:r>
            <w:r w:rsidRPr="000E6A4A">
              <w:rPr>
                <w:sz w:val="20"/>
                <w:szCs w:val="20"/>
                <w:lang w:val="fr-CA"/>
              </w:rPr>
              <w:t>ées sur les pratiques exemplaires dans le monde de la réglementation.</w:t>
            </w:r>
            <w:r w:rsidR="00B33D77" w:rsidRPr="00B33D77">
              <w:rPr>
                <w:lang w:val="fr-CA"/>
              </w:rPr>
              <w:t xml:space="preserve"> </w:t>
            </w:r>
            <w:r w:rsidR="00B33D77" w:rsidRPr="00B33D77">
              <w:rPr>
                <w:sz w:val="20"/>
                <w:szCs w:val="20"/>
                <w:lang w:val="fr-CA"/>
              </w:rPr>
              <w:t>Elle a mentionné qu'ils sont à la recherche de cartes d'identification / badges facilement reconnaissables et acceptables pour tous les standards de l'industrie.</w:t>
            </w:r>
            <w:r w:rsidRPr="000E6A4A">
              <w:rPr>
                <w:sz w:val="20"/>
                <w:szCs w:val="20"/>
                <w:lang w:val="fr-CA"/>
              </w:rPr>
              <w:t xml:space="preserve"> Les solutions détermineront s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il doit y avoir différents identificateurs dans les secteurs d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activité de la santé et de la sécurité au travail et des normes du travail.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>Le groupe de travail présentera une proposition et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objectif est que le produit soit acheté avant la fin de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exercice. On fera le point sur la question à la prochaine réunion du CCPSPT.</w:t>
            </w:r>
          </w:p>
          <w:p w:rsidR="00E17747" w:rsidRPr="000E6A4A" w:rsidRDefault="00E17747" w:rsidP="006D6E0E">
            <w:pPr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Linda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Koo demande si cela s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appliquerait à tous les AAT. Annik répond que les besoins de tous les TI (TI-05 et TI-06) seront abordés.</w:t>
            </w: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Kevin</w:t>
            </w:r>
            <w:r w:rsidR="00E612C9">
              <w:rPr>
                <w:rFonts w:ascii="Calibri" w:hAnsi="Calibri" w:cs="Calibri"/>
                <w:sz w:val="20"/>
                <w:szCs w:val="20"/>
                <w:lang w:val="fr-CA"/>
              </w:rPr>
              <w:t> 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King indique que d</w:t>
            </w:r>
            <w:r w:rsidR="00E612C9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autres organisations fédérales ayant des responsabilités en matière de conformité et d</w:t>
            </w:r>
            <w:r w:rsidR="00E612C9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application ont des identifications qui leur sont propres. Avoir une marque facilement reconnaissable et appréci</w:t>
            </w:r>
            <w:r w:rsidR="00014B0D">
              <w:rPr>
                <w:rFonts w:ascii="Calibri" w:hAnsi="Calibri" w:cs="Calibri"/>
                <w:sz w:val="20"/>
                <w:szCs w:val="20"/>
                <w:lang w:val="fr-CA"/>
              </w:rPr>
              <w:t>ée par tous sera la clé pour les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employés.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6C1F9B" w:rsidRDefault="00E17747" w:rsidP="0063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6C1F9B">
              <w:rPr>
                <w:rFonts w:ascii="Calibri" w:hAnsi="Calibri" w:cs="Calibri"/>
                <w:sz w:val="20"/>
                <w:szCs w:val="20"/>
                <w:lang w:val="fr-CA"/>
              </w:rPr>
              <w:t xml:space="preserve">Annick </w:t>
            </w:r>
            <w:r w:rsidR="006C1F9B" w:rsidRPr="006C1F9B">
              <w:rPr>
                <w:rFonts w:ascii="Calibri" w:hAnsi="Calibri" w:cs="Calibri"/>
                <w:sz w:val="20"/>
                <w:szCs w:val="20"/>
                <w:lang w:val="fr-CA"/>
              </w:rPr>
              <w:t xml:space="preserve">(Mary Donaghy) </w:t>
            </w:r>
            <w:r w:rsidR="00031D55">
              <w:rPr>
                <w:rFonts w:ascii="Calibri" w:hAnsi="Calibri" w:cs="Calibri"/>
                <w:sz w:val="20"/>
                <w:szCs w:val="20"/>
                <w:lang w:val="fr-CA"/>
              </w:rPr>
              <w:t>j&lt;</w:t>
            </w:r>
            <w:r w:rsidR="00633DCD" w:rsidRPr="006C1F9B">
              <w:rPr>
                <w:rFonts w:ascii="Calibri" w:hAnsi="Calibri" w:cs="Calibri"/>
                <w:sz w:val="20"/>
                <w:szCs w:val="20"/>
                <w:lang w:val="fr-CA"/>
              </w:rPr>
              <w:t>présentera une mise à jour</w:t>
            </w:r>
            <w:r w:rsidRPr="006C1F9B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au comité à la prochaine réunion.</w:t>
            </w: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</w:tc>
      </w:tr>
      <w:tr w:rsidR="00E17747" w:rsidRPr="000E6A4A" w:rsidTr="00A66AA7">
        <w:tblPrEx>
          <w:tblCellMar>
            <w:top w:w="0" w:type="dxa"/>
            <w:bottom w:w="0" w:type="dxa"/>
          </w:tblCellMar>
        </w:tblPrEx>
        <w:trPr>
          <w:trHeight w:val="664"/>
          <w:jc w:val="center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17747" w:rsidRPr="000E6A4A" w:rsidRDefault="00E17747" w:rsidP="006D6E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2</w:t>
            </w:r>
            <w:r w:rsidR="00B148B0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.</w:t>
            </w: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2</w:t>
            </w:r>
          </w:p>
        </w:tc>
        <w:tc>
          <w:tcPr>
            <w:tcW w:w="6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Mise à jour sur le S</w:t>
            </w:r>
            <w:r w:rsidR="00B148B0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I</w:t>
            </w: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T (SEN) (Frances McCormick)</w:t>
            </w: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  <w:p w:rsidR="00E17747" w:rsidRPr="000E6A4A" w:rsidRDefault="00E17747" w:rsidP="00483D57">
            <w:pPr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Frances McCormick fait le point pour les participants sur le Système intégré du travail (SIT) à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aide d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un diaporama.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>Elle présente un aperçu du calendrier de mise en œuvre qui contient cinq versions.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>Elle explique que la version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1, qui met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accent sur le rapport annuel sur les situations comportant des risques de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employeur, fait actuellement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objet de tests et que 20 à 40 employés devraient suivre une formation au cours des prochaines semaines.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>Elle indique dans quelle mesure le SIT sera bénéfique pour les employés, car cela représente un réel investissement en eux.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>Le nouveau système permettra de réduire le fardeau administratif grâce à une approche plus stratégique dans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utilisation des données et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extraction des paramètres.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>Elle précise qu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il n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y a aucune perte d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emploi prévue.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>Elle explique ensuite qu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ils avaient identifié des ambassadeurs qui reçoivent (</w:t>
            </w:r>
            <w:r w:rsidR="00483D57">
              <w:rPr>
                <w:sz w:val="20"/>
                <w:szCs w:val="20"/>
                <w:lang w:val="fr-CA"/>
              </w:rPr>
              <w:t xml:space="preserve">ou </w:t>
            </w:r>
            <w:r w:rsidRPr="000E6A4A">
              <w:rPr>
                <w:sz w:val="20"/>
                <w:szCs w:val="20"/>
                <w:lang w:val="fr-CA"/>
              </w:rPr>
              <w:t>recevront) la formation sur les boîtes à outils et qui accompagneront les employés dans la transition qui s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étendra sur les deux prochaines années.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>La formation est en ligne et chaque séance a son formulaire d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évaluation qui s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appliquera aux s</w:t>
            </w:r>
            <w:r w:rsidR="00483D57">
              <w:rPr>
                <w:sz w:val="20"/>
                <w:szCs w:val="20"/>
                <w:lang w:val="fr-CA"/>
              </w:rPr>
              <w:t>éance</w:t>
            </w:r>
            <w:r w:rsidRPr="000E6A4A">
              <w:rPr>
                <w:sz w:val="20"/>
                <w:szCs w:val="20"/>
                <w:lang w:val="fr-CA"/>
              </w:rPr>
              <w:t xml:space="preserve">s futures. </w:t>
            </w:r>
          </w:p>
          <w:p w:rsidR="00E17747" w:rsidRPr="000E6A4A" w:rsidRDefault="00E17747" w:rsidP="006D6E0E">
            <w:pPr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Linda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Koo demande s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ils prévoyaient fournir un aide-mémoire, un résumé d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une page, une FAQ pour aider les employés.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>Frances répond que ces outils sont en préparation.</w:t>
            </w:r>
          </w:p>
          <w:p w:rsidR="00E17747" w:rsidRPr="000E6A4A" w:rsidRDefault="00E17747" w:rsidP="00483D57">
            <w:pPr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Andrew Gibson demande si on envisage de la formation en personne.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>Frances précise que, selon la situation, cela serait certainement pris en compte et que les employés pourraient toujours avoir des séances WebEx et des rencontres individuelles à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="00483D57">
              <w:rPr>
                <w:sz w:val="20"/>
                <w:szCs w:val="20"/>
                <w:lang w:val="fr-CA"/>
              </w:rPr>
              <w:t>A</w:t>
            </w:r>
            <w:r w:rsidRPr="000E6A4A">
              <w:rPr>
                <w:sz w:val="20"/>
                <w:szCs w:val="20"/>
                <w:lang w:val="fr-CA"/>
              </w:rPr>
              <w:t>dministration centrale</w:t>
            </w:r>
            <w:r w:rsidR="00101CF9">
              <w:rPr>
                <w:sz w:val="20"/>
                <w:szCs w:val="20"/>
                <w:lang w:val="fr-CA"/>
              </w:rPr>
              <w:t xml:space="preserve"> (AC)</w:t>
            </w:r>
            <w:r w:rsidRPr="000E6A4A">
              <w:rPr>
                <w:sz w:val="20"/>
                <w:szCs w:val="20"/>
                <w:lang w:val="fr-CA"/>
              </w:rPr>
              <w:t>.</w:t>
            </w:r>
          </w:p>
          <w:p w:rsidR="00E17747" w:rsidRPr="000E6A4A" w:rsidRDefault="00E17747" w:rsidP="006D6E0E">
            <w:pPr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Linda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Koo mentionne que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obligation de prendre des mesures d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adaptation pourrait être individuelle.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>Frances répond que lorsqu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ils collabore</w:t>
            </w:r>
            <w:r w:rsidR="00173A9A">
              <w:rPr>
                <w:sz w:val="20"/>
                <w:szCs w:val="20"/>
                <w:lang w:val="fr-CA"/>
              </w:rPr>
              <w:t>ro</w:t>
            </w:r>
            <w:r w:rsidRPr="000E6A4A">
              <w:rPr>
                <w:sz w:val="20"/>
                <w:szCs w:val="20"/>
                <w:lang w:val="fr-CA"/>
              </w:rPr>
              <w:t>nt avec des collègues dans les régions, ils s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assureront que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on demande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obligation de prendre des mesures d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adaptation.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</w:tc>
      </w:tr>
      <w:tr w:rsidR="00E17747" w:rsidRPr="000E6A4A" w:rsidTr="00A66AA7">
        <w:tblPrEx>
          <w:tblCellMar>
            <w:top w:w="0" w:type="dxa"/>
            <w:bottom w:w="0" w:type="dxa"/>
          </w:tblCellMar>
        </w:tblPrEx>
        <w:trPr>
          <w:trHeight w:val="1980"/>
          <w:jc w:val="center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17747" w:rsidRPr="000E6A4A" w:rsidRDefault="00E17747" w:rsidP="006D6E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2</w:t>
            </w:r>
            <w:r w:rsidR="00B148B0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.</w:t>
            </w: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3</w:t>
            </w:r>
          </w:p>
        </w:tc>
        <w:tc>
          <w:tcPr>
            <w:tcW w:w="6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b/>
                <w:bCs/>
                <w:sz w:val="20"/>
                <w:szCs w:val="20"/>
                <w:highlight w:val="white"/>
                <w:lang w:val="fr-CA"/>
              </w:rPr>
            </w:pP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highlight w:val="white"/>
                <w:lang w:val="fr-CA"/>
              </w:rPr>
              <w:t xml:space="preserve">Sondage auprès des employés du PT </w:t>
            </w:r>
            <w:r w:rsidR="00242C79">
              <w:rPr>
                <w:rFonts w:ascii="Calibri" w:hAnsi="Calibri" w:cs="Calibri"/>
                <w:b/>
                <w:bCs/>
                <w:sz w:val="20"/>
                <w:szCs w:val="20"/>
                <w:highlight w:val="white"/>
                <w:lang w:val="fr-CA"/>
              </w:rPr>
              <w:t>–</w:t>
            </w: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highlight w:val="white"/>
                <w:lang w:val="fr-CA"/>
              </w:rPr>
              <w:t xml:space="preserve"> Groupe de travail (SEN) </w:t>
            </w:r>
            <w:r w:rsidRPr="000E6A4A">
              <w:rPr>
                <w:rFonts w:ascii="Calibri Light" w:hAnsi="Calibri Light" w:cs="Calibri Light"/>
                <w:sz w:val="20"/>
                <w:szCs w:val="20"/>
                <w:highlight w:val="white"/>
                <w:lang w:val="fr-CA"/>
              </w:rPr>
              <w:t>(</w:t>
            </w: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highlight w:val="white"/>
                <w:lang w:val="fr-CA"/>
              </w:rPr>
              <w:t>Lyne</w:t>
            </w:r>
            <w:r w:rsidR="00E612C9">
              <w:rPr>
                <w:rFonts w:ascii="Calibri" w:hAnsi="Calibri" w:cs="Calibri"/>
                <w:b/>
                <w:bCs/>
                <w:sz w:val="20"/>
                <w:szCs w:val="20"/>
                <w:highlight w:val="white"/>
                <w:lang w:val="fr-CA"/>
              </w:rPr>
              <w:t> </w:t>
            </w: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highlight w:val="white"/>
                <w:lang w:val="fr-CA"/>
              </w:rPr>
              <w:t>Bourget)</w:t>
            </w:r>
          </w:p>
          <w:p w:rsidR="00E17747" w:rsidRPr="000E6A4A" w:rsidRDefault="00E17747" w:rsidP="00BE55A7">
            <w:pPr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Lyne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Bourget fait le point sur le Sondage auprès des employés du PT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="006140B3">
              <w:rPr>
                <w:sz w:val="20"/>
                <w:szCs w:val="20"/>
                <w:lang w:val="fr-CA"/>
              </w:rPr>
              <w:t xml:space="preserve">de </w:t>
            </w:r>
            <w:r w:rsidRPr="000E6A4A">
              <w:rPr>
                <w:sz w:val="20"/>
                <w:szCs w:val="20"/>
                <w:lang w:val="fr-CA"/>
              </w:rPr>
              <w:t xml:space="preserve">2016. La réponse aux résultats du SAFF de 2014 était relativement formelle et structurée. Les résultats ont été discutés à la réunion des gestionnaires du Programme du </w:t>
            </w:r>
            <w:r w:rsidR="00173A9A">
              <w:rPr>
                <w:sz w:val="20"/>
                <w:szCs w:val="20"/>
                <w:lang w:val="fr-CA"/>
              </w:rPr>
              <w:t>t</w:t>
            </w:r>
            <w:r w:rsidRPr="000E6A4A">
              <w:rPr>
                <w:sz w:val="20"/>
                <w:szCs w:val="20"/>
                <w:lang w:val="fr-CA"/>
              </w:rPr>
              <w:t xml:space="preserve">ravail et </w:t>
            </w:r>
            <w:r w:rsidR="000A0492">
              <w:rPr>
                <w:sz w:val="20"/>
                <w:szCs w:val="20"/>
                <w:lang w:val="fr-CA"/>
              </w:rPr>
              <w:t>communiqués aux</w:t>
            </w:r>
            <w:r w:rsidRPr="000E6A4A">
              <w:rPr>
                <w:sz w:val="20"/>
                <w:szCs w:val="20"/>
                <w:lang w:val="fr-CA"/>
              </w:rPr>
              <w:t xml:space="preserve"> employés</w:t>
            </w:r>
            <w:r w:rsidR="000A0492">
              <w:rPr>
                <w:sz w:val="20"/>
                <w:szCs w:val="20"/>
                <w:lang w:val="fr-CA"/>
              </w:rPr>
              <w:t xml:space="preserve"> aux fins de discussion</w:t>
            </w:r>
            <w:r w:rsidRPr="000E6A4A">
              <w:rPr>
                <w:sz w:val="20"/>
                <w:szCs w:val="20"/>
                <w:lang w:val="fr-CA"/>
              </w:rPr>
              <w:t>. Des plans d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action spécifiques locaux ont été élaborés, avec des rapports réguliers qui complétaie</w:t>
            </w:r>
            <w:r w:rsidR="006140B3">
              <w:rPr>
                <w:sz w:val="20"/>
                <w:szCs w:val="20"/>
                <w:lang w:val="fr-CA"/>
              </w:rPr>
              <w:t>nt les efforts du Programme du t</w:t>
            </w:r>
            <w:r w:rsidRPr="000E6A4A">
              <w:rPr>
                <w:sz w:val="20"/>
                <w:szCs w:val="20"/>
                <w:lang w:val="fr-CA"/>
              </w:rPr>
              <w:t>ravail (assemblée annuelle, Café Entre-nous, visites régionales, séances de formation, foires sur la santé mentale, etc</w:t>
            </w:r>
            <w:r w:rsidR="00B148B0">
              <w:rPr>
                <w:sz w:val="20"/>
                <w:szCs w:val="20"/>
                <w:lang w:val="fr-CA"/>
              </w:rPr>
              <w:t>.</w:t>
            </w:r>
            <w:r w:rsidRPr="000E6A4A">
              <w:rPr>
                <w:sz w:val="20"/>
                <w:szCs w:val="20"/>
                <w:lang w:val="fr-CA"/>
              </w:rPr>
              <w:t xml:space="preserve">). </w:t>
            </w:r>
          </w:p>
          <w:p w:rsidR="00E17747" w:rsidRPr="000E6A4A" w:rsidRDefault="00E17747" w:rsidP="00BE55A7">
            <w:pPr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 xml:space="preserve">Le </w:t>
            </w:r>
            <w:r w:rsidR="00BE55A7">
              <w:rPr>
                <w:sz w:val="20"/>
                <w:szCs w:val="20"/>
                <w:lang w:val="fr-CA"/>
              </w:rPr>
              <w:t>S</w:t>
            </w:r>
            <w:r w:rsidRPr="000E6A4A">
              <w:rPr>
                <w:sz w:val="20"/>
                <w:szCs w:val="20"/>
                <w:lang w:val="fr-CA"/>
              </w:rPr>
              <w:t>ondage auprès des employés du PT de 2016 a été mis à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essai pour voir si le programme allait dans la bonne direction grâce aux efforts déployés depuis le SAFF de 2014 et dans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attente du SAAFF.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</w:p>
          <w:p w:rsidR="00E17747" w:rsidRPr="000E6A4A" w:rsidRDefault="00E17747" w:rsidP="006D6E0E">
            <w:pPr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Les résultats ont montré quelques améliorations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 xml:space="preserve">: </w:t>
            </w:r>
          </w:p>
          <w:p w:rsidR="00E17747" w:rsidRPr="000E6A4A" w:rsidRDefault="00E17747" w:rsidP="00B64AC7">
            <w:pPr>
              <w:spacing w:after="0"/>
              <w:ind w:left="198"/>
              <w:contextualSpacing/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•</w:t>
            </w:r>
            <w:r w:rsidR="00B64AC7">
              <w:rPr>
                <w:sz w:val="20"/>
                <w:szCs w:val="20"/>
                <w:lang w:val="fr-CA"/>
              </w:rPr>
              <w:t xml:space="preserve"> C</w:t>
            </w:r>
            <w:r w:rsidRPr="000E6A4A">
              <w:rPr>
                <w:sz w:val="20"/>
                <w:szCs w:val="20"/>
                <w:lang w:val="fr-CA"/>
              </w:rPr>
              <w:t>onfiance accrue dans la haute direction;</w:t>
            </w:r>
          </w:p>
          <w:p w:rsidR="00E17747" w:rsidRPr="000E6A4A" w:rsidRDefault="00E17747" w:rsidP="00356730">
            <w:pPr>
              <w:spacing w:after="0"/>
              <w:ind w:left="198"/>
              <w:contextualSpacing/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•</w:t>
            </w:r>
            <w:r w:rsidR="00B64AC7">
              <w:rPr>
                <w:sz w:val="20"/>
                <w:szCs w:val="20"/>
                <w:lang w:val="fr-CA"/>
              </w:rPr>
              <w:t xml:space="preserve"> L</w:t>
            </w:r>
            <w:r w:rsidRPr="000E6A4A">
              <w:rPr>
                <w:sz w:val="20"/>
                <w:szCs w:val="20"/>
                <w:lang w:val="fr-CA"/>
              </w:rPr>
              <w:t xml:space="preserve">es gens </w:t>
            </w:r>
            <w:r w:rsidR="00356730">
              <w:rPr>
                <w:sz w:val="20"/>
                <w:szCs w:val="20"/>
                <w:lang w:val="fr-CA"/>
              </w:rPr>
              <w:t>estiment que leur bien-être global</w:t>
            </w:r>
            <w:r w:rsidRPr="000E6A4A">
              <w:rPr>
                <w:sz w:val="20"/>
                <w:szCs w:val="20"/>
                <w:lang w:val="fr-CA"/>
              </w:rPr>
              <w:t xml:space="preserve"> au travail</w:t>
            </w:r>
            <w:r w:rsidR="00356730">
              <w:rPr>
                <w:sz w:val="20"/>
                <w:szCs w:val="20"/>
                <w:lang w:val="fr-CA"/>
              </w:rPr>
              <w:t xml:space="preserve"> s’est amélioré</w:t>
            </w:r>
            <w:r w:rsidRPr="000E6A4A">
              <w:rPr>
                <w:sz w:val="20"/>
                <w:szCs w:val="20"/>
                <w:lang w:val="fr-CA"/>
              </w:rPr>
              <w:t>;</w:t>
            </w:r>
          </w:p>
          <w:p w:rsidR="00E17747" w:rsidRPr="000E6A4A" w:rsidRDefault="00E17747" w:rsidP="00356730">
            <w:pPr>
              <w:spacing w:after="0"/>
              <w:ind w:left="198"/>
              <w:contextualSpacing/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•</w:t>
            </w:r>
            <w:r w:rsidR="00B64AC7">
              <w:rPr>
                <w:sz w:val="20"/>
                <w:szCs w:val="20"/>
                <w:lang w:val="fr-CA"/>
              </w:rPr>
              <w:t xml:space="preserve"> L</w:t>
            </w:r>
            <w:r w:rsidRPr="000E6A4A">
              <w:rPr>
                <w:sz w:val="20"/>
                <w:szCs w:val="20"/>
                <w:lang w:val="fr-CA"/>
              </w:rPr>
              <w:t xml:space="preserve">es gens </w:t>
            </w:r>
            <w:r w:rsidR="00356730">
              <w:rPr>
                <w:sz w:val="20"/>
                <w:szCs w:val="20"/>
                <w:lang w:val="fr-CA"/>
              </w:rPr>
              <w:t>estiment</w:t>
            </w:r>
            <w:r w:rsidRPr="000E6A4A">
              <w:rPr>
                <w:sz w:val="20"/>
                <w:szCs w:val="20"/>
                <w:lang w:val="fr-CA"/>
              </w:rPr>
              <w:t xml:space="preserve"> que le travail accompli était reconnu.</w:t>
            </w:r>
          </w:p>
          <w:p w:rsidR="00E17747" w:rsidRPr="000E6A4A" w:rsidRDefault="00E17747" w:rsidP="006D6E0E">
            <w:pPr>
              <w:spacing w:after="0"/>
              <w:ind w:left="198"/>
              <w:contextualSpacing/>
              <w:rPr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Domaines nécessitant encore une attention particulière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:</w:t>
            </w:r>
          </w:p>
          <w:p w:rsidR="00E17747" w:rsidRPr="000E6A4A" w:rsidRDefault="00E17747" w:rsidP="006D6E0E">
            <w:pPr>
              <w:spacing w:after="0"/>
              <w:ind w:left="197"/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•</w:t>
            </w:r>
            <w:r w:rsidR="00B64AC7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>Augmentation du nombre de personnes qui estimaient ne pas avoir le matériel et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équipement nécessaires pour faire leur travail;</w:t>
            </w:r>
          </w:p>
          <w:p w:rsidR="00E17747" w:rsidRPr="000E6A4A" w:rsidRDefault="00E17747" w:rsidP="006D6E0E">
            <w:pPr>
              <w:spacing w:after="0"/>
              <w:ind w:left="197"/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•</w:t>
            </w:r>
            <w:r w:rsidR="00B64AC7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>Perception toujours élevée de harcèlement et de discrimination en milieu de travail;</w:t>
            </w:r>
          </w:p>
          <w:p w:rsidR="00E17747" w:rsidRPr="000E6A4A" w:rsidRDefault="00E17747" w:rsidP="00356730">
            <w:pPr>
              <w:spacing w:after="0"/>
              <w:ind w:left="197"/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•</w:t>
            </w:r>
            <w:r w:rsidR="00B64AC7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 xml:space="preserve">Manque de </w:t>
            </w:r>
            <w:r w:rsidR="00356730">
              <w:rPr>
                <w:sz w:val="20"/>
                <w:szCs w:val="20"/>
                <w:lang w:val="fr-CA"/>
              </w:rPr>
              <w:t>communication</w:t>
            </w:r>
            <w:r w:rsidRPr="000E6A4A">
              <w:rPr>
                <w:sz w:val="20"/>
                <w:szCs w:val="20"/>
                <w:lang w:val="fr-CA"/>
              </w:rPr>
              <w:t xml:space="preserve"> de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information des superviseurs aux employés.</w:t>
            </w:r>
          </w:p>
          <w:p w:rsidR="00E17747" w:rsidRPr="000E6A4A" w:rsidRDefault="00E17747" w:rsidP="006D6E0E">
            <w:pPr>
              <w:spacing w:after="0"/>
              <w:ind w:left="197"/>
              <w:rPr>
                <w:sz w:val="20"/>
                <w:szCs w:val="20"/>
                <w:lang w:val="fr-CA"/>
              </w:rPr>
            </w:pPr>
          </w:p>
          <w:p w:rsidR="00E17747" w:rsidRPr="000E6A4A" w:rsidRDefault="00E17747" w:rsidP="00266342">
            <w:pPr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À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automne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 xml:space="preserve">2016, les gestionnaires ont été chargés de discuter des résultats du </w:t>
            </w:r>
            <w:r w:rsidR="00AF2A8A">
              <w:rPr>
                <w:sz w:val="20"/>
                <w:szCs w:val="20"/>
                <w:lang w:val="fr-CA"/>
              </w:rPr>
              <w:t>S</w:t>
            </w:r>
            <w:r w:rsidRPr="000E6A4A">
              <w:rPr>
                <w:sz w:val="20"/>
                <w:szCs w:val="20"/>
                <w:lang w:val="fr-CA"/>
              </w:rPr>
              <w:t xml:space="preserve">ondage auprès des employés du PT avec les employés et de prendre les mesures appropriées. On laisse à chaque </w:t>
            </w:r>
            <w:r w:rsidR="00AF2A8A">
              <w:rPr>
                <w:sz w:val="20"/>
                <w:szCs w:val="20"/>
                <w:lang w:val="fr-CA"/>
              </w:rPr>
              <w:t>secteur</w:t>
            </w:r>
            <w:r w:rsidRPr="000E6A4A">
              <w:rPr>
                <w:sz w:val="20"/>
                <w:szCs w:val="20"/>
                <w:lang w:val="fr-CA"/>
              </w:rPr>
              <w:t xml:space="preserve"> le soin de déterminer </w:t>
            </w:r>
            <w:r w:rsidR="00F00F08">
              <w:rPr>
                <w:sz w:val="20"/>
                <w:szCs w:val="20"/>
                <w:lang w:val="fr-CA"/>
              </w:rPr>
              <w:t>son</w:t>
            </w:r>
            <w:r w:rsidRPr="000E6A4A">
              <w:rPr>
                <w:sz w:val="20"/>
                <w:szCs w:val="20"/>
                <w:lang w:val="fr-CA"/>
              </w:rPr>
              <w:t xml:space="preserve"> approche et </w:t>
            </w:r>
            <w:r w:rsidR="00F00F08">
              <w:rPr>
                <w:sz w:val="20"/>
                <w:szCs w:val="20"/>
                <w:lang w:val="fr-CA"/>
              </w:rPr>
              <w:t>ses mesures</w:t>
            </w:r>
            <w:r w:rsidRPr="000E6A4A">
              <w:rPr>
                <w:sz w:val="20"/>
                <w:szCs w:val="20"/>
                <w:lang w:val="fr-CA"/>
              </w:rPr>
              <w:t xml:space="preserve"> (en fonction de la taille et de la culture des groupes).</w:t>
            </w:r>
            <w:r w:rsidR="00242C79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>Une région a choisi de former un groupe de travail tandis que d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autres ont utilisé des mécanismes déjà en place (c.-à-d.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: réunions du personnel/d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équipe, comité de mobilisation des employés de DEO, etc.). Les résultats des deux sondages ont été abordés au CCPSPT et l</w:t>
            </w:r>
            <w:r w:rsidR="00266342">
              <w:rPr>
                <w:sz w:val="20"/>
                <w:szCs w:val="20"/>
                <w:lang w:val="fr-CA"/>
              </w:rPr>
              <w:t>a</w:t>
            </w:r>
            <w:r w:rsidRPr="000E6A4A">
              <w:rPr>
                <w:sz w:val="20"/>
                <w:szCs w:val="20"/>
                <w:lang w:val="fr-CA"/>
              </w:rPr>
              <w:t xml:space="preserve"> sous-ministre a communiqué avec les dirigeants syndicaux.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>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engagement</w:t>
            </w:r>
            <w:r w:rsidR="008821E6">
              <w:rPr>
                <w:lang w:val="fr-CA"/>
              </w:rPr>
              <w:t xml:space="preserve">, </w:t>
            </w:r>
            <w:r w:rsidR="008821E6">
              <w:rPr>
                <w:sz w:val="20"/>
                <w:szCs w:val="20"/>
                <w:lang w:val="fr-CA"/>
              </w:rPr>
              <w:t>harcèlement,</w:t>
            </w:r>
            <w:r w:rsidR="008821E6" w:rsidRPr="008821E6">
              <w:rPr>
                <w:sz w:val="20"/>
                <w:szCs w:val="20"/>
                <w:lang w:val="fr-CA"/>
              </w:rPr>
              <w:t xml:space="preserve"> discrimination</w:t>
            </w:r>
            <w:r w:rsidR="008821E6">
              <w:rPr>
                <w:sz w:val="20"/>
                <w:szCs w:val="20"/>
                <w:lang w:val="fr-CA"/>
              </w:rPr>
              <w:t xml:space="preserve"> et</w:t>
            </w:r>
            <w:r w:rsidRPr="000E6A4A">
              <w:rPr>
                <w:sz w:val="20"/>
                <w:szCs w:val="20"/>
                <w:lang w:val="fr-CA"/>
              </w:rPr>
              <w:t xml:space="preserve"> le bien-être des employés continuent d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être une</w:t>
            </w:r>
            <w:r w:rsidR="006140B3">
              <w:rPr>
                <w:sz w:val="20"/>
                <w:szCs w:val="20"/>
                <w:lang w:val="fr-CA"/>
              </w:rPr>
              <w:t xml:space="preserve"> priorité pour le Programme du t</w:t>
            </w:r>
            <w:r w:rsidRPr="000E6A4A">
              <w:rPr>
                <w:sz w:val="20"/>
                <w:szCs w:val="20"/>
                <w:lang w:val="fr-CA"/>
              </w:rPr>
              <w:t>ravail et nous attendons avec impatience les résultats du SAFF de 2017 qui devraient être publiés au printemps.</w:t>
            </w:r>
          </w:p>
          <w:p w:rsidR="00E17747" w:rsidRPr="000E6A4A" w:rsidRDefault="00E17747" w:rsidP="006D6E0E">
            <w:pPr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Gary Robertson souligne le fait que la perception du harcèlement et de la discrimination est un domaine très important pour le programme.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>Annik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Wilson indique que son mandat actuel jusqu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à la fin de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exercice consiste à examiner les véritables enjeux et à prése</w:t>
            </w:r>
            <w:r w:rsidR="00741324">
              <w:rPr>
                <w:sz w:val="20"/>
                <w:szCs w:val="20"/>
                <w:lang w:val="fr-CA"/>
              </w:rPr>
              <w:t>nter un rapport avant avril 2018</w:t>
            </w:r>
            <w:r w:rsidRPr="000E6A4A">
              <w:rPr>
                <w:sz w:val="20"/>
                <w:szCs w:val="20"/>
                <w:lang w:val="fr-CA"/>
              </w:rPr>
              <w:t>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 xml:space="preserve">Elle se rendra dans les </w:t>
            </w:r>
            <w:r w:rsidR="00741324">
              <w:rPr>
                <w:sz w:val="20"/>
                <w:szCs w:val="20"/>
                <w:lang w:val="fr-CA"/>
              </w:rPr>
              <w:t>seize (</w:t>
            </w:r>
            <w:r w:rsidRPr="000E6A4A">
              <w:rPr>
                <w:sz w:val="20"/>
                <w:szCs w:val="20"/>
                <w:lang w:val="fr-CA"/>
              </w:rPr>
              <w:t>16</w:t>
            </w:r>
            <w:r w:rsidR="00741324">
              <w:rPr>
                <w:sz w:val="20"/>
                <w:szCs w:val="20"/>
                <w:lang w:val="fr-CA"/>
              </w:rPr>
              <w:t>)</w:t>
            </w:r>
            <w:r w:rsidRPr="000E6A4A">
              <w:rPr>
                <w:sz w:val="20"/>
                <w:szCs w:val="20"/>
                <w:lang w:val="fr-CA"/>
              </w:rPr>
              <w:t xml:space="preserve"> centres, tiendra des réunions regroupant jusqu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 xml:space="preserve">à </w:t>
            </w:r>
            <w:r w:rsidR="00741324">
              <w:rPr>
                <w:sz w:val="20"/>
                <w:szCs w:val="20"/>
                <w:lang w:val="fr-CA"/>
              </w:rPr>
              <w:t>dix (</w:t>
            </w:r>
            <w:r w:rsidRPr="000E6A4A">
              <w:rPr>
                <w:sz w:val="20"/>
                <w:szCs w:val="20"/>
                <w:lang w:val="fr-CA"/>
              </w:rPr>
              <w:t>10</w:t>
            </w:r>
            <w:r w:rsidR="00741324">
              <w:rPr>
                <w:sz w:val="20"/>
                <w:szCs w:val="20"/>
                <w:lang w:val="fr-CA"/>
              </w:rPr>
              <w:t>)</w:t>
            </w:r>
            <w:r w:rsidRPr="000E6A4A">
              <w:rPr>
                <w:sz w:val="20"/>
                <w:szCs w:val="20"/>
                <w:lang w:val="fr-CA"/>
              </w:rPr>
              <w:t xml:space="preserve"> personnes et préparera des recommandations de mesures à prendre.</w:t>
            </w:r>
          </w:p>
          <w:p w:rsidR="00E17747" w:rsidRPr="000E6A4A" w:rsidRDefault="00E17747" w:rsidP="006D6E0E">
            <w:pPr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Linda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Koo demande si le rapport sera présenté au CCPSPT.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>Gary Robertson répond que oui.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>Il déclare aussi qu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ils sont véritablement préoccupés par cette question.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 xml:space="preserve">Au cours des </w:t>
            </w:r>
            <w:r w:rsidR="00432320">
              <w:rPr>
                <w:sz w:val="20"/>
                <w:szCs w:val="20"/>
                <w:lang w:val="fr-CA"/>
              </w:rPr>
              <w:t>trente (</w:t>
            </w:r>
            <w:r w:rsidRPr="000E6A4A">
              <w:rPr>
                <w:sz w:val="20"/>
                <w:szCs w:val="20"/>
                <w:lang w:val="fr-CA"/>
              </w:rPr>
              <w:t>30</w:t>
            </w:r>
            <w:r w:rsidR="00432320">
              <w:rPr>
                <w:sz w:val="20"/>
                <w:szCs w:val="20"/>
                <w:lang w:val="fr-CA"/>
              </w:rPr>
              <w:t>)</w:t>
            </w:r>
            <w:r w:rsidRPr="000E6A4A">
              <w:rPr>
                <w:sz w:val="20"/>
                <w:szCs w:val="20"/>
                <w:lang w:val="fr-CA"/>
              </w:rPr>
              <w:t xml:space="preserve"> derniers mois, ils ont augmenté les ressources, responsabilisé la direction et doté les employés de meilleurs outils.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>Ils veulent s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assurer que les employés sont en bonne santé.</w:t>
            </w:r>
          </w:p>
          <w:p w:rsidR="00E17747" w:rsidRPr="000E6A4A" w:rsidRDefault="00E17747" w:rsidP="006D6E0E">
            <w:pPr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Michael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O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Donnell indique que les effets du PARD se f</w:t>
            </w:r>
            <w:r w:rsidR="00E612C9">
              <w:rPr>
                <w:sz w:val="20"/>
                <w:szCs w:val="20"/>
                <w:lang w:val="fr-CA"/>
              </w:rPr>
              <w:t>on</w:t>
            </w:r>
            <w:r w:rsidRPr="000E6A4A">
              <w:rPr>
                <w:sz w:val="20"/>
                <w:szCs w:val="20"/>
                <w:lang w:val="fr-CA"/>
              </w:rPr>
              <w:t>t toujours sentir et que beaucoup de choses en découlent encore.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</w:tc>
      </w:tr>
      <w:tr w:rsidR="00E17747" w:rsidRPr="000E6A4A" w:rsidTr="00A66AA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7747" w:rsidRPr="000E6A4A" w:rsidRDefault="00E17747" w:rsidP="006D6E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val="fr-CA"/>
              </w:rPr>
            </w:pPr>
            <w:r w:rsidRPr="000E6A4A">
              <w:rPr>
                <w:rFonts w:cs="Calibri"/>
                <w:b/>
                <w:bCs/>
                <w:sz w:val="20"/>
                <w:szCs w:val="20"/>
                <w:lang w:val="fr-CA"/>
              </w:rPr>
              <w:t>2</w:t>
            </w:r>
            <w:r w:rsidR="00B148B0">
              <w:rPr>
                <w:rFonts w:cs="Calibri"/>
                <w:b/>
                <w:bCs/>
                <w:sz w:val="20"/>
                <w:szCs w:val="20"/>
                <w:lang w:val="fr-CA"/>
              </w:rPr>
              <w:t>.</w:t>
            </w:r>
            <w:r w:rsidRPr="000E6A4A">
              <w:rPr>
                <w:rFonts w:cs="Calibri"/>
                <w:b/>
                <w:bCs/>
                <w:sz w:val="20"/>
                <w:szCs w:val="20"/>
                <w:lang w:val="fr-CA"/>
              </w:rPr>
              <w:t>4</w:t>
            </w:r>
          </w:p>
        </w:tc>
        <w:tc>
          <w:tcPr>
            <w:tcW w:w="6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val="fr-CA"/>
              </w:rPr>
            </w:pPr>
            <w:r w:rsidRPr="000E6A4A">
              <w:rPr>
                <w:rFonts w:cs="Calibri"/>
                <w:b/>
                <w:bCs/>
                <w:sz w:val="20"/>
                <w:szCs w:val="20"/>
                <w:lang w:val="fr-CA"/>
              </w:rPr>
              <w:t>Région de la capitale nationale par rapport au reste du pays (SEN) (Luc</w:t>
            </w:r>
            <w:r w:rsidR="00242C79">
              <w:rPr>
                <w:rFonts w:cs="Calibri"/>
                <w:b/>
                <w:bCs/>
                <w:sz w:val="20"/>
                <w:szCs w:val="20"/>
                <w:lang w:val="fr-CA"/>
              </w:rPr>
              <w:t> </w:t>
            </w:r>
            <w:r w:rsidRPr="000E6A4A">
              <w:rPr>
                <w:rFonts w:cs="Calibri"/>
                <w:b/>
                <w:bCs/>
                <w:sz w:val="20"/>
                <w:szCs w:val="20"/>
                <w:lang w:val="fr-CA"/>
              </w:rPr>
              <w:t>Provost)</w:t>
            </w: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Luc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Provost exprime ses préoccupations quant au fait que les possibilités de carrière sont beaucoup plus nombreuses dans la RCN que dans les régions.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>EDSC devrait faire preuve de plus de souplesse dans son approche des RH, car la plupart des offres d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emploi ne sont accessibles qu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aux employés de la RCN et excluent souvent même les employés régionaux.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</w:p>
          <w:p w:rsidR="00E17747" w:rsidRPr="000E6A4A" w:rsidRDefault="00E17747" w:rsidP="006D6E0E">
            <w:pPr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M.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Provost déclare que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:</w:t>
            </w:r>
          </w:p>
          <w:p w:rsidR="00E17747" w:rsidRPr="000E6A4A" w:rsidRDefault="00B148B0" w:rsidP="006D6E0E">
            <w:pPr>
              <w:numPr>
                <w:ilvl w:val="0"/>
                <w:numId w:val="5"/>
              </w:numPr>
              <w:spacing w:after="0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L</w:t>
            </w:r>
            <w:r w:rsidR="00E17747" w:rsidRPr="000E6A4A">
              <w:rPr>
                <w:sz w:val="20"/>
                <w:szCs w:val="20"/>
                <w:lang w:val="fr-CA"/>
              </w:rPr>
              <w:t>a direction doit trouver des moyens de permettre aux employés des régions d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="00E17747" w:rsidRPr="000E6A4A">
              <w:rPr>
                <w:sz w:val="20"/>
                <w:szCs w:val="20"/>
                <w:lang w:val="fr-CA"/>
              </w:rPr>
              <w:t>avoir de meilleures chances de progression de carrière, y compris au sein de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="00E17747" w:rsidRPr="000E6A4A">
              <w:rPr>
                <w:sz w:val="20"/>
                <w:szCs w:val="20"/>
                <w:lang w:val="fr-CA"/>
              </w:rPr>
              <w:t>organisation.</w:t>
            </w:r>
          </w:p>
          <w:p w:rsidR="00E17747" w:rsidRPr="000E6A4A" w:rsidRDefault="00E17747" w:rsidP="006D6E0E">
            <w:pPr>
              <w:numPr>
                <w:ilvl w:val="0"/>
                <w:numId w:val="5"/>
              </w:numPr>
              <w:spacing w:after="0"/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Le mérite d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un candidat ne doit pas reposer uniquement sur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endroit où il travaille à un moment précis.</w:t>
            </w:r>
          </w:p>
          <w:p w:rsidR="00E17747" w:rsidRPr="000E6A4A" w:rsidRDefault="00E17747" w:rsidP="006D6E0E">
            <w:pPr>
              <w:numPr>
                <w:ilvl w:val="0"/>
                <w:numId w:val="5"/>
              </w:numPr>
              <w:spacing w:after="0"/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La direction devrait profiter de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expertise et des technologies des régions pour assumer la charge de travail de la RCN (comme c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est déjà le cas dans certains cas) et permettre aux employés de travailler pour la RCN, mais la plupart du temps dans leur propre région.</w:t>
            </w:r>
          </w:p>
          <w:p w:rsidR="00E17747" w:rsidRPr="000E6A4A" w:rsidRDefault="00E17747" w:rsidP="006D6E0E">
            <w:pPr>
              <w:numPr>
                <w:ilvl w:val="0"/>
                <w:numId w:val="5"/>
              </w:numPr>
              <w:spacing w:after="0"/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Le mandat de notre ministre stipule qu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ils doivent «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promouvoir la flexibilité dans les lieux de travail sous réglementation fédérale</w:t>
            </w:r>
            <w:r w:rsidR="00E612C9">
              <w:rPr>
                <w:sz w:val="20"/>
                <w:szCs w:val="20"/>
                <w:lang w:val="fr-CA"/>
              </w:rPr>
              <w:t> »</w:t>
            </w:r>
            <w:r w:rsidRPr="000E6A4A">
              <w:rPr>
                <w:sz w:val="20"/>
                <w:szCs w:val="20"/>
                <w:lang w:val="fr-CA"/>
              </w:rPr>
              <w:t>;</w:t>
            </w:r>
          </w:p>
          <w:p w:rsidR="00E17747" w:rsidRPr="000E6A4A" w:rsidRDefault="00E17747" w:rsidP="006D6E0E">
            <w:pPr>
              <w:numPr>
                <w:ilvl w:val="0"/>
                <w:numId w:val="5"/>
              </w:numPr>
              <w:spacing w:after="0"/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 xml:space="preserve">Nous devons faire quelque chose et prendre des mesures au sujet des comités </w:t>
            </w:r>
            <w:r w:rsidR="00E70691">
              <w:rPr>
                <w:sz w:val="20"/>
                <w:szCs w:val="20"/>
                <w:lang w:val="fr-CA"/>
              </w:rPr>
              <w:t xml:space="preserve">de sélection </w:t>
            </w:r>
            <w:r w:rsidRPr="000E6A4A">
              <w:rPr>
                <w:sz w:val="20"/>
                <w:szCs w:val="20"/>
                <w:lang w:val="fr-CA"/>
              </w:rPr>
              <w:t>qui «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excluent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» les EFP de leur processus lorsqu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ils constatent ou comprennent qu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il s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agit d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EFP à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extérieur de la RCN.</w:t>
            </w:r>
          </w:p>
          <w:p w:rsidR="00E17747" w:rsidRPr="000E6A4A" w:rsidRDefault="00E17747" w:rsidP="006D6E0E">
            <w:pPr>
              <w:spacing w:after="0"/>
              <w:ind w:left="720"/>
              <w:rPr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Il parle enfin de la mise en place par Transports Canada d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une base de données de réseaux de talents pour les postes intérimaires et à court terme. </w:t>
            </w:r>
          </w:p>
          <w:p w:rsidR="00E17747" w:rsidRPr="000E6A4A" w:rsidRDefault="00E17747" w:rsidP="006D6E0E">
            <w:pPr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Annik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Wilson précise qu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au cours de la dernière année, sur 25 affectations à court terme, la plupart provenaient des régions.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>Cependant, le talent est présent partout au Canada et le programme pourrait encourager une telle pratique de gestion des talents.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>M.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Provost reconnaît qu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il y a eu des progrès, mais que nous sommes encore loin de ce que nous pourrions ou devrions être. Gary Robertson, appuyant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observation d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Annik, indique qu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il faut cons</w:t>
            </w:r>
            <w:r w:rsidR="00B23522">
              <w:rPr>
                <w:sz w:val="20"/>
                <w:szCs w:val="20"/>
                <w:lang w:val="fr-CA"/>
              </w:rPr>
              <w:t xml:space="preserve">tamment réévaluer nos pratiques et </w:t>
            </w:r>
            <w:r w:rsidR="00B23522" w:rsidRPr="00B23522">
              <w:rPr>
                <w:sz w:val="20"/>
                <w:szCs w:val="20"/>
                <w:lang w:val="fr-CA"/>
              </w:rPr>
              <w:t>qu'il y a certainement place à amélioration.</w:t>
            </w:r>
          </w:p>
          <w:p w:rsidR="00E17747" w:rsidRPr="000E6A4A" w:rsidRDefault="00E17747" w:rsidP="006D6E0E">
            <w:pPr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Kevin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King déclare que la gestion des talents n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est pas nouvelle et existe depuis longtemps (même si elle portait un autre nom).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>Il fait un parallèle avec le système de droits de priorité en déclarant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 xml:space="preserve">: </w:t>
            </w:r>
            <w:r w:rsidR="00E612C9">
              <w:rPr>
                <w:sz w:val="20"/>
                <w:szCs w:val="20"/>
                <w:lang w:val="fr-CA"/>
              </w:rPr>
              <w:t>« </w:t>
            </w:r>
            <w:r w:rsidRPr="000E6A4A">
              <w:rPr>
                <w:sz w:val="20"/>
                <w:szCs w:val="20"/>
                <w:lang w:val="fr-CA"/>
              </w:rPr>
              <w:t>Nous avons besoin de bassins de talents!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>Si vous le construisez, ils viendront.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»</w:t>
            </w:r>
          </w:p>
          <w:p w:rsidR="00E17747" w:rsidRPr="000E6A4A" w:rsidRDefault="00E17747" w:rsidP="006D6E0E">
            <w:pPr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Michael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O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Donnell précise que le nouveau directeur régional de la région de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Ontario a dressé une liste d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 xml:space="preserve">employés dans laquelle il pourrait puiser. 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Mary</w:t>
            </w:r>
            <w:r w:rsidR="00E612C9">
              <w:rPr>
                <w:rFonts w:ascii="Calibri" w:hAnsi="Calibri" w:cs="Calibri"/>
                <w:sz w:val="20"/>
                <w:szCs w:val="20"/>
                <w:lang w:val="fr-CA"/>
              </w:rPr>
              <w:t> 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Donaghy fera circuler l</w:t>
            </w:r>
            <w:r w:rsidR="00E612C9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initiative</w:t>
            </w:r>
            <w:r w:rsidR="00CA70D1">
              <w:rPr>
                <w:rFonts w:ascii="Calibri" w:hAnsi="Calibri" w:cs="Calibri"/>
                <w:sz w:val="20"/>
                <w:szCs w:val="20"/>
                <w:lang w:val="fr-CA"/>
              </w:rPr>
              <w:t>.</w:t>
            </w:r>
          </w:p>
        </w:tc>
      </w:tr>
      <w:tr w:rsidR="00E17747" w:rsidRPr="000E6A4A" w:rsidTr="00A66AA7">
        <w:tblPrEx>
          <w:tblCellMar>
            <w:top w:w="0" w:type="dxa"/>
            <w:bottom w:w="0" w:type="dxa"/>
          </w:tblCellMar>
        </w:tblPrEx>
        <w:trPr>
          <w:trHeight w:val="1538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7747" w:rsidRPr="000E6A4A" w:rsidRDefault="00E17747" w:rsidP="006D6E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</w:p>
          <w:p w:rsidR="00E17747" w:rsidRPr="000E6A4A" w:rsidRDefault="00E17747" w:rsidP="00B148B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2</w:t>
            </w:r>
            <w:r w:rsidR="00B148B0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.</w:t>
            </w: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5</w:t>
            </w:r>
          </w:p>
        </w:tc>
        <w:tc>
          <w:tcPr>
            <w:tcW w:w="6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Nouveau régime de conformité et d</w:t>
            </w:r>
            <w:r w:rsidR="00E612C9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’</w:t>
            </w: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application (Brenda</w:t>
            </w:r>
            <w:r w:rsidR="00E612C9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 </w:t>
            </w: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Baxter et Annik</w:t>
            </w:r>
            <w:r w:rsidR="00E612C9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 </w:t>
            </w: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Wilson) </w:t>
            </w: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Brenda</w:t>
            </w:r>
            <w:r w:rsidR="00E612C9">
              <w:rPr>
                <w:rFonts w:ascii="Calibri" w:hAnsi="Calibri" w:cs="Calibri"/>
                <w:sz w:val="20"/>
                <w:szCs w:val="20"/>
                <w:lang w:val="fr-CA"/>
              </w:rPr>
              <w:t> 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Baxter et Annik</w:t>
            </w:r>
            <w:r w:rsidR="00E612C9">
              <w:rPr>
                <w:rFonts w:ascii="Calibri" w:hAnsi="Calibri" w:cs="Calibri"/>
                <w:sz w:val="20"/>
                <w:szCs w:val="20"/>
                <w:lang w:val="fr-CA"/>
              </w:rPr>
              <w:t> 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Wilson présentent la deuxième mise à jour sur le nouveau régime de conformité et d</w:t>
            </w:r>
            <w:r w:rsidR="00E612C9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application. Se référant à un tableau, elles indiquent les changements législatifs, et ce qui a été accompli jusqu</w:t>
            </w:r>
            <w:r w:rsidR="00E612C9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ici (succès marquants)</w:t>
            </w:r>
            <w:r w:rsidR="00E612C9">
              <w:rPr>
                <w:rFonts w:ascii="Calibri" w:hAnsi="Calibri" w:cs="Calibri"/>
                <w:sz w:val="20"/>
                <w:szCs w:val="20"/>
                <w:lang w:val="fr-CA"/>
              </w:rPr>
              <w:t> 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:</w:t>
            </w:r>
          </w:p>
          <w:p w:rsidR="00E17747" w:rsidRPr="000E6A4A" w:rsidRDefault="00101CF9" w:rsidP="00101CF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sz w:val="20"/>
                <w:szCs w:val="20"/>
                <w:lang w:val="fr-CA"/>
              </w:rPr>
              <w:t>présentations</w:t>
            </w:r>
            <w:r w:rsidR="00E17747" w:rsidRPr="000E6A4A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au Conseil du Trésor et confirmation des ressources terminées;</w:t>
            </w:r>
          </w:p>
          <w:p w:rsidR="00E17747" w:rsidRPr="000E6A4A" w:rsidRDefault="00E17747" w:rsidP="00101CF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séances de consultation</w:t>
            </w:r>
            <w:r w:rsidR="00101CF9">
              <w:rPr>
                <w:rFonts w:ascii="Calibri" w:hAnsi="Calibri" w:cs="Calibri"/>
                <w:sz w:val="20"/>
                <w:szCs w:val="20"/>
                <w:lang w:val="fr-CA"/>
              </w:rPr>
              <w:t>/d</w:t>
            </w:r>
            <w:r w:rsidR="00E612C9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information interne</w:t>
            </w:r>
            <w:r w:rsidR="00101CF9">
              <w:rPr>
                <w:rFonts w:ascii="Calibri" w:hAnsi="Calibri" w:cs="Calibri"/>
                <w:sz w:val="20"/>
                <w:szCs w:val="20"/>
                <w:lang w:val="fr-CA"/>
              </w:rPr>
              <w:t>s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tenues à l</w:t>
            </w:r>
            <w:r w:rsidR="00E612C9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AC et dans les régions en septembre 2017;</w:t>
            </w:r>
          </w:p>
          <w:p w:rsidR="00E17747" w:rsidRPr="000E6A4A" w:rsidRDefault="005D3B78" w:rsidP="005D3B7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sz w:val="20"/>
                <w:szCs w:val="20"/>
                <w:lang w:val="fr-CA"/>
              </w:rPr>
              <w:t>séance</w:t>
            </w:r>
            <w:r w:rsidRPr="005D3B78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de consultation/d’</w:t>
            </w:r>
            <w:r>
              <w:rPr>
                <w:rFonts w:ascii="Calibri" w:hAnsi="Calibri" w:cs="Calibri"/>
                <w:sz w:val="20"/>
                <w:szCs w:val="20"/>
                <w:lang w:val="fr-CA"/>
              </w:rPr>
              <w:t>information</w:t>
            </w:r>
            <w:r w:rsidR="00E17747" w:rsidRPr="000E6A4A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interne pour les champs de compétence élargie menée en octobre 2017;</w:t>
            </w:r>
          </w:p>
          <w:p w:rsidR="00E17747" w:rsidRPr="000E6A4A" w:rsidRDefault="005D3B78" w:rsidP="000F4D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sz w:val="20"/>
                <w:szCs w:val="20"/>
                <w:lang w:val="fr-CA"/>
              </w:rPr>
              <w:t>c</w:t>
            </w:r>
            <w:r w:rsidR="00E17747" w:rsidRPr="000E6A4A">
              <w:rPr>
                <w:rFonts w:ascii="Calibri" w:hAnsi="Calibri" w:cs="Calibri"/>
                <w:sz w:val="20"/>
                <w:szCs w:val="20"/>
                <w:lang w:val="fr-CA"/>
              </w:rPr>
              <w:t xml:space="preserve">onsultations internes avec </w:t>
            </w:r>
            <w:r w:rsidR="000F4D5C">
              <w:rPr>
                <w:rFonts w:ascii="Calibri" w:hAnsi="Calibri" w:cs="Calibri"/>
                <w:sz w:val="20"/>
                <w:szCs w:val="20"/>
                <w:lang w:val="fr-CA"/>
              </w:rPr>
              <w:t>d</w:t>
            </w:r>
            <w:r w:rsidR="00E17747" w:rsidRPr="000E6A4A">
              <w:rPr>
                <w:rFonts w:ascii="Calibri" w:hAnsi="Calibri" w:cs="Calibri"/>
                <w:sz w:val="20"/>
                <w:szCs w:val="20"/>
                <w:lang w:val="fr-CA"/>
              </w:rPr>
              <w:t xml:space="preserve">es </w:t>
            </w:r>
            <w:r>
              <w:rPr>
                <w:rFonts w:ascii="Calibri" w:hAnsi="Calibri" w:cs="Calibri"/>
                <w:sz w:val="20"/>
                <w:szCs w:val="20"/>
                <w:lang w:val="fr-CA"/>
              </w:rPr>
              <w:t>intervenants</w:t>
            </w:r>
            <w:r w:rsidR="00E17747" w:rsidRPr="000E6A4A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de l</w:t>
            </w:r>
            <w:r w:rsidR="00E612C9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="00E17747" w:rsidRPr="000E6A4A">
              <w:rPr>
                <w:rFonts w:ascii="Calibri" w:hAnsi="Calibri" w:cs="Calibri"/>
                <w:sz w:val="20"/>
                <w:szCs w:val="20"/>
                <w:lang w:val="fr-CA"/>
              </w:rPr>
              <w:t>AC et des régions menées en novembre 2017.</w:t>
            </w: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  <w:p w:rsidR="00E17747" w:rsidRPr="000E6A4A" w:rsidRDefault="00E17747" w:rsidP="005D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Elles présentent aussi les prochaines étapes qui pourraient être résumées comme l</w:t>
            </w:r>
            <w:r w:rsidR="00E612C9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obtention de rétroaction sur les séances de consultation et les documents et la tenue d</w:t>
            </w:r>
            <w:r w:rsidR="00E612C9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 xml:space="preserve">autres séries de consultations au cours de la nouvelle année avec des </w:t>
            </w:r>
            <w:r w:rsidR="005D3B78">
              <w:rPr>
                <w:rFonts w:ascii="Calibri" w:hAnsi="Calibri" w:cs="Calibri"/>
                <w:sz w:val="20"/>
                <w:szCs w:val="20"/>
                <w:lang w:val="fr-CA"/>
              </w:rPr>
              <w:t>intervenants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externes.</w:t>
            </w:r>
          </w:p>
          <w:p w:rsidR="00E17747" w:rsidRPr="000E6A4A" w:rsidRDefault="00E17747" w:rsidP="006D6E0E">
            <w:pPr>
              <w:spacing w:after="0"/>
              <w:rPr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Annik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Wilson mentionne que les employés sont très enthousiasmés par cet important travail, car il reflète les recommandations mises de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avant sur le terrain.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>Elle explique que les employés avaient été consultés et mis au courant des changements quand elle et Gary Robertson ont visité les régions.</w:t>
            </w:r>
          </w:p>
          <w:p w:rsidR="00E17747" w:rsidRPr="000E6A4A" w:rsidRDefault="00E17747" w:rsidP="000F4D5C">
            <w:pPr>
              <w:spacing w:after="0"/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Andrew Gibson demande s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il existe des ressources supplémentaires pour mettre en œuvre les modifications.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>Brenda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Baxter et Gary Robertson expliquent qu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 xml:space="preserve">une présentation au Conseil du Trésor </w:t>
            </w:r>
            <w:r w:rsidR="000F4D5C">
              <w:rPr>
                <w:sz w:val="20"/>
                <w:szCs w:val="20"/>
                <w:lang w:val="fr-CA"/>
              </w:rPr>
              <w:t>a été soumise</w:t>
            </w:r>
            <w:r w:rsidRPr="000E6A4A">
              <w:rPr>
                <w:sz w:val="20"/>
                <w:szCs w:val="20"/>
                <w:lang w:val="fr-CA"/>
              </w:rPr>
              <w:t xml:space="preserve"> et qu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ils devraient obtenir des ressources supplémentaires au cours de la deuxième moitié de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exercice.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 xml:space="preserve">De plus, ils </w:t>
            </w:r>
            <w:r w:rsidR="000F4D5C">
              <w:rPr>
                <w:sz w:val="20"/>
                <w:szCs w:val="20"/>
                <w:lang w:val="fr-CA"/>
              </w:rPr>
              <w:t>travaill</w:t>
            </w:r>
            <w:r w:rsidRPr="000E6A4A">
              <w:rPr>
                <w:sz w:val="20"/>
                <w:szCs w:val="20"/>
                <w:lang w:val="fr-CA"/>
              </w:rPr>
              <w:t>ent sur une future proposition de politique dans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espoir d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obtenir un financement permanent pour régler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="00297FE8">
              <w:rPr>
                <w:sz w:val="20"/>
                <w:szCs w:val="20"/>
                <w:lang w:val="fr-CA"/>
              </w:rPr>
              <w:t xml:space="preserve">arriérage </w:t>
            </w:r>
            <w:r w:rsidRPr="000E6A4A">
              <w:rPr>
                <w:sz w:val="20"/>
                <w:szCs w:val="20"/>
                <w:lang w:val="fr-CA"/>
              </w:rPr>
              <w:t>en matière d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ap</w:t>
            </w:r>
            <w:r w:rsidR="00297FE8">
              <w:rPr>
                <w:sz w:val="20"/>
                <w:szCs w:val="20"/>
                <w:lang w:val="fr-CA"/>
              </w:rPr>
              <w:t xml:space="preserve">plication des normes du travail –plus d’officiers </w:t>
            </w:r>
            <w:r w:rsidR="00297FE8" w:rsidRPr="00297FE8">
              <w:rPr>
                <w:sz w:val="20"/>
                <w:szCs w:val="20"/>
                <w:lang w:val="fr-CA"/>
              </w:rPr>
              <w:t>"tiger team"</w:t>
            </w:r>
            <w:r w:rsidR="00297FE8">
              <w:rPr>
                <w:sz w:val="20"/>
                <w:szCs w:val="20"/>
                <w:lang w:val="fr-CA"/>
              </w:rPr>
              <w:t>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>À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heure actuelle, le financement de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arriéré est temporaire, pour une période de 18 mois.</w:t>
            </w: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  <w:p w:rsidR="00E17747" w:rsidRPr="000E6A4A" w:rsidRDefault="00E17747" w:rsidP="00FD01E3">
            <w:pPr>
              <w:spacing w:after="0"/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Kevin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King demande si le comité a réfléchi à un système de sanction pour les récidivistes et, par conséquent, comment guider les agents pour qu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 xml:space="preserve">ils puissent </w:t>
            </w:r>
            <w:r w:rsidR="00FD01E3">
              <w:rPr>
                <w:sz w:val="20"/>
                <w:szCs w:val="20"/>
                <w:lang w:val="fr-CA"/>
              </w:rPr>
              <w:t>traiter</w:t>
            </w:r>
            <w:r w:rsidRPr="000E6A4A">
              <w:rPr>
                <w:sz w:val="20"/>
                <w:szCs w:val="20"/>
                <w:lang w:val="fr-CA"/>
              </w:rPr>
              <w:t xml:space="preserve"> ces situations de manière globale et pas seulement avec une approche à la pièce?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>Gary Robertson indique que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objectif était de changer le comportement de manière progressive, par exemple en imposant des amendes et en donnant la possibilité de dénoncer publiquement ceux qui enfreignent délibérément les parties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 xml:space="preserve">II et III </w:t>
            </w:r>
            <w:r w:rsidRPr="00B148B0">
              <w:rPr>
                <w:iCs/>
                <w:sz w:val="20"/>
                <w:szCs w:val="20"/>
                <w:lang w:val="fr-CA"/>
              </w:rPr>
              <w:t xml:space="preserve">du </w:t>
            </w:r>
            <w:r w:rsidRPr="000E6A4A">
              <w:rPr>
                <w:i/>
                <w:iCs/>
                <w:sz w:val="20"/>
                <w:szCs w:val="20"/>
                <w:lang w:val="fr-CA"/>
              </w:rPr>
              <w:t>Code</w:t>
            </w:r>
            <w:r w:rsidRPr="000E6A4A">
              <w:rPr>
                <w:sz w:val="20"/>
                <w:szCs w:val="20"/>
                <w:lang w:val="fr-CA"/>
              </w:rPr>
              <w:t>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 xml:space="preserve">Ils sont aussi en train de mettre au point une série de mesures/produits pour </w:t>
            </w:r>
            <w:r w:rsidR="00FD01E3">
              <w:rPr>
                <w:sz w:val="20"/>
                <w:szCs w:val="20"/>
                <w:lang w:val="fr-CA"/>
              </w:rPr>
              <w:t xml:space="preserve">accroître </w:t>
            </w:r>
            <w:r w:rsidRPr="000E6A4A">
              <w:rPr>
                <w:sz w:val="20"/>
                <w:szCs w:val="20"/>
                <w:lang w:val="fr-CA"/>
              </w:rPr>
              <w:t>la conformité (p</w:t>
            </w:r>
            <w:r w:rsidR="00FD01E3">
              <w:rPr>
                <w:sz w:val="20"/>
                <w:szCs w:val="20"/>
                <w:lang w:val="fr-CA"/>
              </w:rPr>
              <w:t>. </w:t>
            </w:r>
            <w:r w:rsidRPr="000E6A4A">
              <w:rPr>
                <w:sz w:val="20"/>
                <w:szCs w:val="20"/>
                <w:lang w:val="fr-CA"/>
              </w:rPr>
              <w:t>ex.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 xml:space="preserve">: </w:t>
            </w:r>
            <w:r w:rsidR="00FD01E3" w:rsidRPr="009D23D3">
              <w:rPr>
                <w:sz w:val="20"/>
                <w:szCs w:val="20"/>
                <w:lang w:val="fr-CA"/>
              </w:rPr>
              <w:t>autovérification</w:t>
            </w:r>
            <w:r w:rsidR="00FD01E3" w:rsidRPr="00FD01E3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>où les employeurs doive</w:t>
            </w:r>
            <w:r w:rsidR="006140B3">
              <w:rPr>
                <w:sz w:val="20"/>
                <w:szCs w:val="20"/>
                <w:lang w:val="fr-CA"/>
              </w:rPr>
              <w:t>nt se signaler au Programme du t</w:t>
            </w:r>
            <w:r w:rsidRPr="000E6A4A">
              <w:rPr>
                <w:sz w:val="20"/>
                <w:szCs w:val="20"/>
                <w:lang w:val="fr-CA"/>
              </w:rPr>
              <w:t>ravail).</w:t>
            </w: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fr-CA"/>
              </w:rPr>
            </w:pPr>
          </w:p>
          <w:p w:rsidR="00E17747" w:rsidRPr="000E6A4A" w:rsidRDefault="00E17747" w:rsidP="009D23D3">
            <w:pPr>
              <w:spacing w:after="0"/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Linda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 xml:space="preserve">Koo demande </w:t>
            </w:r>
            <w:r w:rsidR="009D23D3">
              <w:rPr>
                <w:sz w:val="20"/>
                <w:szCs w:val="20"/>
                <w:lang w:val="fr-CA"/>
              </w:rPr>
              <w:t xml:space="preserve">en quoi </w:t>
            </w:r>
            <w:r w:rsidRPr="000E6A4A">
              <w:rPr>
                <w:sz w:val="20"/>
                <w:szCs w:val="20"/>
                <w:lang w:val="fr-CA"/>
              </w:rPr>
              <w:t>ces changements correspondent à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examen de classification.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>Brenda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Baxter et Annik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Wilson font remarquer que, bien que la loi ait été adoptée en juin 2017, de nombreuses mesures doivent être prises avant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entrée en vigueur des changements. Par exemple,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élaboration de règlements, la formation et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élaboration de documents d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orientation pour les agents qui doivent appliquer les parties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II et III du Code et pour la partie prenante à laquelle les modifications s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appliquent. En ce qui concerne la classification,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examen de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 xml:space="preserve">organisation a commencé il y a un an, mais les répercussions de ces nouveaux changements ne sont pas encore suffisamment définies pour être incluses dans les descriptions de </w:t>
            </w:r>
            <w:r w:rsidR="009D23D3">
              <w:rPr>
                <w:sz w:val="20"/>
                <w:szCs w:val="20"/>
                <w:lang w:val="fr-CA"/>
              </w:rPr>
              <w:t>travail</w:t>
            </w:r>
            <w:r w:rsidRPr="000E6A4A">
              <w:rPr>
                <w:sz w:val="20"/>
                <w:szCs w:val="20"/>
                <w:lang w:val="fr-CA"/>
              </w:rPr>
              <w:t>. Le programme a jusqu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en 2020 pour mettre en œuvre les changements avec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accent actuel sur le travail législatif supplémentaire, puis les travaux de réglementation et les considérations opérationnelles pour s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assurer que tous sont fins prêts pour une mise en œuvre sans heurts.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>Cela comprend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engagement de la direction à cerner et à reconnaître ces changements dans le travail de nos employés.</w:t>
            </w: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spacing w:after="0"/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Kevin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King mentionne que plusieurs organisations dans les secteurs aérien, ferroviaire et maritime ont déjà adopté ce type de mesure législative.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>À ce titre, il suggère d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étudier ces cas, surtout ceux qui ont conclu une convention collective avec le groupe TC.</w:t>
            </w:r>
          </w:p>
          <w:p w:rsidR="00E17747" w:rsidRPr="000E6A4A" w:rsidRDefault="00E17747" w:rsidP="006D6E0E">
            <w:pPr>
              <w:spacing w:after="0"/>
              <w:rPr>
                <w:sz w:val="20"/>
                <w:szCs w:val="20"/>
                <w:lang w:val="fr-CA"/>
              </w:rPr>
            </w:pPr>
          </w:p>
          <w:p w:rsidR="00E17747" w:rsidRPr="000E6A4A" w:rsidRDefault="00E17747" w:rsidP="004B7F2B">
            <w:pPr>
              <w:spacing w:after="0"/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Linda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Ko</w:t>
            </w:r>
            <w:r w:rsidR="009D23D3">
              <w:rPr>
                <w:sz w:val="20"/>
                <w:szCs w:val="20"/>
                <w:lang w:val="fr-CA"/>
              </w:rPr>
              <w:t>o demande comment les différent</w:t>
            </w:r>
            <w:r w:rsidRPr="000E6A4A">
              <w:rPr>
                <w:sz w:val="20"/>
                <w:szCs w:val="20"/>
                <w:lang w:val="fr-CA"/>
              </w:rPr>
              <w:t xml:space="preserve">s </w:t>
            </w:r>
            <w:r w:rsidR="009D23D3">
              <w:rPr>
                <w:sz w:val="20"/>
                <w:szCs w:val="20"/>
                <w:lang w:val="fr-CA"/>
              </w:rPr>
              <w:t>intervenants</w:t>
            </w:r>
            <w:r w:rsidRPr="000E6A4A">
              <w:rPr>
                <w:sz w:val="20"/>
                <w:szCs w:val="20"/>
                <w:lang w:val="fr-CA"/>
              </w:rPr>
              <w:t xml:space="preserve"> f</w:t>
            </w:r>
            <w:r w:rsidR="004B7F2B">
              <w:rPr>
                <w:sz w:val="20"/>
                <w:szCs w:val="20"/>
                <w:lang w:val="fr-CA"/>
              </w:rPr>
              <w:t>er</w:t>
            </w:r>
            <w:r w:rsidRPr="000E6A4A">
              <w:rPr>
                <w:sz w:val="20"/>
                <w:szCs w:val="20"/>
                <w:lang w:val="fr-CA"/>
              </w:rPr>
              <w:t xml:space="preserve">ont leur propre </w:t>
            </w:r>
            <w:r w:rsidR="009D23D3">
              <w:rPr>
                <w:sz w:val="20"/>
                <w:szCs w:val="20"/>
                <w:lang w:val="fr-CA"/>
              </w:rPr>
              <w:t>vérification</w:t>
            </w:r>
            <w:r w:rsidRPr="000E6A4A">
              <w:rPr>
                <w:sz w:val="20"/>
                <w:szCs w:val="20"/>
                <w:lang w:val="fr-CA"/>
              </w:rPr>
              <w:t>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 xml:space="preserve">Gary Robertson précise que cela serait </w:t>
            </w:r>
            <w:r w:rsidR="004B7F2B">
              <w:rPr>
                <w:sz w:val="20"/>
                <w:szCs w:val="20"/>
                <w:lang w:val="fr-CA"/>
              </w:rPr>
              <w:t>entrepris</w:t>
            </w:r>
            <w:r w:rsidRPr="000E6A4A">
              <w:rPr>
                <w:sz w:val="20"/>
                <w:szCs w:val="20"/>
                <w:lang w:val="fr-CA"/>
              </w:rPr>
              <w:t xml:space="preserve"> par le Programme en fonction de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information recue</w:t>
            </w:r>
            <w:r w:rsidR="004B7F2B">
              <w:rPr>
                <w:sz w:val="20"/>
                <w:szCs w:val="20"/>
                <w:lang w:val="fr-CA"/>
              </w:rPr>
              <w:t>illie à partir des plaintes (p. </w:t>
            </w:r>
            <w:r w:rsidRPr="000E6A4A">
              <w:rPr>
                <w:sz w:val="20"/>
                <w:szCs w:val="20"/>
                <w:lang w:val="fr-CA"/>
              </w:rPr>
              <w:t>ex., s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il constate une tendance, il peut demander à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employeur de procéder à un</w:t>
            </w:r>
            <w:r w:rsidR="004B7F2B">
              <w:rPr>
                <w:sz w:val="20"/>
                <w:szCs w:val="20"/>
                <w:lang w:val="fr-CA"/>
              </w:rPr>
              <w:t>e</w:t>
            </w:r>
            <w:r w:rsidRPr="000E6A4A">
              <w:rPr>
                <w:sz w:val="20"/>
                <w:szCs w:val="20"/>
                <w:lang w:val="fr-CA"/>
              </w:rPr>
              <w:t xml:space="preserve"> auto</w:t>
            </w:r>
            <w:r w:rsidR="004B7F2B">
              <w:rPr>
                <w:sz w:val="20"/>
                <w:szCs w:val="20"/>
                <w:lang w:val="fr-CA"/>
              </w:rPr>
              <w:t>vérification</w:t>
            </w:r>
            <w:r w:rsidRPr="000E6A4A">
              <w:rPr>
                <w:sz w:val="20"/>
                <w:szCs w:val="20"/>
                <w:lang w:val="fr-CA"/>
              </w:rPr>
              <w:t>).</w:t>
            </w:r>
          </w:p>
          <w:p w:rsidR="00E17747" w:rsidRPr="000E6A4A" w:rsidRDefault="00E17747" w:rsidP="006D6E0E">
            <w:pPr>
              <w:spacing w:after="0"/>
              <w:rPr>
                <w:sz w:val="20"/>
                <w:szCs w:val="20"/>
                <w:lang w:val="fr-CA"/>
              </w:rPr>
            </w:pPr>
          </w:p>
          <w:p w:rsidR="00E17747" w:rsidRPr="000E6A4A" w:rsidRDefault="00E17747" w:rsidP="004B7F2B">
            <w:pPr>
              <w:spacing w:after="0"/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Tony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 xml:space="preserve">Giles mentionne que le transfert des fonctions </w:t>
            </w:r>
            <w:r w:rsidR="004B7F2B">
              <w:rPr>
                <w:sz w:val="20"/>
                <w:szCs w:val="20"/>
                <w:lang w:val="fr-CA"/>
              </w:rPr>
              <w:t>de règlement</w:t>
            </w:r>
            <w:r w:rsidRPr="000E6A4A">
              <w:rPr>
                <w:sz w:val="20"/>
                <w:szCs w:val="20"/>
                <w:lang w:val="fr-CA"/>
              </w:rPr>
              <w:t xml:space="preserve"> au Conseil canadien des relations industrielles (CCRI) est en cours.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 xml:space="preserve">Ils ont rencontré des employés et ces derniers pourront se joindre ou non au CCRI. Il précise que seulement </w:t>
            </w:r>
            <w:r w:rsidR="00297FE8">
              <w:rPr>
                <w:sz w:val="20"/>
                <w:szCs w:val="20"/>
                <w:lang w:val="fr-CA"/>
              </w:rPr>
              <w:t>sept (</w:t>
            </w:r>
            <w:r w:rsidRPr="000E6A4A">
              <w:rPr>
                <w:sz w:val="20"/>
                <w:szCs w:val="20"/>
                <w:lang w:val="fr-CA"/>
              </w:rPr>
              <w:t>7</w:t>
            </w:r>
            <w:r w:rsidR="00297FE8">
              <w:rPr>
                <w:sz w:val="20"/>
                <w:szCs w:val="20"/>
                <w:lang w:val="fr-CA"/>
              </w:rPr>
              <w:t>)</w:t>
            </w:r>
            <w:r w:rsidRPr="000E6A4A">
              <w:rPr>
                <w:sz w:val="20"/>
                <w:szCs w:val="20"/>
                <w:lang w:val="fr-CA"/>
              </w:rPr>
              <w:t xml:space="preserve"> ou </w:t>
            </w:r>
            <w:r w:rsidR="00297FE8">
              <w:rPr>
                <w:sz w:val="20"/>
                <w:szCs w:val="20"/>
                <w:lang w:val="fr-CA"/>
              </w:rPr>
              <w:t xml:space="preserve">huit (8) </w:t>
            </w:r>
            <w:r w:rsidRPr="000E6A4A">
              <w:rPr>
                <w:sz w:val="20"/>
                <w:szCs w:val="20"/>
                <w:lang w:val="fr-CA"/>
              </w:rPr>
              <w:t>étaient concernés par le transfert et qu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il ne s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agit pas d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un exercice de réaménagement de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effectif.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>Il ajoute qu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il serait heureux de répondre à toute préoccupation du syndicat, au besoin.</w:t>
            </w: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</w:tc>
      </w:tr>
      <w:tr w:rsidR="00E17747" w:rsidRPr="000E6A4A" w:rsidTr="00A66AA7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8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17747" w:rsidRPr="000E6A4A" w:rsidRDefault="00E17747" w:rsidP="006D6E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3</w:t>
            </w:r>
          </w:p>
        </w:tc>
        <w:tc>
          <w:tcPr>
            <w:tcW w:w="6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17747" w:rsidRPr="000E6A4A" w:rsidRDefault="00E17747" w:rsidP="004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Initiatives </w:t>
            </w:r>
            <w:r w:rsidR="004B7F2B" w:rsidRPr="004B7F2B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liées aux</w:t>
            </w: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 ressources humaines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</w:tc>
      </w:tr>
      <w:tr w:rsidR="00E17747" w:rsidRPr="000E6A4A" w:rsidTr="00A66AA7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17747" w:rsidRPr="000E6A4A" w:rsidRDefault="00E17747" w:rsidP="006D6E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3</w:t>
            </w:r>
            <w:r w:rsidR="00B148B0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.</w:t>
            </w: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1</w:t>
            </w:r>
          </w:p>
        </w:tc>
        <w:tc>
          <w:tcPr>
            <w:tcW w:w="6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Code de dé</w:t>
            </w:r>
            <w:r w:rsidR="006140B3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ontologie du Programme du t</w:t>
            </w: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ravail (Annik</w:t>
            </w:r>
            <w:r w:rsidR="00E612C9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 </w:t>
            </w: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Wilson)</w:t>
            </w: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</w:p>
          <w:p w:rsidR="00E17747" w:rsidRPr="004B7F2B" w:rsidRDefault="00E17747" w:rsidP="004B7F2B">
            <w:pPr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Annik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 xml:space="preserve">Wilson mentionne que le programme entreprend un examen du Code </w:t>
            </w:r>
            <w:r w:rsidR="006140B3">
              <w:rPr>
                <w:sz w:val="20"/>
                <w:szCs w:val="20"/>
                <w:lang w:val="fr-CA"/>
              </w:rPr>
              <w:t>de déontologie du Programme du t</w:t>
            </w:r>
            <w:r w:rsidRPr="000E6A4A">
              <w:rPr>
                <w:sz w:val="20"/>
                <w:szCs w:val="20"/>
                <w:lang w:val="fr-CA"/>
              </w:rPr>
              <w:t>ravail parce que les lignes directrices existantes sont périmées (ex.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: aucune mention des médias sociaux) et qu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="004B7F2B">
              <w:rPr>
                <w:sz w:val="20"/>
                <w:szCs w:val="20"/>
                <w:lang w:val="fr-CA"/>
              </w:rPr>
              <w:t>il fau</w:t>
            </w:r>
            <w:r w:rsidRPr="000E6A4A">
              <w:rPr>
                <w:sz w:val="20"/>
                <w:szCs w:val="20"/>
                <w:lang w:val="fr-CA"/>
              </w:rPr>
              <w:t>t prendre en compte tous les changem</w:t>
            </w:r>
            <w:r w:rsidR="006140B3">
              <w:rPr>
                <w:sz w:val="20"/>
                <w:szCs w:val="20"/>
                <w:lang w:val="fr-CA"/>
              </w:rPr>
              <w:t>ents affectant le Programme du t</w:t>
            </w:r>
            <w:r w:rsidRPr="000E6A4A">
              <w:rPr>
                <w:sz w:val="20"/>
                <w:szCs w:val="20"/>
                <w:lang w:val="fr-CA"/>
              </w:rPr>
              <w:t>ravail.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>Par conséquent, le groupe de travail révisera la section des questions et réponses et devra tenir compte de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>incidence de la mise en œuvre des sanctions administratives pécuniaires (SAP).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>Ainsi, avec l</w:t>
            </w:r>
            <w:r w:rsidR="00E612C9">
              <w:rPr>
                <w:sz w:val="20"/>
                <w:szCs w:val="20"/>
                <w:lang w:val="fr-CA"/>
              </w:rPr>
              <w:t>’</w:t>
            </w:r>
            <w:r w:rsidRPr="000E6A4A">
              <w:rPr>
                <w:sz w:val="20"/>
                <w:szCs w:val="20"/>
                <w:lang w:val="fr-CA"/>
              </w:rPr>
              <w:t xml:space="preserve">aide du SEN, cinq (5) employés et deux (2) gestionnaires ont formé un groupe de travail afin de </w:t>
            </w:r>
            <w:r w:rsidR="004B7F2B">
              <w:rPr>
                <w:sz w:val="20"/>
                <w:szCs w:val="20"/>
                <w:lang w:val="fr-CA"/>
              </w:rPr>
              <w:t>procéder à la refonte du</w:t>
            </w:r>
            <w:r w:rsidRPr="000E6A4A">
              <w:rPr>
                <w:sz w:val="20"/>
                <w:szCs w:val="20"/>
                <w:lang w:val="fr-CA"/>
              </w:rPr>
              <w:t xml:space="preserve"> Code.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 xml:space="preserve">Du temps a été réservé </w:t>
            </w:r>
            <w:r w:rsidR="004B7F2B">
              <w:rPr>
                <w:sz w:val="20"/>
                <w:szCs w:val="20"/>
                <w:lang w:val="fr-CA"/>
              </w:rPr>
              <w:t xml:space="preserve">pour permettre aux </w:t>
            </w:r>
            <w:r w:rsidRPr="000E6A4A">
              <w:rPr>
                <w:sz w:val="20"/>
                <w:szCs w:val="20"/>
                <w:lang w:val="fr-CA"/>
              </w:rPr>
              <w:t xml:space="preserve">employés </w:t>
            </w:r>
            <w:r w:rsidR="004B7F2B">
              <w:rPr>
                <w:sz w:val="20"/>
                <w:szCs w:val="20"/>
                <w:lang w:val="fr-CA"/>
              </w:rPr>
              <w:t>de soutenir cette initiative.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</w:tc>
      </w:tr>
      <w:tr w:rsidR="00E17747" w:rsidRPr="000E6A4A" w:rsidTr="00A66AA7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17747" w:rsidRPr="000E6A4A" w:rsidRDefault="00E17747" w:rsidP="006D6E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3</w:t>
            </w:r>
            <w:r w:rsidR="00B148B0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.</w:t>
            </w: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2</w:t>
            </w:r>
          </w:p>
        </w:tc>
        <w:tc>
          <w:tcPr>
            <w:tcW w:w="6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Le point sur le système de paye Phénix (Jennifer</w:t>
            </w:r>
            <w:r w:rsidR="00242C79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 </w:t>
            </w: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Hamilton)</w:t>
            </w: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Jennifer</w:t>
            </w:r>
            <w:r w:rsidR="00E612C9">
              <w:rPr>
                <w:rFonts w:ascii="Calibri" w:hAnsi="Calibri" w:cs="Calibri"/>
                <w:sz w:val="20"/>
                <w:szCs w:val="20"/>
                <w:lang w:val="fr-CA"/>
              </w:rPr>
              <w:t> 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Hamilton présente une mise à jour sur le système de paye Phoenix</w:t>
            </w:r>
            <w:r w:rsidR="00E612C9">
              <w:rPr>
                <w:rFonts w:ascii="Calibri" w:hAnsi="Calibri" w:cs="Calibri"/>
                <w:sz w:val="20"/>
                <w:szCs w:val="20"/>
                <w:lang w:val="fr-CA"/>
              </w:rPr>
              <w:t> 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:</w:t>
            </w:r>
          </w:p>
          <w:p w:rsidR="00E17747" w:rsidRPr="000E6A4A" w:rsidRDefault="00E17747" w:rsidP="005D37CF">
            <w:pPr>
              <w:shd w:val="clear" w:color="auto" w:fill="FFFFFF"/>
              <w:spacing w:after="0"/>
              <w:rPr>
                <w:sz w:val="20"/>
                <w:szCs w:val="20"/>
                <w:lang w:val="fr-CA"/>
              </w:rPr>
            </w:pPr>
            <w:r w:rsidRPr="000E6A4A">
              <w:rPr>
                <w:sz w:val="20"/>
                <w:szCs w:val="20"/>
                <w:lang w:val="fr-CA"/>
              </w:rPr>
              <w:t>Au 4 décembre 2017, une nouvelle direction appelée Direction générale de la rémunération a été créée pour consolider toutes les fonctions liées à la paye.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>Le nouveau directeur général est David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Swol et Jennifer en est la directrice.</w:t>
            </w:r>
            <w:r w:rsidR="00B148B0">
              <w:rPr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sz w:val="20"/>
                <w:szCs w:val="20"/>
                <w:lang w:val="fr-CA"/>
              </w:rPr>
              <w:t xml:space="preserve">Jennifer indique que les problèmes de rémunération au </w:t>
            </w:r>
            <w:r w:rsidR="005D37CF">
              <w:rPr>
                <w:sz w:val="20"/>
                <w:szCs w:val="20"/>
                <w:lang w:val="fr-CA"/>
              </w:rPr>
              <w:t>M</w:t>
            </w:r>
            <w:r w:rsidRPr="000E6A4A">
              <w:rPr>
                <w:sz w:val="20"/>
                <w:szCs w:val="20"/>
                <w:lang w:val="fr-CA"/>
              </w:rPr>
              <w:t>inistère sont importants</w:t>
            </w:r>
            <w:r w:rsidR="00E612C9">
              <w:rPr>
                <w:sz w:val="20"/>
                <w:szCs w:val="20"/>
                <w:lang w:val="fr-CA"/>
              </w:rPr>
              <w:t> </w:t>
            </w:r>
            <w:r w:rsidRPr="000E6A4A">
              <w:rPr>
                <w:sz w:val="20"/>
                <w:szCs w:val="20"/>
                <w:lang w:val="fr-CA"/>
              </w:rPr>
              <w:t>:</w:t>
            </w:r>
          </w:p>
          <w:p w:rsidR="00E17747" w:rsidRPr="000E6A4A" w:rsidRDefault="00E17747" w:rsidP="00C14895">
            <w:pPr>
              <w:pStyle w:val="NormalWeb"/>
              <w:numPr>
                <w:ilvl w:val="0"/>
                <w:numId w:val="7"/>
              </w:numPr>
              <w:spacing w:after="0" w:afterAutospacing="0"/>
              <w:rPr>
                <w:rFonts w:ascii="Calibri" w:hAnsi="Calibri"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70</w:t>
            </w:r>
            <w:r w:rsidR="00E612C9">
              <w:rPr>
                <w:rFonts w:ascii="Calibri" w:hAnsi="Calibri"/>
                <w:sz w:val="20"/>
                <w:szCs w:val="20"/>
                <w:lang w:val="fr-CA"/>
              </w:rPr>
              <w:t> 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% de tous les employés d</w:t>
            </w:r>
            <w:r w:rsidR="00E612C9">
              <w:rPr>
                <w:rFonts w:ascii="Calibri" w:hAnsi="Calibri"/>
                <w:sz w:val="20"/>
                <w:szCs w:val="20"/>
                <w:lang w:val="fr-CA"/>
              </w:rPr>
              <w:t>’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EDSC ont des dossiers ouverts auprès de SPAC datant de plus de 30 jours.</w:t>
            </w:r>
            <w:r w:rsidR="00B148B0">
              <w:rPr>
                <w:rFonts w:ascii="Calibri" w:hAnsi="Calibri"/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Les problèmes les plus courants sont</w:t>
            </w:r>
            <w:r w:rsidR="00E612C9">
              <w:rPr>
                <w:rFonts w:ascii="Calibri" w:hAnsi="Calibri"/>
                <w:sz w:val="20"/>
                <w:szCs w:val="20"/>
                <w:lang w:val="fr-CA"/>
              </w:rPr>
              <w:t> 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 xml:space="preserve">: rémunération </w:t>
            </w:r>
            <w:r w:rsidR="00C14895">
              <w:rPr>
                <w:rFonts w:ascii="Calibri" w:hAnsi="Calibri"/>
                <w:sz w:val="20"/>
                <w:szCs w:val="20"/>
                <w:lang w:val="fr-CA"/>
              </w:rPr>
              <w:t>d’intérim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 xml:space="preserve">, </w:t>
            </w:r>
            <w:r w:rsidR="00C14895">
              <w:rPr>
                <w:rFonts w:ascii="Calibri" w:hAnsi="Calibri"/>
                <w:sz w:val="20"/>
                <w:szCs w:val="20"/>
                <w:lang w:val="fr-CA"/>
              </w:rPr>
              <w:t>cessation d’emploi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 xml:space="preserve"> et trop-payés;</w:t>
            </w:r>
          </w:p>
          <w:p w:rsidR="00E17747" w:rsidRPr="000E6A4A" w:rsidRDefault="00E17747" w:rsidP="006D6E0E">
            <w:pPr>
              <w:pStyle w:val="NormalWeb"/>
              <w:numPr>
                <w:ilvl w:val="0"/>
                <w:numId w:val="7"/>
              </w:numPr>
              <w:spacing w:after="0" w:afterAutospacing="0"/>
              <w:rPr>
                <w:rFonts w:ascii="Calibri" w:hAnsi="Calibri"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À ce jour, 5</w:t>
            </w:r>
            <w:r w:rsidR="00E612C9">
              <w:rPr>
                <w:rFonts w:ascii="Calibri" w:hAnsi="Calibri"/>
                <w:sz w:val="20"/>
                <w:szCs w:val="20"/>
                <w:lang w:val="fr-CA"/>
              </w:rPr>
              <w:t> 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500 avances salariales d</w:t>
            </w:r>
            <w:r w:rsidR="00E612C9">
              <w:rPr>
                <w:rFonts w:ascii="Calibri" w:hAnsi="Calibri"/>
                <w:sz w:val="20"/>
                <w:szCs w:val="20"/>
                <w:lang w:val="fr-CA"/>
              </w:rPr>
              <w:t>’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urgence ont été accordées pour un total de 8 millions de dollars;</w:t>
            </w:r>
          </w:p>
          <w:p w:rsidR="00E17747" w:rsidRPr="000E6A4A" w:rsidRDefault="00E17747" w:rsidP="006D6E0E">
            <w:pPr>
              <w:pStyle w:val="NormalWeb"/>
              <w:numPr>
                <w:ilvl w:val="0"/>
                <w:numId w:val="7"/>
              </w:numPr>
              <w:spacing w:after="0" w:afterAutospacing="0"/>
              <w:rPr>
                <w:rFonts w:ascii="Calibri" w:hAnsi="Calibri"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Dix conseillers en rémunération ont été embauchés au sein d</w:t>
            </w:r>
            <w:r w:rsidR="00E612C9">
              <w:rPr>
                <w:rFonts w:ascii="Calibri" w:hAnsi="Calibri"/>
                <w:sz w:val="20"/>
                <w:szCs w:val="20"/>
                <w:lang w:val="fr-CA"/>
              </w:rPr>
              <w:t>’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EDSC pour régler des problèmes prioritaires.</w:t>
            </w:r>
            <w:r w:rsidR="00B148B0">
              <w:rPr>
                <w:rFonts w:ascii="Calibri" w:hAnsi="Calibri"/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Dix autres conseillers seront embauchés dans un proche avenir;</w:t>
            </w:r>
          </w:p>
          <w:p w:rsidR="00E17747" w:rsidRPr="000E6A4A" w:rsidRDefault="00E17747" w:rsidP="006D6E0E">
            <w:pPr>
              <w:pStyle w:val="NormalWeb"/>
              <w:numPr>
                <w:ilvl w:val="0"/>
                <w:numId w:val="7"/>
              </w:numPr>
              <w:spacing w:after="0" w:afterAutospacing="0"/>
              <w:rPr>
                <w:rFonts w:ascii="Calibri" w:hAnsi="Calibri"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Le Ministère n</w:t>
            </w:r>
            <w:r w:rsidR="00E612C9">
              <w:rPr>
                <w:rFonts w:ascii="Calibri" w:hAnsi="Calibri"/>
                <w:sz w:val="20"/>
                <w:szCs w:val="20"/>
                <w:lang w:val="fr-CA"/>
              </w:rPr>
              <w:t>’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est pas en mesure de régler tous les problèmes de rémunération, mais il a réussi à intervenir dans les cas de difficultés extrêmes.</w:t>
            </w:r>
            <w:r w:rsidR="00B148B0">
              <w:rPr>
                <w:rFonts w:ascii="Calibri" w:hAnsi="Calibri"/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Contrairement à SPAC, EDSC se penche en même temps sur tous les problèmes de l</w:t>
            </w:r>
            <w:r w:rsidR="00E612C9">
              <w:rPr>
                <w:rFonts w:ascii="Calibri" w:hAnsi="Calibri"/>
                <w:sz w:val="20"/>
                <w:szCs w:val="20"/>
                <w:lang w:val="fr-CA"/>
              </w:rPr>
              <w:t>’</w:t>
            </w:r>
            <w:r w:rsidR="00B148B0">
              <w:rPr>
                <w:rFonts w:ascii="Calibri" w:hAnsi="Calibri"/>
                <w:sz w:val="20"/>
                <w:szCs w:val="20"/>
                <w:lang w:val="fr-CA"/>
              </w:rPr>
              <w:t>employé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;</w:t>
            </w:r>
          </w:p>
          <w:p w:rsidR="00E17747" w:rsidRPr="000E6A4A" w:rsidRDefault="00E17747" w:rsidP="006D6E0E">
            <w:pPr>
              <w:pStyle w:val="NormalWeb"/>
              <w:numPr>
                <w:ilvl w:val="0"/>
                <w:numId w:val="7"/>
              </w:numPr>
              <w:spacing w:after="0" w:afterAutospacing="0"/>
              <w:rPr>
                <w:rFonts w:ascii="Calibri" w:hAnsi="Calibri"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Le BDPRH envisage d</w:t>
            </w:r>
            <w:r w:rsidR="00E612C9">
              <w:rPr>
                <w:rFonts w:ascii="Calibri" w:hAnsi="Calibri"/>
                <w:sz w:val="20"/>
                <w:szCs w:val="20"/>
                <w:lang w:val="fr-CA"/>
              </w:rPr>
              <w:t>’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offrir plus de modules de formation aux employés et aux gestionnaires.</w:t>
            </w:r>
            <w:r w:rsidR="00B148B0">
              <w:rPr>
                <w:rFonts w:ascii="Calibri" w:hAnsi="Calibri"/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EDSC les rendra disponibles par l</w:t>
            </w:r>
            <w:r w:rsidR="00E612C9">
              <w:rPr>
                <w:rFonts w:ascii="Calibri" w:hAnsi="Calibri"/>
                <w:sz w:val="20"/>
                <w:szCs w:val="20"/>
                <w:lang w:val="fr-CA"/>
              </w:rPr>
              <w:t>’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entremise de SABA.</w:t>
            </w:r>
          </w:p>
          <w:p w:rsidR="00E17747" w:rsidRPr="000E6A4A" w:rsidRDefault="00E17747" w:rsidP="00230D90">
            <w:pPr>
              <w:pStyle w:val="NormalWeb"/>
              <w:rPr>
                <w:rFonts w:ascii="Calibri" w:hAnsi="Calibri"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Tony</w:t>
            </w:r>
            <w:r w:rsidR="00E612C9">
              <w:rPr>
                <w:rFonts w:ascii="Calibri" w:hAnsi="Calibri"/>
                <w:sz w:val="20"/>
                <w:szCs w:val="20"/>
                <w:lang w:val="fr-CA"/>
              </w:rPr>
              <w:t> 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Giles indique que de nombreux problèmes de rémunération sont petits, mais ennuyeux.</w:t>
            </w:r>
            <w:r w:rsidR="00B148B0">
              <w:rPr>
                <w:rFonts w:ascii="Calibri" w:hAnsi="Calibri"/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À part le fait de ne pas être payés, quelles questions prioritaires devraient-ils adresser directement à Jennifer pour obtenir de l</w:t>
            </w:r>
            <w:r w:rsidR="00E612C9">
              <w:rPr>
                <w:rFonts w:ascii="Calibri" w:hAnsi="Calibri"/>
                <w:sz w:val="20"/>
                <w:szCs w:val="20"/>
                <w:lang w:val="fr-CA"/>
              </w:rPr>
              <w:t>’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aide? Jennifer</w:t>
            </w:r>
            <w:r w:rsidR="00E612C9">
              <w:rPr>
                <w:rFonts w:ascii="Calibri" w:hAnsi="Calibri"/>
                <w:sz w:val="20"/>
                <w:szCs w:val="20"/>
                <w:lang w:val="fr-CA"/>
              </w:rPr>
              <w:t> 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Hamilton explique qu</w:t>
            </w:r>
            <w:r w:rsidR="00E612C9">
              <w:rPr>
                <w:rFonts w:ascii="Calibri" w:hAnsi="Calibri"/>
                <w:sz w:val="20"/>
                <w:szCs w:val="20"/>
                <w:lang w:val="fr-CA"/>
              </w:rPr>
              <w:t>’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ils doivent compter sur les gestionnaires et les employés pour déterminer l</w:t>
            </w:r>
            <w:r w:rsidR="00E612C9">
              <w:rPr>
                <w:rFonts w:ascii="Calibri" w:hAnsi="Calibri"/>
                <w:sz w:val="20"/>
                <w:szCs w:val="20"/>
                <w:lang w:val="fr-CA"/>
              </w:rPr>
              <w:t>’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importance du problème.</w:t>
            </w:r>
            <w:r w:rsidR="00B148B0">
              <w:rPr>
                <w:rFonts w:ascii="Calibri" w:hAnsi="Calibri"/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Le même problème peut être perçu différemment selon le point de vue de l</w:t>
            </w:r>
            <w:r w:rsidR="00E612C9">
              <w:rPr>
                <w:rFonts w:ascii="Calibri" w:hAnsi="Calibri"/>
                <w:sz w:val="20"/>
                <w:szCs w:val="20"/>
                <w:lang w:val="fr-CA"/>
              </w:rPr>
              <w:t>’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individu.</w:t>
            </w:r>
            <w:r w:rsidR="00B148B0">
              <w:rPr>
                <w:rFonts w:ascii="Calibri" w:hAnsi="Calibri"/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Lorsque le gestionnaire estime que l</w:t>
            </w:r>
            <w:r w:rsidR="00E612C9">
              <w:rPr>
                <w:rFonts w:ascii="Calibri" w:hAnsi="Calibri"/>
                <w:sz w:val="20"/>
                <w:szCs w:val="20"/>
                <w:lang w:val="fr-CA"/>
              </w:rPr>
              <w:t>’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i</w:t>
            </w:r>
            <w:r w:rsidR="00230D90">
              <w:rPr>
                <w:rFonts w:ascii="Calibri" w:hAnsi="Calibri"/>
                <w:sz w:val="20"/>
                <w:szCs w:val="20"/>
                <w:lang w:val="fr-CA"/>
              </w:rPr>
              <w:t>ncidence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 xml:space="preserve"> sur les employés est important</w:t>
            </w:r>
            <w:r w:rsidR="00230D90">
              <w:rPr>
                <w:rFonts w:ascii="Calibri" w:hAnsi="Calibri"/>
                <w:sz w:val="20"/>
                <w:szCs w:val="20"/>
                <w:lang w:val="fr-CA"/>
              </w:rPr>
              <w:t>e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, elle les encourage à communiquer avec elle.</w:t>
            </w:r>
          </w:p>
          <w:p w:rsidR="00E17747" w:rsidRPr="000E6A4A" w:rsidRDefault="00E17747" w:rsidP="006D6E0E">
            <w:pPr>
              <w:pStyle w:val="NormalWeb"/>
              <w:rPr>
                <w:rFonts w:ascii="Calibri" w:hAnsi="Calibri"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Linda</w:t>
            </w:r>
            <w:r w:rsidR="00E612C9">
              <w:rPr>
                <w:rFonts w:ascii="Calibri" w:hAnsi="Calibri"/>
                <w:sz w:val="20"/>
                <w:szCs w:val="20"/>
                <w:lang w:val="fr-CA"/>
              </w:rPr>
              <w:t> 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Koo indique que les problèmes de rémuné</w:t>
            </w:r>
            <w:r w:rsidR="00230D90">
              <w:rPr>
                <w:rFonts w:ascii="Calibri" w:hAnsi="Calibri"/>
                <w:sz w:val="20"/>
                <w:szCs w:val="20"/>
                <w:lang w:val="fr-CA"/>
              </w:rPr>
              <w:t>ration découlant des retours de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 xml:space="preserve"> congés sans solde sont importants lorsque le salaire et les avantages présentent toujours des erreurs.</w:t>
            </w:r>
            <w:r w:rsidR="00B148B0">
              <w:rPr>
                <w:rFonts w:ascii="Calibri" w:hAnsi="Calibri"/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 xml:space="preserve">En outre, les cas de T4 incorrects sont également des priorités. </w:t>
            </w:r>
          </w:p>
          <w:p w:rsidR="00E17747" w:rsidRPr="000E6A4A" w:rsidRDefault="00E17747" w:rsidP="00230D90">
            <w:pPr>
              <w:pStyle w:val="NormalWeb"/>
              <w:rPr>
                <w:rFonts w:ascii="Calibri" w:hAnsi="Calibri"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Kevin</w:t>
            </w:r>
            <w:r w:rsidR="00E612C9">
              <w:rPr>
                <w:rFonts w:ascii="Calibri" w:hAnsi="Calibri"/>
                <w:sz w:val="20"/>
                <w:szCs w:val="20"/>
                <w:lang w:val="fr-CA"/>
              </w:rPr>
              <w:t> 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King indique qu</w:t>
            </w:r>
            <w:r w:rsidR="00E612C9">
              <w:rPr>
                <w:rFonts w:ascii="Calibri" w:hAnsi="Calibri"/>
                <w:sz w:val="20"/>
                <w:szCs w:val="20"/>
                <w:lang w:val="fr-CA"/>
              </w:rPr>
              <w:t>’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avec Peoplesoft</w:t>
            </w:r>
            <w:r w:rsidR="00E612C9">
              <w:rPr>
                <w:rFonts w:ascii="Calibri" w:hAnsi="Calibri"/>
                <w:sz w:val="20"/>
                <w:szCs w:val="20"/>
                <w:lang w:val="fr-CA"/>
              </w:rPr>
              <w:t> 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9.1, la séquence d</w:t>
            </w:r>
            <w:r w:rsidR="00E612C9">
              <w:rPr>
                <w:rFonts w:ascii="Calibri" w:hAnsi="Calibri"/>
                <w:sz w:val="20"/>
                <w:szCs w:val="20"/>
                <w:lang w:val="fr-CA"/>
              </w:rPr>
              <w:t>’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entrée de l</w:t>
            </w:r>
            <w:r w:rsidR="00E612C9">
              <w:rPr>
                <w:rFonts w:ascii="Calibri" w:hAnsi="Calibri"/>
                <w:sz w:val="20"/>
                <w:szCs w:val="20"/>
                <w:lang w:val="fr-CA"/>
              </w:rPr>
              <w:t>’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information revêt une grande importante.</w:t>
            </w:r>
            <w:r w:rsidR="00B148B0">
              <w:rPr>
                <w:rFonts w:ascii="Calibri" w:hAnsi="Calibri"/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 xml:space="preserve">Par conséquent, tout ce que le </w:t>
            </w:r>
            <w:r w:rsidR="00230D90">
              <w:rPr>
                <w:rFonts w:ascii="Calibri" w:hAnsi="Calibri"/>
                <w:sz w:val="20"/>
                <w:szCs w:val="20"/>
                <w:lang w:val="fr-CA"/>
              </w:rPr>
              <w:t>M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inistère peut faire à l</w:t>
            </w:r>
            <w:r w:rsidR="00E612C9">
              <w:rPr>
                <w:rFonts w:ascii="Calibri" w:hAnsi="Calibri"/>
                <w:sz w:val="20"/>
                <w:szCs w:val="20"/>
                <w:lang w:val="fr-CA"/>
              </w:rPr>
              <w:t>’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interne pour aider à résoudre une situation avant que SPAC prenne des mesures est essentiel.</w:t>
            </w:r>
          </w:p>
          <w:p w:rsidR="00E17747" w:rsidRPr="000E6A4A" w:rsidRDefault="007D4013" w:rsidP="006D6E0E">
            <w:pPr>
              <w:pStyle w:val="NormalWeb"/>
              <w:rPr>
                <w:rFonts w:ascii="Calibri" w:hAnsi="Calibri"/>
                <w:sz w:val="20"/>
                <w:szCs w:val="20"/>
                <w:lang w:val="fr-CA"/>
              </w:rPr>
            </w:pPr>
            <w:r w:rsidRPr="007D4013">
              <w:rPr>
                <w:rFonts w:ascii="Calibri" w:hAnsi="Calibri"/>
                <w:sz w:val="20"/>
                <w:szCs w:val="20"/>
                <w:lang w:val="fr-CA"/>
              </w:rPr>
              <w:t>Luc Provost a indiqué qu'il est difficile de valider sur le talon de paye si les paiements rétroactifs couvrent la bonne période ou le bon montant versé parce qu'il n'y a pas asse</w:t>
            </w:r>
            <w:r>
              <w:rPr>
                <w:rFonts w:ascii="Calibri" w:hAnsi="Calibri"/>
                <w:sz w:val="20"/>
                <w:szCs w:val="20"/>
                <w:lang w:val="fr-CA"/>
              </w:rPr>
              <w:t xml:space="preserve">z d'information ou de détail qui permettent aux </w:t>
            </w:r>
            <w:r w:rsidRPr="007D4013">
              <w:rPr>
                <w:rFonts w:ascii="Calibri" w:hAnsi="Calibri"/>
                <w:sz w:val="20"/>
                <w:szCs w:val="20"/>
                <w:lang w:val="fr-CA"/>
              </w:rPr>
              <w:t>employé</w:t>
            </w:r>
            <w:r>
              <w:rPr>
                <w:rFonts w:ascii="Calibri" w:hAnsi="Calibri"/>
                <w:sz w:val="20"/>
                <w:szCs w:val="20"/>
                <w:lang w:val="fr-CA"/>
              </w:rPr>
              <w:t>s de comprendre le paiement</w:t>
            </w:r>
            <w:r w:rsidRPr="007D4013">
              <w:rPr>
                <w:rFonts w:ascii="Calibri" w:hAnsi="Calibri"/>
                <w:sz w:val="20"/>
                <w:szCs w:val="20"/>
                <w:lang w:val="fr-CA"/>
              </w:rPr>
              <w:t>. Cependant, les employés ont peu de temps pour déterminer si le montant du paiement rétroactif qu'ils ont reçu est exact.</w:t>
            </w:r>
          </w:p>
          <w:p w:rsidR="00E17747" w:rsidRPr="000E6A4A" w:rsidRDefault="00E17747" w:rsidP="00230D90">
            <w:pPr>
              <w:pStyle w:val="NormalWeb"/>
              <w:rPr>
                <w:rFonts w:ascii="Calibri" w:hAnsi="Calibri"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Andrew Gibson précise que pour les prochaines mises à jour, il serait souhaitable d</w:t>
            </w:r>
            <w:r w:rsidR="00E612C9">
              <w:rPr>
                <w:rFonts w:ascii="Calibri" w:hAnsi="Calibri"/>
                <w:sz w:val="20"/>
                <w:szCs w:val="20"/>
                <w:lang w:val="fr-CA"/>
              </w:rPr>
              <w:t>’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obtenir de la document</w:t>
            </w:r>
            <w:r w:rsidR="00A231C9">
              <w:rPr>
                <w:rFonts w:ascii="Calibri" w:hAnsi="Calibri"/>
                <w:sz w:val="20"/>
                <w:szCs w:val="20"/>
                <w:lang w:val="fr-CA"/>
              </w:rPr>
              <w:t>ation qui montrerait ce que le M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 xml:space="preserve">inistère fait vraiment et quel genre de progrès il accomplit (p. ex., combien de cas ont été résolus dans une période </w:t>
            </w:r>
            <w:r w:rsidR="00230D90">
              <w:rPr>
                <w:rFonts w:ascii="Calibri" w:hAnsi="Calibri"/>
                <w:sz w:val="20"/>
                <w:szCs w:val="20"/>
                <w:lang w:val="fr-CA"/>
              </w:rPr>
              <w:t>précis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e, citer des chiffres absolus, %, etc.).</w:t>
            </w:r>
            <w:r w:rsidR="00B148B0">
              <w:rPr>
                <w:rFonts w:ascii="Calibri" w:hAnsi="Calibri"/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Jennifer répond qu</w:t>
            </w:r>
            <w:r w:rsidR="00E612C9">
              <w:rPr>
                <w:rFonts w:ascii="Calibri" w:hAnsi="Calibri"/>
                <w:sz w:val="20"/>
                <w:szCs w:val="20"/>
                <w:lang w:val="fr-CA"/>
              </w:rPr>
              <w:t>’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elle va regarder cela.</w:t>
            </w:r>
          </w:p>
          <w:p w:rsidR="00E17747" w:rsidRPr="000E6A4A" w:rsidRDefault="00E17747" w:rsidP="006D6E0E">
            <w:pPr>
              <w:pStyle w:val="NormalWeb"/>
              <w:rPr>
                <w:rFonts w:ascii="Calibri" w:hAnsi="Calibri"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Michael</w:t>
            </w:r>
            <w:r w:rsidR="00E612C9">
              <w:rPr>
                <w:rFonts w:ascii="Calibri" w:hAnsi="Calibri"/>
                <w:sz w:val="20"/>
                <w:szCs w:val="20"/>
                <w:lang w:val="fr-CA"/>
              </w:rPr>
              <w:t> 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O</w:t>
            </w:r>
            <w:r w:rsidR="00E612C9">
              <w:rPr>
                <w:rFonts w:ascii="Calibri" w:hAnsi="Calibri"/>
                <w:sz w:val="20"/>
                <w:szCs w:val="20"/>
                <w:lang w:val="fr-CA"/>
              </w:rPr>
              <w:t>’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Donnell demande quand les TI peuvent s</w:t>
            </w:r>
            <w:r w:rsidR="00E612C9">
              <w:rPr>
                <w:rFonts w:ascii="Calibri" w:hAnsi="Calibri"/>
                <w:sz w:val="20"/>
                <w:szCs w:val="20"/>
                <w:lang w:val="fr-CA"/>
              </w:rPr>
              <w:t>’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attendre à des paiements rétroactifs liés à l</w:t>
            </w:r>
            <w:r w:rsidR="00E612C9">
              <w:rPr>
                <w:rFonts w:ascii="Calibri" w:hAnsi="Calibri"/>
                <w:sz w:val="20"/>
                <w:szCs w:val="20"/>
                <w:lang w:val="fr-CA"/>
              </w:rPr>
              <w:t>’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application de l</w:t>
            </w:r>
            <w:r w:rsidR="00E612C9">
              <w:rPr>
                <w:rFonts w:ascii="Calibri" w:hAnsi="Calibri"/>
                <w:sz w:val="20"/>
                <w:szCs w:val="20"/>
                <w:lang w:val="fr-CA"/>
              </w:rPr>
              <w:t>’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annexe DD de la convention collective du groupe TC (allocation annuelle de 3</w:t>
            </w:r>
            <w:r w:rsidR="00E612C9">
              <w:rPr>
                <w:rFonts w:ascii="Calibri" w:hAnsi="Calibri"/>
                <w:sz w:val="20"/>
                <w:szCs w:val="20"/>
                <w:lang w:val="fr-CA"/>
              </w:rPr>
              <w:t> 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000</w:t>
            </w:r>
            <w:r w:rsidR="00E612C9">
              <w:rPr>
                <w:rFonts w:ascii="Calibri" w:hAnsi="Calibri"/>
                <w:sz w:val="20"/>
                <w:szCs w:val="20"/>
                <w:lang w:val="fr-CA"/>
              </w:rPr>
              <w:t> 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$).</w:t>
            </w:r>
            <w:r w:rsidR="00B148B0">
              <w:rPr>
                <w:rFonts w:ascii="Calibri" w:hAnsi="Calibri"/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Jennifer</w:t>
            </w:r>
            <w:r w:rsidR="00E612C9">
              <w:rPr>
                <w:rFonts w:ascii="Calibri" w:hAnsi="Calibri"/>
                <w:sz w:val="20"/>
                <w:szCs w:val="20"/>
                <w:lang w:val="fr-CA"/>
              </w:rPr>
              <w:t> </w:t>
            </w:r>
            <w:r w:rsidRPr="000E6A4A">
              <w:rPr>
                <w:rFonts w:ascii="Calibri" w:hAnsi="Calibri"/>
                <w:sz w:val="20"/>
                <w:szCs w:val="20"/>
                <w:lang w:val="fr-CA"/>
              </w:rPr>
              <w:t>Hamilton indique que SPAC est responsable de la mise en œuvre des conventions collectives, mais elle cherchera une réponse.</w:t>
            </w: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  <w:p w:rsidR="00E17747" w:rsidRPr="007D4013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7D4013">
              <w:rPr>
                <w:rFonts w:ascii="Calibri" w:hAnsi="Calibri" w:cs="Calibri"/>
                <w:sz w:val="20"/>
                <w:szCs w:val="20"/>
                <w:lang w:val="fr-CA"/>
              </w:rPr>
              <w:t>Jennifer</w:t>
            </w:r>
            <w:r w:rsidR="00E612C9" w:rsidRPr="007D4013">
              <w:rPr>
                <w:rFonts w:ascii="Calibri" w:hAnsi="Calibri" w:cs="Calibri"/>
                <w:sz w:val="20"/>
                <w:szCs w:val="20"/>
                <w:lang w:val="fr-CA"/>
              </w:rPr>
              <w:t> </w:t>
            </w:r>
            <w:r w:rsidRPr="007D4013">
              <w:rPr>
                <w:rFonts w:ascii="Calibri" w:hAnsi="Calibri" w:cs="Calibri"/>
                <w:sz w:val="20"/>
                <w:szCs w:val="20"/>
                <w:lang w:val="fr-CA"/>
              </w:rPr>
              <w:t>Hamilton doit préparer les documents pour la prochaine mise à jour</w:t>
            </w:r>
            <w:r w:rsidR="00CA70D1" w:rsidRPr="007D4013">
              <w:rPr>
                <w:rFonts w:ascii="Calibri" w:hAnsi="Calibri" w:cs="Calibri"/>
                <w:sz w:val="20"/>
                <w:szCs w:val="20"/>
                <w:lang w:val="fr-CA"/>
              </w:rPr>
              <w:t>.</w:t>
            </w:r>
          </w:p>
          <w:p w:rsidR="00E17747" w:rsidRPr="007D4013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  <w:p w:rsidR="00E17747" w:rsidRPr="007D4013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  <w:p w:rsidR="00E17747" w:rsidRPr="007D4013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7D4013">
              <w:rPr>
                <w:rFonts w:ascii="Calibri" w:hAnsi="Calibri" w:cs="Calibri"/>
                <w:sz w:val="20"/>
                <w:szCs w:val="20"/>
                <w:lang w:val="fr-CA"/>
              </w:rPr>
              <w:t>Jennifer doit vérifier auprès de SPAC</w:t>
            </w:r>
            <w:r w:rsidR="00CA70D1" w:rsidRPr="007D4013">
              <w:rPr>
                <w:rFonts w:ascii="Calibri" w:hAnsi="Calibri" w:cs="Calibri"/>
                <w:sz w:val="20"/>
                <w:szCs w:val="20"/>
                <w:lang w:val="fr-CA"/>
              </w:rPr>
              <w:t>.</w:t>
            </w:r>
          </w:p>
        </w:tc>
      </w:tr>
      <w:tr w:rsidR="00E17747" w:rsidRPr="000E6A4A" w:rsidTr="00A66AA7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17747" w:rsidRPr="000E6A4A" w:rsidRDefault="00E17747" w:rsidP="006D6E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4.</w:t>
            </w:r>
          </w:p>
        </w:tc>
        <w:tc>
          <w:tcPr>
            <w:tcW w:w="6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Tour de table et mot de la fin (tous)</w:t>
            </w: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Luc</w:t>
            </w:r>
            <w:r w:rsidR="00E612C9">
              <w:rPr>
                <w:rFonts w:ascii="Calibri" w:hAnsi="Calibri" w:cs="Calibri"/>
                <w:sz w:val="20"/>
                <w:szCs w:val="20"/>
                <w:lang w:val="fr-CA"/>
              </w:rPr>
              <w:t> 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Provost indique qu</w:t>
            </w:r>
            <w:r w:rsidR="00E612C9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il est difficile de trouver de l</w:t>
            </w:r>
            <w:r w:rsidR="00E612C9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 xml:space="preserve">information sur le site </w:t>
            </w:r>
            <w:r w:rsidR="006140B3">
              <w:rPr>
                <w:rFonts w:ascii="Calibri" w:hAnsi="Calibri" w:cs="Calibri"/>
                <w:sz w:val="20"/>
                <w:szCs w:val="20"/>
                <w:lang w:val="fr-CA"/>
              </w:rPr>
              <w:t>Web du Programme du t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ravail (ex.</w:t>
            </w:r>
            <w:r w:rsidR="00E612C9">
              <w:rPr>
                <w:rFonts w:ascii="Calibri" w:hAnsi="Calibri" w:cs="Calibri"/>
                <w:sz w:val="20"/>
                <w:szCs w:val="20"/>
                <w:lang w:val="fr-CA"/>
              </w:rPr>
              <w:t> 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 xml:space="preserve">: formulaires). </w:t>
            </w: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Luc</w:t>
            </w:r>
            <w:r w:rsidR="00E612C9">
              <w:rPr>
                <w:rFonts w:ascii="Calibri" w:hAnsi="Calibri" w:cs="Calibri"/>
                <w:sz w:val="20"/>
                <w:szCs w:val="20"/>
                <w:lang w:val="fr-CA"/>
              </w:rPr>
              <w:t> 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Provost indique qu</w:t>
            </w:r>
            <w:r w:rsidR="00E612C9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il est difficile pour les employés de trouver les procès-verbaux du CCPSPT et se demande où ils sont conservés et si les employés y ont accès.</w:t>
            </w: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  <w:p w:rsidR="00E17747" w:rsidRPr="000E6A4A" w:rsidRDefault="00E17747" w:rsidP="0023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 xml:space="preserve">Andrew Gibson indique que le </w:t>
            </w:r>
            <w:r w:rsidR="00230D90">
              <w:rPr>
                <w:rFonts w:ascii="Calibri" w:hAnsi="Calibri" w:cs="Calibri"/>
                <w:sz w:val="20"/>
                <w:szCs w:val="20"/>
                <w:lang w:val="fr-CA"/>
              </w:rPr>
              <w:t>M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inistère semble ne pas respecter la clause</w:t>
            </w:r>
            <w:r w:rsidR="00E612C9">
              <w:rPr>
                <w:rFonts w:ascii="Calibri" w:hAnsi="Calibri" w:cs="Calibri"/>
                <w:sz w:val="20"/>
                <w:szCs w:val="20"/>
                <w:lang w:val="fr-CA"/>
              </w:rPr>
              <w:t> 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8.05 de la convention collective d</w:t>
            </w:r>
            <w:r w:rsidR="00E612C9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EC sur la possibilité de présenter le représentant des employés dans le cadre du programme d</w:t>
            </w:r>
            <w:r w:rsidR="00E612C9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 xml:space="preserve">orientation des employés nouvellement embauchés. </w:t>
            </w: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Andrew Gibson précise que pour la prochaine réunion, l</w:t>
            </w:r>
            <w:r w:rsidR="00E612C9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ACEP aimerait que l</w:t>
            </w:r>
            <w:r w:rsidR="00E612C9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on discute de l</w:t>
            </w:r>
            <w:r w:rsidR="00E612C9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application ministérielle de l</w:t>
            </w:r>
            <w:r w:rsidR="00E612C9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impression recto</w:t>
            </w:r>
            <w:r w:rsidR="00E612C9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</w:t>
            </w:r>
            <w:r w:rsidRPr="000E6A4A">
              <w:rPr>
                <w:rFonts w:ascii="Calibri" w:hAnsi="Calibri" w:cs="Calibri"/>
                <w:sz w:val="20"/>
                <w:szCs w:val="20"/>
                <w:lang w:val="fr-CA"/>
              </w:rPr>
              <w:t>verso par défaut.</w:t>
            </w: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  <w:p w:rsidR="00E17747" w:rsidRPr="000E6A4A" w:rsidRDefault="00E17747" w:rsidP="006D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fr-CA"/>
              </w:rPr>
            </w:pPr>
          </w:p>
        </w:tc>
      </w:tr>
    </w:tbl>
    <w:p w:rsidR="00E17747" w:rsidRPr="000E6A4A" w:rsidRDefault="00E17747" w:rsidP="00FB70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sectPr w:rsidR="00E17747" w:rsidRPr="000E6A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B8A" w:rsidRPr="000E6A4A" w:rsidRDefault="00866B8A" w:rsidP="00DD31D9">
      <w:pPr>
        <w:spacing w:after="0" w:line="240" w:lineRule="auto"/>
        <w:rPr>
          <w:lang w:val="fr-CA"/>
        </w:rPr>
      </w:pPr>
      <w:r w:rsidRPr="000E6A4A">
        <w:rPr>
          <w:lang w:val="fr-CA"/>
        </w:rPr>
        <w:separator/>
      </w:r>
    </w:p>
  </w:endnote>
  <w:endnote w:type="continuationSeparator" w:id="0">
    <w:p w:rsidR="00866B8A" w:rsidRPr="000E6A4A" w:rsidRDefault="00866B8A" w:rsidP="00DD31D9">
      <w:pPr>
        <w:spacing w:after="0" w:line="240" w:lineRule="auto"/>
        <w:rPr>
          <w:lang w:val="fr-CA"/>
        </w:rPr>
      </w:pPr>
      <w:r w:rsidRPr="000E6A4A">
        <w:rPr>
          <w:lang w:val="fr-C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747" w:rsidRPr="000E6A4A" w:rsidRDefault="00E17747">
    <w:pPr>
      <w:pStyle w:val="Footer"/>
      <w:rPr>
        <w:lang w:val="fr-C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747" w:rsidRPr="000E6A4A" w:rsidRDefault="00E17747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747" w:rsidRPr="000E6A4A" w:rsidRDefault="00E17747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B8A" w:rsidRPr="000E6A4A" w:rsidRDefault="00866B8A" w:rsidP="00DD31D9">
      <w:pPr>
        <w:spacing w:after="0" w:line="240" w:lineRule="auto"/>
        <w:rPr>
          <w:lang w:val="fr-CA"/>
        </w:rPr>
      </w:pPr>
      <w:r w:rsidRPr="000E6A4A">
        <w:rPr>
          <w:lang w:val="fr-CA"/>
        </w:rPr>
        <w:separator/>
      </w:r>
    </w:p>
  </w:footnote>
  <w:footnote w:type="continuationSeparator" w:id="0">
    <w:p w:rsidR="00866B8A" w:rsidRPr="000E6A4A" w:rsidRDefault="00866B8A" w:rsidP="00DD31D9">
      <w:pPr>
        <w:spacing w:after="0" w:line="240" w:lineRule="auto"/>
        <w:rPr>
          <w:lang w:val="fr-CA"/>
        </w:rPr>
      </w:pPr>
      <w:r w:rsidRPr="000E6A4A">
        <w:rPr>
          <w:lang w:val="fr-C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747" w:rsidRPr="000E6A4A" w:rsidRDefault="00E17747">
    <w:pPr>
      <w:pStyle w:val="Header"/>
      <w:rPr>
        <w:lang w:val="fr-C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747" w:rsidRPr="000E6A4A" w:rsidRDefault="00E17747">
    <w:pPr>
      <w:pStyle w:val="Header"/>
      <w:rPr>
        <w:lang w:val="fr-C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747" w:rsidRPr="000E6A4A" w:rsidRDefault="00E17747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7F25C8E"/>
    <w:lvl w:ilvl="0">
      <w:numFmt w:val="bullet"/>
      <w:lvlText w:val="*"/>
      <w:lvlJc w:val="left"/>
    </w:lvl>
  </w:abstractNum>
  <w:abstractNum w:abstractNumId="1">
    <w:nsid w:val="213B199A"/>
    <w:multiLevelType w:val="hybridMultilevel"/>
    <w:tmpl w:val="AD02B9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55151"/>
    <w:multiLevelType w:val="hybridMultilevel"/>
    <w:tmpl w:val="8C925E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B72D3"/>
    <w:multiLevelType w:val="hybridMultilevel"/>
    <w:tmpl w:val="94E0CF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B5169"/>
    <w:multiLevelType w:val="hybridMultilevel"/>
    <w:tmpl w:val="19E6F4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B37465"/>
    <w:multiLevelType w:val="hybridMultilevel"/>
    <w:tmpl w:val="44D4EC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2C6D92"/>
    <w:multiLevelType w:val="hybridMultilevel"/>
    <w:tmpl w:val="77A461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C1"/>
    <w:rsid w:val="00014B0D"/>
    <w:rsid w:val="00031D55"/>
    <w:rsid w:val="000458C1"/>
    <w:rsid w:val="000563EF"/>
    <w:rsid w:val="00060600"/>
    <w:rsid w:val="000A0492"/>
    <w:rsid w:val="000B7925"/>
    <w:rsid w:val="000D274B"/>
    <w:rsid w:val="000D6267"/>
    <w:rsid w:val="000E5018"/>
    <w:rsid w:val="000E6A4A"/>
    <w:rsid w:val="000F4D5C"/>
    <w:rsid w:val="001010F9"/>
    <w:rsid w:val="00101CF9"/>
    <w:rsid w:val="0011620B"/>
    <w:rsid w:val="001173C2"/>
    <w:rsid w:val="00124D1C"/>
    <w:rsid w:val="0015144E"/>
    <w:rsid w:val="001647B0"/>
    <w:rsid w:val="00173A9A"/>
    <w:rsid w:val="00177E0A"/>
    <w:rsid w:val="00187CEA"/>
    <w:rsid w:val="001A1C5C"/>
    <w:rsid w:val="001A7F8B"/>
    <w:rsid w:val="001B64AC"/>
    <w:rsid w:val="001B77D2"/>
    <w:rsid w:val="001D4148"/>
    <w:rsid w:val="001D64A4"/>
    <w:rsid w:val="00230D90"/>
    <w:rsid w:val="00241FFE"/>
    <w:rsid w:val="00242C79"/>
    <w:rsid w:val="00243336"/>
    <w:rsid w:val="00266342"/>
    <w:rsid w:val="0029419C"/>
    <w:rsid w:val="00297FE8"/>
    <w:rsid w:val="002C3C2C"/>
    <w:rsid w:val="002D432D"/>
    <w:rsid w:val="002D57DF"/>
    <w:rsid w:val="002F114B"/>
    <w:rsid w:val="002F71C5"/>
    <w:rsid w:val="00310311"/>
    <w:rsid w:val="003159A5"/>
    <w:rsid w:val="0033064E"/>
    <w:rsid w:val="00356730"/>
    <w:rsid w:val="003624F7"/>
    <w:rsid w:val="00363FA6"/>
    <w:rsid w:val="00373E93"/>
    <w:rsid w:val="00390E2F"/>
    <w:rsid w:val="003E4524"/>
    <w:rsid w:val="003F56D1"/>
    <w:rsid w:val="003F6AD8"/>
    <w:rsid w:val="0040575D"/>
    <w:rsid w:val="00432320"/>
    <w:rsid w:val="00434060"/>
    <w:rsid w:val="004433C6"/>
    <w:rsid w:val="00483D57"/>
    <w:rsid w:val="0049410A"/>
    <w:rsid w:val="004B2D04"/>
    <w:rsid w:val="004B7F2B"/>
    <w:rsid w:val="004F7959"/>
    <w:rsid w:val="005468E0"/>
    <w:rsid w:val="00557C61"/>
    <w:rsid w:val="00575444"/>
    <w:rsid w:val="005808EB"/>
    <w:rsid w:val="005A4034"/>
    <w:rsid w:val="005C073E"/>
    <w:rsid w:val="005C3CE0"/>
    <w:rsid w:val="005D37CF"/>
    <w:rsid w:val="005D3B78"/>
    <w:rsid w:val="005D3FFA"/>
    <w:rsid w:val="00604354"/>
    <w:rsid w:val="00611517"/>
    <w:rsid w:val="006140B3"/>
    <w:rsid w:val="006168C2"/>
    <w:rsid w:val="00631F9C"/>
    <w:rsid w:val="00633DCD"/>
    <w:rsid w:val="006627A9"/>
    <w:rsid w:val="0068032E"/>
    <w:rsid w:val="006812BC"/>
    <w:rsid w:val="006C1F9B"/>
    <w:rsid w:val="006D6E0E"/>
    <w:rsid w:val="006F1581"/>
    <w:rsid w:val="006F2A40"/>
    <w:rsid w:val="00726798"/>
    <w:rsid w:val="00741324"/>
    <w:rsid w:val="007535E0"/>
    <w:rsid w:val="00771D7B"/>
    <w:rsid w:val="007A3433"/>
    <w:rsid w:val="007D4013"/>
    <w:rsid w:val="007D6EBA"/>
    <w:rsid w:val="007D789F"/>
    <w:rsid w:val="00800C4A"/>
    <w:rsid w:val="00802EF5"/>
    <w:rsid w:val="00806A46"/>
    <w:rsid w:val="0083507F"/>
    <w:rsid w:val="00842276"/>
    <w:rsid w:val="00846066"/>
    <w:rsid w:val="00856B01"/>
    <w:rsid w:val="00857EEF"/>
    <w:rsid w:val="00864F2C"/>
    <w:rsid w:val="00866B8A"/>
    <w:rsid w:val="008821E6"/>
    <w:rsid w:val="008A0404"/>
    <w:rsid w:val="008F5B80"/>
    <w:rsid w:val="008F7B96"/>
    <w:rsid w:val="009174F7"/>
    <w:rsid w:val="00917B55"/>
    <w:rsid w:val="00922E01"/>
    <w:rsid w:val="00934DFB"/>
    <w:rsid w:val="00963763"/>
    <w:rsid w:val="00975C53"/>
    <w:rsid w:val="009900A9"/>
    <w:rsid w:val="00995E8D"/>
    <w:rsid w:val="009C1477"/>
    <w:rsid w:val="009D23D3"/>
    <w:rsid w:val="009D3DF6"/>
    <w:rsid w:val="009E1816"/>
    <w:rsid w:val="009E213B"/>
    <w:rsid w:val="00A21F95"/>
    <w:rsid w:val="00A231C9"/>
    <w:rsid w:val="00A35719"/>
    <w:rsid w:val="00A66AA7"/>
    <w:rsid w:val="00A86144"/>
    <w:rsid w:val="00A970AF"/>
    <w:rsid w:val="00AB2EC4"/>
    <w:rsid w:val="00AD4D15"/>
    <w:rsid w:val="00AE29E4"/>
    <w:rsid w:val="00AE7BAF"/>
    <w:rsid w:val="00AF2A8A"/>
    <w:rsid w:val="00AF3CA2"/>
    <w:rsid w:val="00B148B0"/>
    <w:rsid w:val="00B222EE"/>
    <w:rsid w:val="00B23522"/>
    <w:rsid w:val="00B339E2"/>
    <w:rsid w:val="00B33D77"/>
    <w:rsid w:val="00B64AC7"/>
    <w:rsid w:val="00B734C1"/>
    <w:rsid w:val="00B90D8D"/>
    <w:rsid w:val="00B963A7"/>
    <w:rsid w:val="00BA30A3"/>
    <w:rsid w:val="00BD10F9"/>
    <w:rsid w:val="00BE55A7"/>
    <w:rsid w:val="00BF4BB6"/>
    <w:rsid w:val="00C03CB5"/>
    <w:rsid w:val="00C0611A"/>
    <w:rsid w:val="00C14895"/>
    <w:rsid w:val="00C3187E"/>
    <w:rsid w:val="00C532F8"/>
    <w:rsid w:val="00C56D69"/>
    <w:rsid w:val="00C67D54"/>
    <w:rsid w:val="00CA29EF"/>
    <w:rsid w:val="00CA70D1"/>
    <w:rsid w:val="00CB1372"/>
    <w:rsid w:val="00CC3836"/>
    <w:rsid w:val="00D00585"/>
    <w:rsid w:val="00D167A3"/>
    <w:rsid w:val="00D3131B"/>
    <w:rsid w:val="00D970B6"/>
    <w:rsid w:val="00DA26A3"/>
    <w:rsid w:val="00DB76D0"/>
    <w:rsid w:val="00DD1977"/>
    <w:rsid w:val="00DD31D9"/>
    <w:rsid w:val="00E045C3"/>
    <w:rsid w:val="00E17747"/>
    <w:rsid w:val="00E24AAE"/>
    <w:rsid w:val="00E26CC0"/>
    <w:rsid w:val="00E4625A"/>
    <w:rsid w:val="00E612C9"/>
    <w:rsid w:val="00E64A83"/>
    <w:rsid w:val="00E70691"/>
    <w:rsid w:val="00E807C7"/>
    <w:rsid w:val="00E8521D"/>
    <w:rsid w:val="00EC0D8D"/>
    <w:rsid w:val="00EE1149"/>
    <w:rsid w:val="00F00F08"/>
    <w:rsid w:val="00F3364D"/>
    <w:rsid w:val="00F47C3A"/>
    <w:rsid w:val="00F876A1"/>
    <w:rsid w:val="00F97669"/>
    <w:rsid w:val="00FB702C"/>
    <w:rsid w:val="00FD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CA"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40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A403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0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A403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A4034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3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31D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D3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31D9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F876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CA"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40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A403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0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A403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A4034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3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31D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D3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31D9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F876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1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0DF8F-0822-4081-83F9-503B5CF8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3620</Words>
  <Characters>20639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24211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Viens, Serge [NC]</dc:creator>
  <cp:lastModifiedBy>Charette, Nancy [NC]</cp:lastModifiedBy>
  <cp:revision>2</cp:revision>
  <cp:lastPrinted>2018-02-14T11:08:00Z</cp:lastPrinted>
  <dcterms:created xsi:type="dcterms:W3CDTF">2018-09-27T18:24:00Z</dcterms:created>
  <dcterms:modified xsi:type="dcterms:W3CDTF">2018-09-27T18:24:00Z</dcterms:modified>
</cp:coreProperties>
</file>