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0B0DA" w14:textId="77777777" w:rsidR="009E3DDB" w:rsidRPr="009E3DDB" w:rsidRDefault="009E3DDB" w:rsidP="009E3DDB">
      <w:pPr>
        <w:jc w:val="center"/>
        <w:rPr>
          <w:rFonts w:ascii="Calibri" w:eastAsia="Calibri" w:hAnsi="Calibri" w:cs="Times New Roman"/>
          <w:b/>
          <w:i/>
          <w:color w:val="4F81BD"/>
          <w:sz w:val="32"/>
          <w:szCs w:val="22"/>
          <w:lang w:val="fr-CA"/>
        </w:rPr>
      </w:pPr>
      <w:r w:rsidRPr="009E3DDB">
        <w:rPr>
          <w:rFonts w:ascii="Calibri" w:eastAsia="Calibri" w:hAnsi="Calibri" w:cs="Times New Roman"/>
          <w:b/>
          <w:i/>
          <w:color w:val="4F81BD"/>
          <w:sz w:val="32"/>
          <w:szCs w:val="22"/>
          <w:lang w:val="fr-CA"/>
        </w:rPr>
        <w:t>Guide-éclair sur la gestion du rendement</w:t>
      </w:r>
    </w:p>
    <w:p w14:paraId="5F9D4AD9" w14:textId="77777777" w:rsidR="009E3DDB" w:rsidRPr="009E3DDB" w:rsidRDefault="009E3DDB" w:rsidP="009E3DDB">
      <w:pPr>
        <w:jc w:val="center"/>
        <w:rPr>
          <w:rFonts w:ascii="Calibri" w:eastAsia="Calibri" w:hAnsi="Calibri" w:cs="Times New Roman"/>
          <w:b/>
          <w:bCs/>
          <w:sz w:val="22"/>
          <w:szCs w:val="22"/>
          <w:lang w:val="fr-CA"/>
        </w:rPr>
      </w:pPr>
      <w:r w:rsidRPr="009E3DDB">
        <w:rPr>
          <w:rFonts w:ascii="Calibri" w:eastAsia="Calibri" w:hAnsi="Calibri" w:cs="Times New Roman"/>
          <w:b/>
          <w:bCs/>
          <w:sz w:val="40"/>
          <w:szCs w:val="22"/>
          <w:lang w:val="fr-CA"/>
        </w:rPr>
        <w:t>Ententes de rendement : Inscrivez-vous à l’application</w:t>
      </w:r>
    </w:p>
    <w:p w14:paraId="304D54C1" w14:textId="77777777" w:rsidR="009E3DDB" w:rsidRPr="009E3DDB" w:rsidRDefault="009E3DDB" w:rsidP="009E3DDB">
      <w:pPr>
        <w:spacing w:line="276" w:lineRule="auto"/>
        <w:rPr>
          <w:rFonts w:ascii="Calibri" w:eastAsia="Calibri" w:hAnsi="Calibri" w:cs="Times New Roman"/>
          <w:sz w:val="22"/>
          <w:szCs w:val="22"/>
          <w:lang w:val="fr-CA"/>
        </w:rPr>
      </w:pPr>
    </w:p>
    <w:p w14:paraId="21B93580" w14:textId="77777777" w:rsidR="009E3DDB" w:rsidRPr="009E3DDB" w:rsidRDefault="009E3DDB" w:rsidP="009E3DDB">
      <w:pPr>
        <w:spacing w:after="200" w:line="276" w:lineRule="auto"/>
        <w:rPr>
          <w:rFonts w:ascii="Calibri" w:eastAsia="Calibri" w:hAnsi="Calibri" w:cs="Times New Roman"/>
          <w:sz w:val="28"/>
          <w:szCs w:val="22"/>
          <w:lang w:val="fr-CA"/>
        </w:rPr>
      </w:pPr>
      <w:r w:rsidRPr="009E3DDB">
        <w:rPr>
          <w:rFonts w:ascii="Calibri" w:eastAsia="Calibri" w:hAnsi="Calibri" w:cs="Times New Roman"/>
          <w:sz w:val="28"/>
          <w:szCs w:val="22"/>
          <w:lang w:val="fr-CA"/>
        </w:rPr>
        <w:t xml:space="preserve">Comme vous le savez, l’application de la Gestion du rendement de la fonction publique (GRFP) est en service depuis le 30 avril 2014. Cet outil permet aux gestionnaires et aux employés de remplir et d’actualiser en ligne les ententes de rendement. </w:t>
      </w:r>
    </w:p>
    <w:p w14:paraId="59462A9E" w14:textId="77777777" w:rsidR="009E3DDB" w:rsidRPr="009E3DDB" w:rsidRDefault="009E3DDB" w:rsidP="009E3DDB">
      <w:pPr>
        <w:spacing w:after="200" w:line="276" w:lineRule="auto"/>
        <w:rPr>
          <w:rFonts w:ascii="Calibri" w:eastAsia="Calibri" w:hAnsi="Calibri" w:cs="Times New Roman"/>
          <w:sz w:val="28"/>
          <w:szCs w:val="22"/>
          <w:lang w:val="fr-CA"/>
        </w:rPr>
      </w:pPr>
      <w:r w:rsidRPr="009E3DDB">
        <w:rPr>
          <w:rFonts w:ascii="Calibri" w:eastAsia="Calibri" w:hAnsi="Calibri" w:cs="Times New Roman"/>
          <w:sz w:val="28"/>
          <w:szCs w:val="22"/>
          <w:lang w:val="fr-CA"/>
        </w:rPr>
        <w:t>Récemment, près de 95% des employés d’EDSC se sont inscrits dans l'application de la GRFP. Nous sommes sur la bonne voie! Progressons sur cette lancée en veillant à ce que toutes les inscriptions d’ententes de rendement continues d’êtr</w:t>
      </w:r>
      <w:bookmarkStart w:id="0" w:name="_GoBack"/>
      <w:bookmarkEnd w:id="0"/>
      <w:r w:rsidRPr="009E3DDB">
        <w:rPr>
          <w:rFonts w:ascii="Calibri" w:eastAsia="Calibri" w:hAnsi="Calibri" w:cs="Times New Roman"/>
          <w:sz w:val="28"/>
          <w:szCs w:val="22"/>
          <w:lang w:val="fr-CA"/>
        </w:rPr>
        <w:t>e à jour en vue d’atteindre notre objectif de 100 %.</w:t>
      </w:r>
    </w:p>
    <w:p w14:paraId="73DDD54C" w14:textId="3E60D077" w:rsidR="009E3DDB" w:rsidRPr="009E3DDB" w:rsidRDefault="009E3DDB" w:rsidP="009E3DDB">
      <w:pPr>
        <w:spacing w:after="200" w:line="276" w:lineRule="auto"/>
        <w:rPr>
          <w:rFonts w:ascii="Calibri" w:eastAsia="Calibri" w:hAnsi="Calibri" w:cs="Times New Roman"/>
          <w:sz w:val="28"/>
          <w:szCs w:val="22"/>
          <w:lang w:val="fr-CA"/>
        </w:rPr>
      </w:pPr>
      <w:r w:rsidRPr="009E3DDB">
        <w:rPr>
          <w:rFonts w:ascii="Calibri" w:eastAsia="Calibri" w:hAnsi="Calibri" w:cs="Times New Roman"/>
          <w:sz w:val="28"/>
          <w:szCs w:val="22"/>
          <w:lang w:val="fr-CA"/>
        </w:rPr>
        <w:t>Les renseignements recueillis au moyen des inscriptions permettront à notre ministère de respecter les exigences du Secrétariat du Conseil du Trésor (SCT) en matière d’ententes de rendement. De plus, ces renseignements</w:t>
      </w:r>
      <w:r w:rsidR="0056712B">
        <w:rPr>
          <w:rFonts w:ascii="Calibri" w:eastAsia="Calibri" w:hAnsi="Calibri" w:cs="Times New Roman"/>
          <w:sz w:val="28"/>
          <w:szCs w:val="22"/>
          <w:lang w:val="fr-CA"/>
        </w:rPr>
        <w:t xml:space="preserve"> pourraient</w:t>
      </w:r>
      <w:r w:rsidRPr="009E3DDB">
        <w:rPr>
          <w:rFonts w:ascii="Calibri" w:eastAsia="Calibri" w:hAnsi="Calibri" w:cs="Times New Roman"/>
          <w:sz w:val="28"/>
          <w:szCs w:val="22"/>
          <w:lang w:val="fr-CA"/>
        </w:rPr>
        <w:t xml:space="preserve"> vous servir, à titre de gestionnaires et de superviseurs, en vous fournissant ce qui suit : </w:t>
      </w:r>
    </w:p>
    <w:p w14:paraId="204CC603" w14:textId="77777777" w:rsidR="009E3DDB" w:rsidRPr="009E3DDB" w:rsidRDefault="009E3DDB" w:rsidP="009E3DDB">
      <w:pPr>
        <w:numPr>
          <w:ilvl w:val="0"/>
          <w:numId w:val="1"/>
        </w:numPr>
        <w:spacing w:after="200" w:line="276" w:lineRule="auto"/>
        <w:rPr>
          <w:rFonts w:ascii="Calibri" w:eastAsia="Calibri" w:hAnsi="Calibri" w:cs="Times New Roman"/>
          <w:sz w:val="28"/>
          <w:szCs w:val="22"/>
          <w:lang w:val="fr-CA"/>
        </w:rPr>
      </w:pPr>
      <w:r w:rsidRPr="009E3DDB">
        <w:rPr>
          <w:rFonts w:ascii="Calibri" w:eastAsia="Calibri" w:hAnsi="Calibri" w:cs="Times New Roman"/>
          <w:sz w:val="28"/>
          <w:szCs w:val="22"/>
          <w:lang w:val="fr-CA"/>
        </w:rPr>
        <w:t xml:space="preserve">Les listes des subalternes directs et l'ensemble de la structure organisationnelle sous-jacente, le cas échéant. </w:t>
      </w:r>
    </w:p>
    <w:p w14:paraId="3C552F3E" w14:textId="77777777" w:rsidR="009E3DDB" w:rsidRPr="009E3DDB" w:rsidRDefault="009E3DDB" w:rsidP="009E3DDB">
      <w:pPr>
        <w:numPr>
          <w:ilvl w:val="0"/>
          <w:numId w:val="1"/>
        </w:numPr>
        <w:spacing w:after="200" w:line="276" w:lineRule="auto"/>
        <w:rPr>
          <w:rFonts w:ascii="Calibri" w:eastAsia="Calibri" w:hAnsi="Calibri" w:cs="Times New Roman"/>
          <w:sz w:val="28"/>
          <w:szCs w:val="22"/>
          <w:lang w:val="fr-CA"/>
        </w:rPr>
      </w:pPr>
      <w:r w:rsidRPr="009E3DDB">
        <w:rPr>
          <w:rFonts w:ascii="Calibri" w:eastAsia="Calibri" w:hAnsi="Calibri" w:cs="Times New Roman"/>
          <w:sz w:val="28"/>
          <w:szCs w:val="22"/>
          <w:lang w:val="fr-CA"/>
        </w:rPr>
        <w:t xml:space="preserve">Des statistiques descriptives, telles que : </w:t>
      </w:r>
    </w:p>
    <w:p w14:paraId="2B02224F" w14:textId="77777777" w:rsidR="009E3DDB" w:rsidRPr="009E3DDB" w:rsidRDefault="009E3DDB" w:rsidP="009E3DDB">
      <w:pPr>
        <w:numPr>
          <w:ilvl w:val="0"/>
          <w:numId w:val="2"/>
        </w:numPr>
        <w:spacing w:after="200" w:line="276" w:lineRule="auto"/>
        <w:rPr>
          <w:rFonts w:ascii="Calibri" w:eastAsia="Calibri" w:hAnsi="Calibri" w:cs="Times New Roman"/>
          <w:sz w:val="28"/>
          <w:szCs w:val="22"/>
          <w:lang w:val="fr-CA"/>
        </w:rPr>
      </w:pPr>
      <w:r w:rsidRPr="009E3DDB">
        <w:rPr>
          <w:rFonts w:ascii="Calibri" w:eastAsia="Calibri" w:hAnsi="Calibri" w:cs="Times New Roman"/>
          <w:sz w:val="28"/>
          <w:szCs w:val="22"/>
          <w:lang w:val="fr-CA"/>
        </w:rPr>
        <w:t xml:space="preserve">Le nombre d'employés dans la structure organisationnelle sous-jacente; </w:t>
      </w:r>
    </w:p>
    <w:p w14:paraId="0BEB00CD" w14:textId="77777777" w:rsidR="009E3DDB" w:rsidRPr="009E3DDB" w:rsidRDefault="009E3DDB" w:rsidP="009E3DDB">
      <w:pPr>
        <w:numPr>
          <w:ilvl w:val="0"/>
          <w:numId w:val="2"/>
        </w:numPr>
        <w:spacing w:after="200" w:line="276" w:lineRule="auto"/>
        <w:rPr>
          <w:rFonts w:ascii="Calibri" w:eastAsia="Calibri" w:hAnsi="Calibri" w:cs="Times New Roman"/>
          <w:sz w:val="28"/>
          <w:szCs w:val="22"/>
          <w:lang w:val="fr-CA"/>
        </w:rPr>
      </w:pPr>
      <w:r w:rsidRPr="009E3DDB">
        <w:rPr>
          <w:rFonts w:ascii="Calibri" w:eastAsia="Calibri" w:hAnsi="Calibri" w:cs="Times New Roman"/>
          <w:sz w:val="28"/>
          <w:szCs w:val="22"/>
          <w:lang w:val="fr-CA"/>
        </w:rPr>
        <w:t xml:space="preserve">Le nombre d'ententes de rendement créées et </w:t>
      </w:r>
    </w:p>
    <w:p w14:paraId="518A729E" w14:textId="77777777" w:rsidR="009E3DDB" w:rsidRDefault="009E3DDB" w:rsidP="009E3DDB">
      <w:pPr>
        <w:numPr>
          <w:ilvl w:val="0"/>
          <w:numId w:val="2"/>
        </w:numPr>
        <w:spacing w:after="200" w:line="276" w:lineRule="auto"/>
        <w:rPr>
          <w:rFonts w:ascii="Calibri" w:eastAsia="Calibri" w:hAnsi="Calibri" w:cs="Times New Roman"/>
          <w:sz w:val="28"/>
          <w:szCs w:val="22"/>
          <w:lang w:val="fr-CA"/>
        </w:rPr>
      </w:pPr>
      <w:r w:rsidRPr="009E3DDB">
        <w:rPr>
          <w:rFonts w:ascii="Calibri" w:eastAsia="Calibri" w:hAnsi="Calibri" w:cs="Times New Roman"/>
          <w:sz w:val="28"/>
          <w:szCs w:val="22"/>
          <w:lang w:val="fr-CA"/>
        </w:rPr>
        <w:t xml:space="preserve">Le nombre d'employés qui reconnaissent avoir eu une discussion en début d’année et qui ont signé leur entente de rendement. </w:t>
      </w:r>
    </w:p>
    <w:p w14:paraId="232A3EB0" w14:textId="7D3D1C8C" w:rsidR="0056712B" w:rsidRPr="009E3DDB" w:rsidRDefault="0056712B" w:rsidP="0056712B">
      <w:pPr>
        <w:spacing w:after="200" w:line="276" w:lineRule="auto"/>
        <w:rPr>
          <w:rFonts w:ascii="Calibri" w:eastAsia="Calibri" w:hAnsi="Calibri" w:cs="Times New Roman"/>
          <w:sz w:val="28"/>
          <w:szCs w:val="22"/>
          <w:lang w:val="fr-CA"/>
        </w:rPr>
      </w:pPr>
      <w:r>
        <w:rPr>
          <w:rFonts w:ascii="Calibri" w:eastAsia="Calibri" w:hAnsi="Calibri" w:cs="Times New Roman"/>
          <w:sz w:val="28"/>
          <w:szCs w:val="22"/>
          <w:lang w:val="fr-CA"/>
        </w:rPr>
        <w:t>Note : Les statistiques ne sont pas toujours exactes.</w:t>
      </w:r>
    </w:p>
    <w:p w14:paraId="475BEF70" w14:textId="4B64523B" w:rsidR="009E3DDB" w:rsidRPr="009E3DDB" w:rsidRDefault="009E3DDB" w:rsidP="009E3DDB">
      <w:pPr>
        <w:spacing w:after="200" w:line="276" w:lineRule="auto"/>
        <w:rPr>
          <w:rFonts w:ascii="Calibri" w:eastAsia="Calibri" w:hAnsi="Calibri" w:cs="Times New Roman"/>
          <w:sz w:val="28"/>
          <w:szCs w:val="22"/>
          <w:lang w:val="fr-CA"/>
        </w:rPr>
      </w:pPr>
      <w:r w:rsidRPr="009E3DDB">
        <w:rPr>
          <w:rFonts w:ascii="Calibri" w:eastAsia="Calibri" w:hAnsi="Calibri" w:cs="Times New Roman"/>
          <w:sz w:val="28"/>
          <w:szCs w:val="22"/>
          <w:lang w:val="fr-CA"/>
        </w:rPr>
        <w:t xml:space="preserve">Vous avez besoin de plus amples renseignements pour débuter? Consultez la page </w:t>
      </w:r>
      <w:hyperlink r:id="rId9" w:history="1">
        <w:proofErr w:type="spellStart"/>
        <w:r w:rsidRPr="009E3DDB">
          <w:rPr>
            <w:rFonts w:ascii="Calibri" w:eastAsia="Calibri" w:hAnsi="Calibri" w:cs="Times New Roman"/>
            <w:color w:val="000000"/>
            <w:sz w:val="28"/>
            <w:szCs w:val="22"/>
            <w:u w:val="single"/>
            <w:lang w:val="fr-CA"/>
          </w:rPr>
          <w:t>iService</w:t>
        </w:r>
        <w:proofErr w:type="spellEnd"/>
        <w:r w:rsidRPr="009E3DDB">
          <w:rPr>
            <w:rFonts w:ascii="Calibri" w:eastAsia="Calibri" w:hAnsi="Calibri" w:cs="Times New Roman"/>
            <w:color w:val="000000"/>
            <w:sz w:val="28"/>
            <w:szCs w:val="22"/>
            <w:u w:val="single"/>
            <w:lang w:val="fr-CA"/>
          </w:rPr>
          <w:t xml:space="preserve"> de la gest</w:t>
        </w:r>
        <w:r w:rsidRPr="009E3DDB">
          <w:rPr>
            <w:rFonts w:ascii="Calibri" w:eastAsia="Calibri" w:hAnsi="Calibri" w:cs="Times New Roman"/>
            <w:color w:val="000000"/>
            <w:sz w:val="28"/>
            <w:szCs w:val="22"/>
            <w:u w:val="single"/>
            <w:lang w:val="fr-CA"/>
          </w:rPr>
          <w:t>i</w:t>
        </w:r>
        <w:r w:rsidRPr="009E3DDB">
          <w:rPr>
            <w:rFonts w:ascii="Calibri" w:eastAsia="Calibri" w:hAnsi="Calibri" w:cs="Times New Roman"/>
            <w:color w:val="000000"/>
            <w:sz w:val="28"/>
            <w:szCs w:val="22"/>
            <w:u w:val="single"/>
            <w:lang w:val="fr-CA"/>
          </w:rPr>
          <w:t>on du rendement</w:t>
        </w:r>
      </w:hyperlink>
      <w:r w:rsidRPr="009E3DDB">
        <w:rPr>
          <w:rFonts w:ascii="Calibri" w:eastAsia="Calibri" w:hAnsi="Calibri" w:cs="Times New Roman"/>
          <w:sz w:val="28"/>
          <w:szCs w:val="22"/>
          <w:lang w:val="fr-CA"/>
        </w:rPr>
        <w:t xml:space="preserve">, où vous trouverez un </w:t>
      </w:r>
      <w:hyperlink r:id="rId10" w:history="1">
        <w:r w:rsidRPr="009E3DDB">
          <w:rPr>
            <w:rFonts w:ascii="Calibri" w:eastAsia="Calibri" w:hAnsi="Calibri" w:cs="Times New Roman"/>
            <w:color w:val="000000"/>
            <w:sz w:val="28"/>
            <w:szCs w:val="22"/>
            <w:u w:val="single"/>
            <w:lang w:val="fr-CA"/>
          </w:rPr>
          <w:t>Gu</w:t>
        </w:r>
        <w:r w:rsidRPr="009E3DDB">
          <w:rPr>
            <w:rFonts w:ascii="Calibri" w:eastAsia="Calibri" w:hAnsi="Calibri" w:cs="Times New Roman"/>
            <w:color w:val="000000"/>
            <w:sz w:val="28"/>
            <w:szCs w:val="22"/>
            <w:u w:val="single"/>
            <w:lang w:val="fr-CA"/>
          </w:rPr>
          <w:t>i</w:t>
        </w:r>
        <w:r w:rsidRPr="009E3DDB">
          <w:rPr>
            <w:rFonts w:ascii="Calibri" w:eastAsia="Calibri" w:hAnsi="Calibri" w:cs="Times New Roman"/>
            <w:color w:val="000000"/>
            <w:sz w:val="28"/>
            <w:szCs w:val="22"/>
            <w:u w:val="single"/>
            <w:lang w:val="fr-CA"/>
          </w:rPr>
          <w:t xml:space="preserve">de de </w:t>
        </w:r>
        <w:r w:rsidRPr="009E3DDB">
          <w:rPr>
            <w:rFonts w:ascii="Calibri" w:eastAsia="Calibri" w:hAnsi="Calibri" w:cs="Times New Roman"/>
            <w:color w:val="000000"/>
            <w:sz w:val="28"/>
            <w:szCs w:val="22"/>
            <w:u w:val="single"/>
            <w:lang w:val="fr-CA"/>
          </w:rPr>
          <w:lastRenderedPageBreak/>
          <w:t>démarrage rapide</w:t>
        </w:r>
      </w:hyperlink>
      <w:r w:rsidRPr="009E3DDB">
        <w:rPr>
          <w:rFonts w:ascii="Calibri" w:eastAsia="Calibri" w:hAnsi="Calibri" w:cs="Times New Roman"/>
          <w:sz w:val="28"/>
          <w:szCs w:val="22"/>
          <w:lang w:val="fr-CA"/>
        </w:rPr>
        <w:t xml:space="preserve"> de l’application de GRFP, puis accédez à l’application en allant au </w:t>
      </w:r>
      <w:hyperlink r:id="rId11" w:history="1">
        <w:r w:rsidRPr="009E3DDB">
          <w:rPr>
            <w:rFonts w:ascii="Calibri" w:eastAsia="Calibri" w:hAnsi="Calibri" w:cs="Times New Roman"/>
            <w:color w:val="000000"/>
            <w:sz w:val="28"/>
            <w:szCs w:val="22"/>
            <w:u w:val="single"/>
            <w:lang w:val="fr-CA"/>
          </w:rPr>
          <w:t>Portail des applicatio</w:t>
        </w:r>
        <w:r w:rsidRPr="009E3DDB">
          <w:rPr>
            <w:rFonts w:ascii="Calibri" w:eastAsia="Calibri" w:hAnsi="Calibri" w:cs="Times New Roman"/>
            <w:color w:val="000000"/>
            <w:sz w:val="28"/>
            <w:szCs w:val="22"/>
            <w:u w:val="single"/>
            <w:lang w:val="fr-CA"/>
          </w:rPr>
          <w:t>n</w:t>
        </w:r>
        <w:r w:rsidRPr="009E3DDB">
          <w:rPr>
            <w:rFonts w:ascii="Calibri" w:eastAsia="Calibri" w:hAnsi="Calibri" w:cs="Times New Roman"/>
            <w:color w:val="000000"/>
            <w:sz w:val="28"/>
            <w:szCs w:val="22"/>
            <w:u w:val="single"/>
            <w:lang w:val="fr-CA"/>
          </w:rPr>
          <w:t>s du SCT</w:t>
        </w:r>
      </w:hyperlink>
      <w:r w:rsidRPr="009E3DDB">
        <w:rPr>
          <w:rFonts w:ascii="Calibri" w:eastAsia="Calibri" w:hAnsi="Calibri" w:cs="Times New Roman"/>
          <w:sz w:val="28"/>
          <w:szCs w:val="22"/>
          <w:lang w:val="fr-CA"/>
        </w:rPr>
        <w:t xml:space="preserve">. </w:t>
      </w:r>
    </w:p>
    <w:p w14:paraId="2CFD85F0" w14:textId="77777777" w:rsidR="009E3DDB" w:rsidRPr="009E3DDB" w:rsidRDefault="009E3DDB" w:rsidP="009E3DDB">
      <w:pPr>
        <w:spacing w:after="200" w:line="276" w:lineRule="auto"/>
        <w:rPr>
          <w:rFonts w:ascii="Calibri" w:eastAsia="Calibri" w:hAnsi="Calibri" w:cs="Times New Roman"/>
          <w:sz w:val="28"/>
          <w:szCs w:val="22"/>
          <w:lang w:val="fr-CA"/>
        </w:rPr>
      </w:pPr>
    </w:p>
    <w:p w14:paraId="3F7B9001" w14:textId="5C3AFE25" w:rsidR="001C5300" w:rsidRPr="009E3DDB" w:rsidRDefault="009E3DDB" w:rsidP="009E3DDB">
      <w:pPr>
        <w:jc w:val="right"/>
        <w:rPr>
          <w:lang w:val="fr-CA"/>
        </w:rPr>
      </w:pPr>
      <w:r>
        <w:rPr>
          <w:lang w:val="fr-CA"/>
        </w:rPr>
        <w:t>Révisé le : 2018-03-08</w:t>
      </w:r>
      <w:r w:rsidR="005A2022" w:rsidRPr="009E3DDB">
        <w:rPr>
          <w:lang w:val="fr-CA"/>
        </w:rPr>
        <w:br w:type="page"/>
      </w:r>
    </w:p>
    <w:sectPr w:rsidR="001C5300" w:rsidRPr="009E3DDB" w:rsidSect="005A2022">
      <w:headerReference w:type="default" r:id="rId12"/>
      <w:footerReference w:type="even" r:id="rId13"/>
      <w:footerReference w:type="default" r:id="rId14"/>
      <w:headerReference w:type="first" r:id="rId15"/>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13B86" w14:textId="77777777" w:rsidR="00CD7210" w:rsidRDefault="00CD7210" w:rsidP="005A2022">
      <w:r>
        <w:separator/>
      </w:r>
    </w:p>
  </w:endnote>
  <w:endnote w:type="continuationSeparator" w:id="0">
    <w:p w14:paraId="1ED26CF1" w14:textId="77777777" w:rsidR="00CD7210" w:rsidRDefault="00CD7210"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FB1CA" w14:textId="77777777"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B45898" w14:textId="77777777"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A3B47" w14:textId="77777777"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56712B">
      <w:rPr>
        <w:rStyle w:val="PageNumber"/>
        <w:rFonts w:ascii="Century Gothic" w:hAnsi="Century Gothic"/>
        <w:b/>
        <w:bCs/>
        <w:noProof/>
        <w:color w:val="808080" w:themeColor="background1" w:themeShade="80"/>
      </w:rPr>
      <w:t>2</w:t>
    </w:r>
    <w:r w:rsidRPr="005A2022">
      <w:rPr>
        <w:rStyle w:val="PageNumber"/>
        <w:rFonts w:ascii="Century Gothic" w:hAnsi="Century Gothic"/>
        <w:b/>
        <w:bCs/>
        <w:color w:val="808080" w:themeColor="background1" w:themeShade="80"/>
      </w:rPr>
      <w:fldChar w:fldCharType="end"/>
    </w:r>
  </w:p>
  <w:p w14:paraId="7020CB96" w14:textId="77777777" w:rsidR="005A2022" w:rsidRDefault="005A2022">
    <w:pPr>
      <w:pStyle w:val="Footer"/>
    </w:pPr>
    <w:r>
      <w:rPr>
        <w:noProof/>
        <w:lang w:val="fr-CA" w:eastAsia="fr-CA"/>
      </w:rPr>
      <w:drawing>
        <wp:anchor distT="0" distB="0" distL="114300" distR="114300" simplePos="0" relativeHeight="251661312" behindDoc="1" locked="0" layoutInCell="1" allowOverlap="1" wp14:anchorId="75057BA0" wp14:editId="6E649F5C">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1FD24" w14:textId="77777777" w:rsidR="00CD7210" w:rsidRDefault="00CD7210" w:rsidP="005A2022">
      <w:r>
        <w:separator/>
      </w:r>
    </w:p>
  </w:footnote>
  <w:footnote w:type="continuationSeparator" w:id="0">
    <w:p w14:paraId="69269CA6" w14:textId="77777777" w:rsidR="00CD7210" w:rsidRDefault="00CD7210"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40A2F" w14:textId="77777777" w:rsidR="005A2022" w:rsidRDefault="005A2022">
    <w:pPr>
      <w:pStyle w:val="Header"/>
    </w:pPr>
    <w:r>
      <w:rPr>
        <w:noProof/>
        <w:lang w:val="fr-CA" w:eastAsia="fr-CA"/>
      </w:rPr>
      <w:drawing>
        <wp:anchor distT="0" distB="0" distL="114300" distR="114300" simplePos="0" relativeHeight="251660288" behindDoc="1" locked="0" layoutInCell="1" allowOverlap="1" wp14:anchorId="730F0B83" wp14:editId="1778BE52">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3885C" w14:textId="77777777" w:rsidR="005A2022" w:rsidRDefault="005A2022">
    <w:pPr>
      <w:pStyle w:val="Header"/>
    </w:pPr>
    <w:r>
      <w:rPr>
        <w:noProof/>
        <w:lang w:val="fr-CA" w:eastAsia="fr-CA"/>
      </w:rPr>
      <w:drawing>
        <wp:anchor distT="0" distB="0" distL="114300" distR="114300" simplePos="0" relativeHeight="251659264" behindDoc="1" locked="0" layoutInCell="1" allowOverlap="1" wp14:anchorId="25427E8A" wp14:editId="1C5FE43C">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1A0B"/>
    <w:multiLevelType w:val="hybridMultilevel"/>
    <w:tmpl w:val="8A149296"/>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7B122B84"/>
    <w:multiLevelType w:val="hybridMultilevel"/>
    <w:tmpl w:val="425C25E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5A2022"/>
    <w:rsid w:val="000D0FE7"/>
    <w:rsid w:val="001C5300"/>
    <w:rsid w:val="00316BD9"/>
    <w:rsid w:val="00512027"/>
    <w:rsid w:val="0056712B"/>
    <w:rsid w:val="005A2022"/>
    <w:rsid w:val="007A31F2"/>
    <w:rsid w:val="009E3DDB"/>
    <w:rsid w:val="00C16FDE"/>
    <w:rsid w:val="00CD7210"/>
    <w:rsid w:val="00FB00C1"/>
    <w:rsid w:val="00FD6CF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727E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portail.tbs-sct.gc.ca/home-fra.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2tst-srv403.sade-edap.prv/fra/rh/era/outils_et_ressources/docs/guide_demarrage_rapide.pdf" TargetMode="External"/><Relationship Id="rId4" Type="http://schemas.microsoft.com/office/2007/relationships/stylesWithEffects" Target="stylesWithEffects.xml"/><Relationship Id="rId9" Type="http://schemas.openxmlformats.org/officeDocument/2006/relationships/hyperlink" Target="http://iservice.prv/fra/rh/era/index.s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5B78-7BD2-4964-B660-D793AB25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298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Shchepanek</dc:creator>
  <cp:lastModifiedBy>Doucet, Caroline</cp:lastModifiedBy>
  <cp:revision>3</cp:revision>
  <dcterms:created xsi:type="dcterms:W3CDTF">2018-03-08T19:43:00Z</dcterms:created>
  <dcterms:modified xsi:type="dcterms:W3CDTF">2018-03-08T20:15:00Z</dcterms:modified>
</cp:coreProperties>
</file>