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4D4A" w14:textId="78257CB1" w:rsidR="00E14DF7" w:rsidRDefault="00F95DDE" w:rsidP="00DD1D2B">
      <w:pPr>
        <w:pStyle w:val="Heading1"/>
        <w:ind w:left="0"/>
      </w:pPr>
      <w:bookmarkStart w:id="0" w:name="_GoBack"/>
      <w:bookmarkEnd w:id="0"/>
      <w:r>
        <w:rPr>
          <w:sz w:val="40"/>
          <w:szCs w:val="40"/>
        </w:rPr>
        <w:t>Gestion du rendement pendant la pandémie de COVID</w:t>
      </w:r>
      <w:r w:rsidR="00871C25">
        <w:rPr>
          <w:sz w:val="40"/>
          <w:szCs w:val="40"/>
        </w:rPr>
        <w:t>-</w:t>
      </w:r>
      <w:r>
        <w:rPr>
          <w:sz w:val="40"/>
          <w:szCs w:val="40"/>
        </w:rPr>
        <w:t>19</w:t>
      </w:r>
      <w:r>
        <w:rPr>
          <w:sz w:val="32"/>
          <w:szCs w:val="32"/>
        </w:rPr>
        <w:br/>
        <w:t>Réponses aux questions fréquemment posées par les gestionnaires</w:t>
      </w:r>
    </w:p>
    <w:p w14:paraId="63C3F3CB" w14:textId="77777777" w:rsidR="001379C3" w:rsidRDefault="001379C3" w:rsidP="00386516">
      <w:pPr>
        <w:sectPr w:rsidR="001379C3" w:rsidSect="00DE5E43">
          <w:headerReference w:type="even" r:id="rId11"/>
          <w:headerReference w:type="default" r:id="rId12"/>
          <w:footerReference w:type="even" r:id="rId13"/>
          <w:footerReference w:type="default" r:id="rId14"/>
          <w:headerReference w:type="first" r:id="rId15"/>
          <w:footerReference w:type="first" r:id="rId16"/>
          <w:pgSz w:w="12240" w:h="20160"/>
          <w:pgMar w:top="1440" w:right="1440" w:bottom="1440" w:left="1440" w:header="708" w:footer="708" w:gutter="0"/>
          <w:cols w:space="708"/>
          <w:docGrid w:linePitch="360"/>
        </w:sectPr>
      </w:pPr>
    </w:p>
    <w:p w14:paraId="5992DA14" w14:textId="77777777" w:rsidR="00CB433C" w:rsidRDefault="00CB433C" w:rsidP="001379C3"/>
    <w:p w14:paraId="271BEBCC" w14:textId="3C7B979F" w:rsidR="00DD1D2B" w:rsidRPr="00E12668" w:rsidRDefault="00E17040" w:rsidP="00DD1D2B">
      <w:pPr>
        <w:pStyle w:val="Heading2"/>
        <w:rPr>
          <w:sz w:val="28"/>
          <w:szCs w:val="28"/>
        </w:rPr>
      </w:pPr>
      <w:r>
        <w:rPr>
          <w:sz w:val="28"/>
          <w:szCs w:val="28"/>
        </w:rPr>
        <w:t>Comment puis-je établir des objectifs de rendement et des engagements significatifs lorsque les objectifs opérationnels changent constamment en raison de la pandémie?</w:t>
      </w:r>
    </w:p>
    <w:p w14:paraId="24842F4D" w14:textId="77777777" w:rsidR="00E17040" w:rsidRPr="00E17040" w:rsidRDefault="00E17040" w:rsidP="00E17040"/>
    <w:p w14:paraId="6D759A30" w14:textId="0C89A440" w:rsidR="001F38EE" w:rsidRDefault="001F38EE" w:rsidP="00235210">
      <w:pPr>
        <w:pStyle w:val="ListParagraph"/>
        <w:numPr>
          <w:ilvl w:val="0"/>
          <w:numId w:val="25"/>
        </w:numPr>
        <w:ind w:left="567" w:hanging="207"/>
      </w:pPr>
      <w:r>
        <w:t>L’établissement d’engagements et d’objectifs de travail clairs favorise la réussite de vos employés et de vos équipes. Les engagements et les objectifs de travail établis vous permettent d’avoir des discussions productives sur le rendement avec vos employés.</w:t>
      </w:r>
    </w:p>
    <w:p w14:paraId="7C60FABD" w14:textId="4A8920A1" w:rsidR="00A953B7" w:rsidRDefault="00A953B7" w:rsidP="003A2678">
      <w:pPr>
        <w:pStyle w:val="ListParagraph"/>
        <w:numPr>
          <w:ilvl w:val="0"/>
          <w:numId w:val="25"/>
        </w:numPr>
        <w:ind w:left="567" w:hanging="207"/>
      </w:pPr>
      <w:r>
        <w:t xml:space="preserve">N’oubliez pas que les engagements et les objectifs de travail établis peuvent évoluer et changer tout au long du cycle de rendement.  </w:t>
      </w:r>
    </w:p>
    <w:p w14:paraId="1B6B1684" w14:textId="68D6329F" w:rsidR="003A2678" w:rsidRPr="00E17040" w:rsidRDefault="003A2678" w:rsidP="003A2678">
      <w:pPr>
        <w:pStyle w:val="ListParagraph"/>
        <w:numPr>
          <w:ilvl w:val="0"/>
          <w:numId w:val="25"/>
        </w:numPr>
        <w:ind w:left="567" w:hanging="207"/>
      </w:pPr>
      <w:r>
        <w:t xml:space="preserve">Assurez-vous que vos employés savent </w:t>
      </w:r>
      <w:r>
        <w:rPr>
          <w:i/>
          <w:iCs/>
        </w:rPr>
        <w:t>pourquoi</w:t>
      </w:r>
      <w:r>
        <w:t xml:space="preserve"> les priorités pourraient changer et situez les nouveaux engagements (pour les cadres supérieurs) et les objectifs de travail (pour les employés) dans le contexte élargi des objectifs organisationnels. Ayez des conversations continues avec vos employés afin qu’ils soient au courant de tout changement de priorités.</w:t>
      </w:r>
    </w:p>
    <w:p w14:paraId="62A646C9" w14:textId="16559D06" w:rsidR="00235210" w:rsidRDefault="00235210" w:rsidP="00235210">
      <w:pPr>
        <w:pStyle w:val="ListParagraph"/>
        <w:numPr>
          <w:ilvl w:val="0"/>
          <w:numId w:val="25"/>
        </w:numPr>
        <w:ind w:left="567" w:hanging="207"/>
      </w:pPr>
      <w:r>
        <w:t>Il n’y a pas de mal à admettre, à vous-même et à vos employés, que la situation est éprouvante.</w:t>
      </w:r>
    </w:p>
    <w:p w14:paraId="2AB5C86F" w14:textId="2BF3C4B4" w:rsidR="003A2678" w:rsidRDefault="003A2678" w:rsidP="00E17040">
      <w:pPr>
        <w:pStyle w:val="ListParagraph"/>
        <w:numPr>
          <w:ilvl w:val="0"/>
          <w:numId w:val="25"/>
        </w:numPr>
        <w:ind w:left="567" w:hanging="207"/>
      </w:pPr>
      <w:r>
        <w:t xml:space="preserve">Communiquez à vos employés les changements de direction et de priorités et documentez les changements qui ont une incidence sur les objectifs de travail et les engagements des employés pour vous assurer de prendre ces facteurs en considération lorsque vous effectuez les évaluations du rendement. </w:t>
      </w:r>
    </w:p>
    <w:p w14:paraId="3660667B" w14:textId="77520E75" w:rsidR="00E17040" w:rsidRDefault="00E17040" w:rsidP="00E17040">
      <w:pPr>
        <w:pStyle w:val="ListParagraph"/>
        <w:numPr>
          <w:ilvl w:val="0"/>
          <w:numId w:val="25"/>
        </w:numPr>
        <w:ind w:left="567" w:hanging="207"/>
      </w:pPr>
      <w:r>
        <w:t xml:space="preserve">Demandez quelles mesures concrètes vous pouvez prendre pour aider les employés à respecter leurs engagements et leurs objectifs de travail. </w:t>
      </w:r>
    </w:p>
    <w:p w14:paraId="2B48455E" w14:textId="77777777" w:rsidR="00E17040" w:rsidRDefault="00E17040" w:rsidP="00E17040">
      <w:pPr>
        <w:pStyle w:val="ListParagraph"/>
        <w:numPr>
          <w:ilvl w:val="0"/>
          <w:numId w:val="25"/>
        </w:numPr>
        <w:ind w:left="567" w:hanging="207"/>
      </w:pPr>
      <w:r>
        <w:t xml:space="preserve">N’oubliez pas la formation et le perfectionnement. Demandez aux employés de déterminer s’ils souhaitent acquérir de nouvelles compétences pour mieux faire face au changement et à l’incertitude. </w:t>
      </w:r>
    </w:p>
    <w:p w14:paraId="05ED6928" w14:textId="7BDBCBC7" w:rsidR="00E17040" w:rsidRDefault="00E17040" w:rsidP="00031DEB">
      <w:pPr>
        <w:pStyle w:val="ListParagraph"/>
        <w:numPr>
          <w:ilvl w:val="0"/>
          <w:numId w:val="25"/>
        </w:numPr>
        <w:ind w:left="567" w:right="-138" w:hanging="207"/>
      </w:pPr>
      <w:r>
        <w:t>Soulignez toutes les réalisations et contributions, ainsi que l’adaptabilité et la résilience. Reconnaissez le travail qui a été effectué, même s’il a fallu le retarder en raison des changements de priorités.</w:t>
      </w:r>
    </w:p>
    <w:p w14:paraId="3A25983D" w14:textId="77777777" w:rsidR="00031DEB" w:rsidRDefault="00031DEB" w:rsidP="00BA768F">
      <w:pPr>
        <w:pStyle w:val="ListParagraph"/>
        <w:ind w:left="567" w:right="-138"/>
      </w:pPr>
    </w:p>
    <w:p w14:paraId="4D8CF102" w14:textId="7CEF9D9C" w:rsidR="00E17040" w:rsidRPr="00E12668" w:rsidRDefault="00E17040" w:rsidP="00D44F67">
      <w:pPr>
        <w:pStyle w:val="Heading2"/>
        <w:rPr>
          <w:sz w:val="28"/>
          <w:szCs w:val="28"/>
        </w:rPr>
      </w:pPr>
      <w:r>
        <w:rPr>
          <w:sz w:val="28"/>
          <w:szCs w:val="28"/>
        </w:rPr>
        <w:t>Comment dois-je gérer les employés dont le rendement a diminué depuis le début de la pandémie?</w:t>
      </w:r>
    </w:p>
    <w:p w14:paraId="1117717A" w14:textId="77777777" w:rsidR="00E17040" w:rsidRDefault="00E17040" w:rsidP="00E17040">
      <w:pPr>
        <w:pStyle w:val="ListParagraph"/>
        <w:spacing w:after="0" w:line="256" w:lineRule="auto"/>
        <w:ind w:left="360"/>
        <w:rPr>
          <w:rFonts w:cstheme="minorHAnsi"/>
        </w:rPr>
      </w:pPr>
    </w:p>
    <w:p w14:paraId="7ECF68CE" w14:textId="310E5B5C" w:rsidR="00DF5C5E" w:rsidRPr="00E17040" w:rsidRDefault="003A2678" w:rsidP="003A2678">
      <w:pPr>
        <w:pStyle w:val="ListParagraph"/>
        <w:numPr>
          <w:ilvl w:val="0"/>
          <w:numId w:val="25"/>
        </w:numPr>
        <w:ind w:left="567" w:hanging="207"/>
      </w:pPr>
      <w:r>
        <w:t xml:space="preserve">Revoyez les engagements et les objectifs de travail et demandez s’ils doivent être modifiés. Assurez-vous que les engagements et les objectifs sont </w:t>
      </w:r>
      <w:hyperlink r:id="rId17" w:history="1">
        <w:r>
          <w:rPr>
            <w:rStyle w:val="Hyperlink"/>
          </w:rPr>
          <w:t>SMART</w:t>
        </w:r>
      </w:hyperlink>
      <w:r>
        <w:t xml:space="preserve"> (spécifiques, mesurables, atteignables, réalistes, temporels) et que les mesures de rendement sont claires.</w:t>
      </w:r>
    </w:p>
    <w:p w14:paraId="094634B9" w14:textId="787E8135" w:rsidR="00235210" w:rsidRPr="00DF5C5E" w:rsidRDefault="00DF5C5E" w:rsidP="00DF5C5E">
      <w:pPr>
        <w:pStyle w:val="ListParagraph"/>
        <w:numPr>
          <w:ilvl w:val="0"/>
          <w:numId w:val="25"/>
        </w:numPr>
        <w:ind w:left="567" w:hanging="207"/>
      </w:pPr>
      <w:r>
        <w:t xml:space="preserve">Essayez de comprendre les situations, les motivations et les comportements individuels de vos employés selon leur perspective afin de déterminer la cause profonde du problème (p. ex., manque d’équipement ou d’outils, compréhension différente des objectifs, manque de compétences ou d’expertise pour l’évolution des priorités, obstacles, besoin de mesures d’adaptation ou autres facteurs de stress). </w:t>
      </w:r>
    </w:p>
    <w:p w14:paraId="3FF08CE3" w14:textId="196BDB0C" w:rsidR="00E17040" w:rsidRDefault="00E17040" w:rsidP="00D44F67">
      <w:pPr>
        <w:pStyle w:val="ListParagraph"/>
        <w:numPr>
          <w:ilvl w:val="0"/>
          <w:numId w:val="25"/>
        </w:numPr>
        <w:ind w:left="567" w:hanging="207"/>
      </w:pPr>
      <w:r>
        <w:t xml:space="preserve">Offrez des mesures de soutien supplémentaires (p. ex., mesures d’adaptation, formation, encadrement, mentorat, </w:t>
      </w:r>
      <w:proofErr w:type="spellStart"/>
      <w:r>
        <w:t>micromissions</w:t>
      </w:r>
      <w:proofErr w:type="spellEnd"/>
      <w:r>
        <w:t xml:space="preserve">, affectations ou soutien en santé mentale [consultez la page </w:t>
      </w:r>
      <w:hyperlink r:id="rId18" w:history="1">
        <w:r>
          <w:rPr>
            <w:rStyle w:val="Hyperlink"/>
          </w:rPr>
          <w:t>Santé mentale et la COVID-19 pour les fonctionnaires :</w:t>
        </w:r>
      </w:hyperlink>
      <w:hyperlink r:id="rId19" w:history="1">
        <w:r>
          <w:rPr>
            <w:rStyle w:val="Hyperlink"/>
          </w:rPr>
          <w:t xml:space="preserve"> Appuyer les employés et les équipes</w:t>
        </w:r>
      </w:hyperlink>
      <w:r>
        <w:t xml:space="preserve">] ou </w:t>
      </w:r>
      <w:hyperlink r:id="rId20" w:history="1">
        <w:r>
          <w:rPr>
            <w:rStyle w:val="Hyperlink"/>
          </w:rPr>
          <w:t>programme d’aide aux employés</w:t>
        </w:r>
      </w:hyperlink>
      <w:r>
        <w:t xml:space="preserve">). </w:t>
      </w:r>
    </w:p>
    <w:p w14:paraId="2E361435" w14:textId="6BB1F41E" w:rsidR="00235210" w:rsidRPr="00D44F67" w:rsidRDefault="00235210" w:rsidP="00D44F67">
      <w:pPr>
        <w:pStyle w:val="ListParagraph"/>
        <w:numPr>
          <w:ilvl w:val="0"/>
          <w:numId w:val="25"/>
        </w:numPr>
        <w:ind w:left="567" w:hanging="207"/>
      </w:pPr>
      <w:r>
        <w:t>Demandez des suggestions concrètes sur le soutien et les outils dont ils ont besoin.</w:t>
      </w:r>
    </w:p>
    <w:p w14:paraId="0A59AACC" w14:textId="241F0080" w:rsidR="00E17040" w:rsidRPr="00D44F67" w:rsidRDefault="00E17040" w:rsidP="00D44F67">
      <w:pPr>
        <w:pStyle w:val="ListParagraph"/>
        <w:numPr>
          <w:ilvl w:val="0"/>
          <w:numId w:val="25"/>
        </w:numPr>
        <w:ind w:left="567" w:hanging="207"/>
      </w:pPr>
      <w:r>
        <w:t>Faites le point régulièrement avec eux, et non seulement pour discuter des engagements et des objectifs de travail. Demandez-leur comment ils se sentent et de quelle façon vous pouvez les aider en tant que gestionnaire.</w:t>
      </w:r>
      <w:r w:rsidR="008808DB">
        <w:t xml:space="preserve"> </w:t>
      </w:r>
    </w:p>
    <w:p w14:paraId="6126B278" w14:textId="498B6B73" w:rsidR="00D44F67" w:rsidRDefault="00E17040" w:rsidP="00D44F67">
      <w:pPr>
        <w:pStyle w:val="ListParagraph"/>
        <w:numPr>
          <w:ilvl w:val="0"/>
          <w:numId w:val="25"/>
        </w:numPr>
        <w:ind w:left="567" w:hanging="207"/>
        <w:rPr>
          <w:rFonts w:cstheme="minorHAnsi"/>
        </w:rPr>
      </w:pPr>
      <w:r>
        <w:t xml:space="preserve">Si le rendement de l’employé demeure insatisfaisant, suivez les étapes d’élaboration d’un </w:t>
      </w:r>
      <w:hyperlink r:id="rId21" w:history="1">
        <w:r w:rsidR="008808DB">
          <w:rPr>
            <w:rStyle w:val="Hyperlink"/>
          </w:rPr>
          <w:t>plan d’amélioration du rendement</w:t>
        </w:r>
      </w:hyperlink>
      <w:r w:rsidR="008808DB">
        <w:t>.</w:t>
      </w:r>
    </w:p>
    <w:p w14:paraId="27B8D1C9" w14:textId="77777777" w:rsidR="00D44F67" w:rsidRPr="00E12668" w:rsidRDefault="00D44F67" w:rsidP="00D44F67">
      <w:pPr>
        <w:rPr>
          <w:rFonts w:cstheme="minorHAnsi"/>
          <w:sz w:val="28"/>
          <w:szCs w:val="28"/>
        </w:rPr>
      </w:pPr>
    </w:p>
    <w:p w14:paraId="351FE5BE" w14:textId="25F6C2BD" w:rsidR="00D44F67" w:rsidRDefault="00D44F67" w:rsidP="00D44F67">
      <w:pPr>
        <w:pStyle w:val="Heading2"/>
        <w:rPr>
          <w:sz w:val="28"/>
          <w:szCs w:val="28"/>
        </w:rPr>
      </w:pPr>
      <w:r>
        <w:rPr>
          <w:rStyle w:val="Heading2Char"/>
          <w:b/>
          <w:bCs/>
          <w:sz w:val="28"/>
          <w:szCs w:val="28"/>
        </w:rPr>
        <w:lastRenderedPageBreak/>
        <w:t>Que dois-je garder à l’esprit au moment d’établir des ententes de rendement et d’évaluer le rendement des employés qui sont en congé prolongé 699 ou qui</w:t>
      </w:r>
      <w:r>
        <w:rPr>
          <w:sz w:val="28"/>
          <w:szCs w:val="28"/>
        </w:rPr>
        <w:t xml:space="preserve"> ont pris des dispositions de congé partiel?</w:t>
      </w:r>
    </w:p>
    <w:p w14:paraId="4E8FB9F1" w14:textId="19B17A60" w:rsidR="00235210" w:rsidRDefault="00235210" w:rsidP="00235210">
      <w:pPr>
        <w:ind w:left="360"/>
        <w:rPr>
          <w:b/>
          <w:bCs/>
        </w:rPr>
      </w:pPr>
    </w:p>
    <w:p w14:paraId="46ADD5FD" w14:textId="77777777" w:rsidR="00D44F67" w:rsidRPr="00D44F67" w:rsidRDefault="00D44F67" w:rsidP="00D44F67">
      <w:pPr>
        <w:pStyle w:val="ListParagraph"/>
        <w:numPr>
          <w:ilvl w:val="0"/>
          <w:numId w:val="25"/>
        </w:numPr>
        <w:ind w:left="567" w:hanging="207"/>
      </w:pPr>
      <w:r>
        <w:t>Pour les employés qui sont en congé prolongé (699 ou tout autre congé prolongé) ou qui l’ont été, concluez des ententes de rendement lorsque l’employé retourne au travail et veillez à ce que l’évaluation s’appuie sur les périodes où l’employé a travaillé.</w:t>
      </w:r>
    </w:p>
    <w:p w14:paraId="15F734C9" w14:textId="77777777" w:rsidR="00D44F67" w:rsidRPr="00D44F67" w:rsidRDefault="00D44F67" w:rsidP="00D44F67">
      <w:pPr>
        <w:pStyle w:val="ListParagraph"/>
        <w:numPr>
          <w:ilvl w:val="0"/>
          <w:numId w:val="25"/>
        </w:numPr>
        <w:ind w:left="567" w:hanging="207"/>
      </w:pPr>
      <w:r>
        <w:t xml:space="preserve">Dans le cas des employés qui ont pris des dispositions de congé partiel, les objectifs de travail et les mesures de rendement doivent tenir compte des fonctions assignées à l’employé et être appropriés pour la durée de travail prévue de l’employé. </w:t>
      </w:r>
    </w:p>
    <w:p w14:paraId="47B0CFBF" w14:textId="77777777" w:rsidR="00D44F67" w:rsidRPr="00D44F67" w:rsidRDefault="00D44F67" w:rsidP="00D44F67">
      <w:pPr>
        <w:pStyle w:val="ListParagraph"/>
        <w:numPr>
          <w:ilvl w:val="0"/>
          <w:numId w:val="25"/>
        </w:numPr>
        <w:ind w:left="567" w:hanging="207"/>
      </w:pPr>
      <w:r>
        <w:t xml:space="preserve">La communication est essentielle et repose sur les contacts réguliers et un dialogue ouvert. N’attendez pas les évaluations de </w:t>
      </w:r>
      <w:proofErr w:type="spellStart"/>
      <w:r>
        <w:t>mi-année</w:t>
      </w:r>
      <w:proofErr w:type="spellEnd"/>
      <w:r>
        <w:t xml:space="preserve"> ou de fin d’année pour avoir des discussions sur le rendement. </w:t>
      </w:r>
    </w:p>
    <w:p w14:paraId="651EAC39" w14:textId="446E2FA4" w:rsidR="00D44F67" w:rsidRDefault="00D44F67" w:rsidP="00D44F67">
      <w:pPr>
        <w:pStyle w:val="ListParagraph"/>
        <w:numPr>
          <w:ilvl w:val="0"/>
          <w:numId w:val="25"/>
        </w:numPr>
        <w:ind w:left="567" w:hanging="207"/>
      </w:pPr>
      <w:r>
        <w:t>Réévaluez les engagements ou les objectifs de travail pour les adapter aux modalités de travail.</w:t>
      </w:r>
    </w:p>
    <w:p w14:paraId="522684D6" w14:textId="40A03B94" w:rsidR="00A953B7" w:rsidRPr="00D44F67" w:rsidRDefault="00A953B7" w:rsidP="00D44F67">
      <w:pPr>
        <w:pStyle w:val="ListParagraph"/>
        <w:numPr>
          <w:ilvl w:val="0"/>
          <w:numId w:val="25"/>
        </w:numPr>
        <w:ind w:left="567" w:hanging="207"/>
      </w:pPr>
      <w:r>
        <w:t>Les employés ne devraient pas être pénalisés pour des circonstances qu’ils ne peuvent contrôler.</w:t>
      </w:r>
    </w:p>
    <w:p w14:paraId="71F00589" w14:textId="77777777" w:rsidR="006F7D96" w:rsidRDefault="006F7D96" w:rsidP="00D44F67">
      <w:pPr>
        <w:ind w:left="360"/>
        <w:rPr>
          <w:rFonts w:eastAsia="Times New Roman" w:cstheme="minorHAnsi"/>
          <w:sz w:val="22"/>
          <w:szCs w:val="22"/>
          <w:shd w:val="clear" w:color="auto" w:fill="FFFFFF"/>
        </w:rPr>
      </w:pPr>
      <w:bookmarkStart w:id="1" w:name="_Hlk52181356"/>
    </w:p>
    <w:p w14:paraId="47D00E77" w14:textId="15CE7ACE" w:rsidR="00D44F67" w:rsidRDefault="006F7D96" w:rsidP="00D44F67">
      <w:pPr>
        <w:ind w:left="360"/>
        <w:rPr>
          <w:b/>
          <w:bCs/>
        </w:rPr>
      </w:pPr>
      <w:r>
        <w:rPr>
          <w:sz w:val="22"/>
          <w:szCs w:val="22"/>
          <w:shd w:val="clear" w:color="auto" w:fill="FFFFFF"/>
        </w:rPr>
        <w:t xml:space="preserve">Pour en savoir plus sur les autres congés payés (code 699), consultez les pages Web du gouvernement du Canada </w:t>
      </w:r>
      <w:hyperlink r:id="rId22" w:history="1">
        <w:r>
          <w:rPr>
            <w:rStyle w:val="Hyperlink"/>
            <w:sz w:val="22"/>
            <w:szCs w:val="22"/>
            <w:shd w:val="clear" w:color="auto" w:fill="FFFFFF"/>
          </w:rPr>
          <w:t>Maladie à coronavirus (COVID-19) :</w:t>
        </w:r>
      </w:hyperlink>
      <w:hyperlink r:id="rId23" w:history="1">
        <w:r>
          <w:rPr>
            <w:rStyle w:val="Hyperlink"/>
            <w:sz w:val="22"/>
            <w:szCs w:val="22"/>
            <w:shd w:val="clear" w:color="auto" w:fill="FFFFFF"/>
          </w:rPr>
          <w:t xml:space="preserve"> Maladie et congé pour employés</w:t>
        </w:r>
      </w:hyperlink>
      <w:r>
        <w:rPr>
          <w:sz w:val="22"/>
          <w:szCs w:val="22"/>
          <w:shd w:val="clear" w:color="auto" w:fill="FFFFFF"/>
        </w:rPr>
        <w:t xml:space="preserve"> et </w:t>
      </w:r>
      <w:hyperlink r:id="rId24" w:history="1">
        <w:r w:rsidR="008808DB">
          <w:rPr>
            <w:rStyle w:val="Hyperlink"/>
            <w:sz w:val="22"/>
            <w:szCs w:val="22"/>
            <w:shd w:val="clear" w:color="auto" w:fill="FFFFFF"/>
          </w:rPr>
          <w:t>Utilisation et gestion des congés pendant la pandémie de COVID-19</w:t>
        </w:r>
      </w:hyperlink>
      <w:r>
        <w:rPr>
          <w:sz w:val="22"/>
          <w:szCs w:val="22"/>
          <w:shd w:val="clear" w:color="auto" w:fill="FFFFFF"/>
        </w:rPr>
        <w:t>. Si vous avez d’autres questions concernant le congé 699, veuillez communiquer avec l’équipe des Ressources humaines de votre organisation.</w:t>
      </w:r>
      <w:bookmarkEnd w:id="1"/>
    </w:p>
    <w:p w14:paraId="57C435B2" w14:textId="77777777" w:rsidR="00D44F67" w:rsidRPr="00D44F67" w:rsidRDefault="00D44F67" w:rsidP="00D44F67"/>
    <w:p w14:paraId="733EC56E" w14:textId="77777777" w:rsidR="00D44F67" w:rsidRPr="00E12668" w:rsidRDefault="00D44F67" w:rsidP="00D44F67">
      <w:pPr>
        <w:pStyle w:val="Heading2"/>
        <w:rPr>
          <w:sz w:val="28"/>
          <w:szCs w:val="28"/>
        </w:rPr>
      </w:pPr>
      <w:r>
        <w:rPr>
          <w:sz w:val="28"/>
          <w:szCs w:val="28"/>
        </w:rPr>
        <w:t>Comment puis-je soutenir les employés qui m’ont confié que leur santé mentale se dégrade en raison de la pandémie et que cela a une incidence sur leur rendement?</w:t>
      </w:r>
    </w:p>
    <w:p w14:paraId="3478B9F0" w14:textId="37813E91" w:rsidR="00D44F67" w:rsidRDefault="00D44F67" w:rsidP="00D44F67">
      <w:pPr>
        <w:rPr>
          <w:b/>
          <w:bCs/>
        </w:rPr>
      </w:pPr>
    </w:p>
    <w:p w14:paraId="40EB538E" w14:textId="0135AD1C" w:rsidR="00D44F67" w:rsidRPr="00D44F67" w:rsidRDefault="00D44F67" w:rsidP="00D44F67">
      <w:pPr>
        <w:pStyle w:val="ListParagraph"/>
        <w:numPr>
          <w:ilvl w:val="0"/>
          <w:numId w:val="25"/>
        </w:numPr>
        <w:ind w:left="567" w:hanging="207"/>
      </w:pPr>
      <w:r>
        <w:t>Écoutez-les attentivement sans jugement. La situation et le mode d’adaptation varient d’une personne à l’autre, et il est important de comprendre le contexte individuel de vos employés.</w:t>
      </w:r>
    </w:p>
    <w:p w14:paraId="34A52A9E" w14:textId="46F39E58" w:rsidR="00871C25" w:rsidRDefault="00D44F67" w:rsidP="00D44F67">
      <w:pPr>
        <w:pStyle w:val="ListParagraph"/>
        <w:numPr>
          <w:ilvl w:val="0"/>
          <w:numId w:val="25"/>
        </w:numPr>
        <w:ind w:left="567" w:hanging="207"/>
      </w:pPr>
      <w:r>
        <w:t>Faites le point régulièrement avec eux, et non seulement pour discuter des engagements et des objectifs de travail. Demandez-leur comment ils se sentent et de quelle façon vous pouvez les aider en tant que gestionnaire.</w:t>
      </w:r>
    </w:p>
    <w:p w14:paraId="035BC5EB" w14:textId="7924AF8B" w:rsidR="006B014A" w:rsidRPr="00D44F67" w:rsidRDefault="00A953B7" w:rsidP="00105A3F">
      <w:pPr>
        <w:pStyle w:val="ListParagraph"/>
        <w:numPr>
          <w:ilvl w:val="0"/>
          <w:numId w:val="25"/>
        </w:numPr>
        <w:ind w:left="567" w:hanging="207"/>
      </w:pPr>
      <w:r>
        <w:t>Accordez-leur une plus grande souplesse dans les conditions de travail tout en respectant les conventions collectives, et demandez-leur des suggestions concrètes sur la façon dont vous pouvez les soutenir.</w:t>
      </w:r>
    </w:p>
    <w:p w14:paraId="27493670" w14:textId="7D120115" w:rsidR="00D44F67" w:rsidRPr="006B014A" w:rsidRDefault="00D44F67" w:rsidP="006B014A">
      <w:pPr>
        <w:pStyle w:val="ListParagraph"/>
        <w:numPr>
          <w:ilvl w:val="0"/>
          <w:numId w:val="23"/>
        </w:numPr>
        <w:tabs>
          <w:tab w:val="clear" w:pos="720"/>
          <w:tab w:val="num" w:pos="567"/>
        </w:tabs>
        <w:spacing w:after="0" w:line="256" w:lineRule="auto"/>
        <w:ind w:left="567" w:hanging="207"/>
        <w:rPr>
          <w:rFonts w:cstheme="minorHAnsi"/>
        </w:rPr>
      </w:pPr>
      <w:r>
        <w:t xml:space="preserve">Consultez la page du gouvernement </w:t>
      </w:r>
      <w:hyperlink r:id="rId25" w:history="1">
        <w:r>
          <w:rPr>
            <w:rStyle w:val="Hyperlink"/>
          </w:rPr>
          <w:t>La santé mentale et la COVID-19 pour les fonctionnaires :</w:t>
        </w:r>
      </w:hyperlink>
      <w:hyperlink r:id="rId26" w:history="1">
        <w:r>
          <w:rPr>
            <w:rStyle w:val="Hyperlink"/>
          </w:rPr>
          <w:t xml:space="preserve"> Appuyer les employés et les équipes</w:t>
        </w:r>
      </w:hyperlink>
      <w:r>
        <w:t xml:space="preserve"> pour obtenir plus de conseils sur le soutien des employés et des équipes et encourager l’utilisation du </w:t>
      </w:r>
      <w:hyperlink r:id="rId27" w:history="1">
        <w:r>
          <w:rPr>
            <w:rStyle w:val="Hyperlink"/>
          </w:rPr>
          <w:t>Programme d’aide aux employés</w:t>
        </w:r>
      </w:hyperlink>
      <w:r>
        <w:t xml:space="preserve"> de votre ministère. </w:t>
      </w:r>
    </w:p>
    <w:p w14:paraId="0BD77468" w14:textId="018A7851" w:rsidR="006B014A" w:rsidRPr="006B014A" w:rsidRDefault="006B014A" w:rsidP="00A953B7">
      <w:pPr>
        <w:pStyle w:val="ListParagraph"/>
        <w:spacing w:after="0" w:line="256" w:lineRule="auto"/>
        <w:ind w:left="567"/>
        <w:rPr>
          <w:rFonts w:eastAsia="Times New Roman"/>
        </w:rPr>
      </w:pPr>
    </w:p>
    <w:sectPr w:rsidR="006B014A" w:rsidRPr="006B014A" w:rsidSect="00386516">
      <w:type w:val="continuous"/>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1899" w14:textId="77777777" w:rsidR="00896815" w:rsidRDefault="00896815" w:rsidP="00E14DF7">
      <w:r>
        <w:separator/>
      </w:r>
    </w:p>
  </w:endnote>
  <w:endnote w:type="continuationSeparator" w:id="0">
    <w:p w14:paraId="0AE75EF0" w14:textId="77777777" w:rsidR="00896815" w:rsidRDefault="00896815" w:rsidP="00E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9A3D" w14:textId="77777777" w:rsidR="00495281" w:rsidRDefault="00495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A5D2" w14:textId="115DA893" w:rsidR="00D16251" w:rsidRPr="00887740" w:rsidRDefault="000E43D6">
    <w:pPr>
      <w:pStyle w:val="Footer"/>
      <w:rPr>
        <w:rFonts w:ascii="Century Gothic" w:hAnsi="Century Gothic"/>
        <w:sz w:val="16"/>
        <w:szCs w:val="16"/>
      </w:rPr>
    </w:pPr>
    <w:r>
      <w:rPr>
        <w:noProof/>
        <w:sz w:val="20"/>
        <w:lang w:val="en-CA" w:eastAsia="en-CA"/>
      </w:rPr>
      <w:drawing>
        <wp:anchor distT="0" distB="0" distL="114300" distR="114300" simplePos="0" relativeHeight="251658240" behindDoc="0" locked="0" layoutInCell="1" allowOverlap="1" wp14:anchorId="519F747C" wp14:editId="0C427ED8">
          <wp:simplePos x="0" y="0"/>
          <wp:positionH relativeFrom="column">
            <wp:posOffset>5214620</wp:posOffset>
          </wp:positionH>
          <wp:positionV relativeFrom="paragraph">
            <wp:posOffset>-105410</wp:posOffset>
          </wp:positionV>
          <wp:extent cx="1107440" cy="268605"/>
          <wp:effectExtent l="0" t="0" r="0" b="0"/>
          <wp:wrapSquare wrapText="bothSides"/>
          <wp:docPr id="9" name="Picture 9" descr="Canada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30mm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2686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lang w:val="en-CA" w:eastAsia="en-CA"/>
      </w:rPr>
      <mc:AlternateContent>
        <mc:Choice Requires="wps">
          <w:drawing>
            <wp:anchor distT="0" distB="0" distL="114300" distR="114300" simplePos="0" relativeHeight="251656192" behindDoc="0" locked="0" layoutInCell="1" allowOverlap="1" wp14:anchorId="1FBD6FC8" wp14:editId="2140F6A6">
              <wp:simplePos x="0" y="0"/>
              <wp:positionH relativeFrom="margin">
                <wp:posOffset>-466725</wp:posOffset>
              </wp:positionH>
              <wp:positionV relativeFrom="paragraph">
                <wp:posOffset>-190013</wp:posOffset>
              </wp:positionV>
              <wp:extent cx="6848475" cy="0"/>
              <wp:effectExtent l="0" t="0" r="9525" b="12700"/>
              <wp:wrapNone/>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a:solidFill>
                          <a:srgbClr val="31AC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5043C" id="Straight Connector 1" o:spid="_x0000_s1026" style="position:absolute;z-index:251656192;visibility:visible;mso-wrap-style:square;mso-wrap-distance-left:9pt;mso-wrap-distance-top:0;mso-wrap-distance-right:9pt;mso-wrap-distance-bottom:0;mso-position-horizontal:absolute;mso-position-horizontal-relative:margin;mso-position-vertical:absolute;mso-position-vertical-relative:text" from="-36.75pt,-14.95pt" to="5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" strokecolor="#31ac9b"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DC23" w14:textId="77777777" w:rsidR="00495281" w:rsidRDefault="0049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04338" w14:textId="77777777" w:rsidR="00896815" w:rsidRDefault="00896815" w:rsidP="00E14DF7">
      <w:r>
        <w:separator/>
      </w:r>
    </w:p>
  </w:footnote>
  <w:footnote w:type="continuationSeparator" w:id="0">
    <w:p w14:paraId="20CCBF81" w14:textId="77777777" w:rsidR="00896815" w:rsidRDefault="00896815" w:rsidP="00E1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DC1D" w14:textId="77777777" w:rsidR="00495281" w:rsidRDefault="00495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BFB9" w14:textId="3440BE25" w:rsidR="000E43D6" w:rsidRDefault="004C4B92" w:rsidP="005D584F">
    <w:pPr>
      <w:pStyle w:val="Header"/>
      <w:tabs>
        <w:tab w:val="clear" w:pos="4680"/>
        <w:tab w:val="center" w:pos="4678"/>
      </w:tabs>
      <w:ind w:left="-851" w:right="-851"/>
    </w:pPr>
    <w:r>
      <w:rPr>
        <w:noProof/>
        <w:lang w:val="en-CA" w:eastAsia="en-CA"/>
      </w:rPr>
      <mc:AlternateContent>
        <mc:Choice Requires="wps">
          <w:drawing>
            <wp:anchor distT="0" distB="0" distL="114300" distR="114300" simplePos="0" relativeHeight="251660288" behindDoc="0" locked="0" layoutInCell="0" allowOverlap="1" wp14:anchorId="32CB54E1" wp14:editId="591BC8F1">
              <wp:simplePos x="0" y="0"/>
              <wp:positionH relativeFrom="page">
                <wp:posOffset>0</wp:posOffset>
              </wp:positionH>
              <wp:positionV relativeFrom="page">
                <wp:posOffset>190500</wp:posOffset>
              </wp:positionV>
              <wp:extent cx="7772400" cy="266700"/>
              <wp:effectExtent l="0" t="0" r="0" b="0"/>
              <wp:wrapNone/>
              <wp:docPr id="5" name="MSIPCM254a41479db83b33616b6e37" descr="{&quot;HashCode&quot;:-1880398799,&quot;Height&quot;:1008.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55125" w14:textId="04417977" w:rsidR="004C4B92" w:rsidRPr="004C4B92" w:rsidRDefault="00E3281E" w:rsidP="004C4B92">
                          <w:pPr>
                            <w:jc w:val="right"/>
                            <w:rPr>
                              <w:rFonts w:ascii="Arial" w:hAnsi="Arial" w:cs="Arial"/>
                              <w:color w:val="000000"/>
                            </w:rPr>
                          </w:pPr>
                          <w:r>
                            <w:rPr>
                              <w:rFonts w:ascii="Arial" w:hAnsi="Arial"/>
                              <w:color w:val="000000"/>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CB54E1" id="_x0000_t202" coordsize="21600,21600" o:spt="202" path="m,l,21600r21600,l21600,xe">
              <v:stroke joinstyle="miter"/>
              <v:path gradientshapeok="t" o:connecttype="rect"/>
            </v:shapetype>
            <v:shape id="MSIPCM254a41479db83b33616b6e37" o:spid="_x0000_s1026" type="#_x0000_t202" alt="{&quot;HashCode&quot;:-1880398799,&quot;Height&quot;:1008.0,&quot;Width&quot;:612.0,&quot;Placement&quot;:&quot;Header&quot;,&quot;Index&quot;:&quot;Primary&quot;,&quot;Section&quot;:1,&quot;Top&quot;:0.0,&quot;Left&quot;:0.0}" style="position:absolute;left:0;text-align:left;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" o:allowincell="f" filled="f" stroked="f" strokeweight=".5pt">
              <v:textbox inset=",0,20pt,0">
                <w:txbxContent>
                  <w:p w14:paraId="7FB55125" w14:textId="04417977" w:rsidR="004C4B92" w:rsidRPr="004C4B92" w:rsidRDefault="00E3281E" w:rsidP="004C4B92">
                    <w:pPr>
                      <w:jc w:val="right"/>
                      <w:rPr>
                        <w:rFonts w:ascii="Arial" w:hAnsi="Arial" w:cs="Arial"/>
                        <w:color w:val="000000"/>
                      </w:rPr>
                    </w:pPr>
                    <w:r>
                      <w:rPr>
                        <w:rFonts w:ascii="Arial" w:hAnsi="Arial"/>
                        <w:color w:val="000000"/>
                      </w:rPr>
                      <w:t>UNCLASSIFIED / NON CLASSIFIÉ</w:t>
                    </w:r>
                  </w:p>
                </w:txbxContent>
              </v:textbox>
              <w10:wrap anchorx="page" anchory="page"/>
            </v:shape>
          </w:pict>
        </mc:Fallback>
      </mc:AlternateContent>
    </w:r>
    <w:r>
      <w:rPr>
        <w:noProof/>
        <w:lang w:val="en-CA" w:eastAsia="en-CA"/>
      </w:rPr>
      <w:drawing>
        <wp:inline distT="0" distB="0" distL="0" distR="0" wp14:anchorId="60467F61" wp14:editId="4B5C0A9B">
          <wp:extent cx="3600000" cy="251140"/>
          <wp:effectExtent l="0" t="0" r="635" b="0"/>
          <wp:docPr id="7" name="Picture 7" descr="Treasury Board of Canada Secretar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TB SEC 10pt 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251140"/>
                  </a:xfrm>
                  <a:prstGeom prst="rect">
                    <a:avLst/>
                  </a:prstGeom>
                  <a:noFill/>
                  <a:ln>
                    <a:noFill/>
                  </a:ln>
                </pic:spPr>
              </pic:pic>
            </a:graphicData>
          </a:graphic>
        </wp:inline>
      </w:drawing>
    </w:r>
    <w:r>
      <w:tab/>
    </w:r>
  </w:p>
  <w:p w14:paraId="6F8B762B" w14:textId="77777777" w:rsidR="000E43D6" w:rsidRDefault="000E43D6" w:rsidP="005D584F">
    <w:pPr>
      <w:pStyle w:val="Header"/>
      <w:tabs>
        <w:tab w:val="clear" w:pos="4680"/>
        <w:tab w:val="center" w:pos="4678"/>
      </w:tabs>
      <w:ind w:left="-851" w:right="-851"/>
    </w:pPr>
  </w:p>
  <w:p w14:paraId="050EAB88" w14:textId="5CE9B003" w:rsidR="00E14DF7" w:rsidRPr="00E14DF7" w:rsidRDefault="000E43D6" w:rsidP="005D584F">
    <w:pPr>
      <w:pStyle w:val="Header"/>
      <w:tabs>
        <w:tab w:val="clear" w:pos="4680"/>
        <w:tab w:val="center" w:pos="4678"/>
      </w:tabs>
      <w:ind w:left="-851" w:right="-851"/>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4A27" w14:textId="77777777" w:rsidR="00495281" w:rsidRDefault="0049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C02"/>
    <w:multiLevelType w:val="hybridMultilevel"/>
    <w:tmpl w:val="1946190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F24822"/>
    <w:multiLevelType w:val="hybridMultilevel"/>
    <w:tmpl w:val="8A986D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B0034B7"/>
    <w:multiLevelType w:val="hybridMultilevel"/>
    <w:tmpl w:val="8EDC0534"/>
    <w:lvl w:ilvl="0" w:tplc="0B1A2E60">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DD5541"/>
    <w:multiLevelType w:val="hybridMultilevel"/>
    <w:tmpl w:val="1F3A5A60"/>
    <w:lvl w:ilvl="0" w:tplc="95126CE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C5ECD"/>
    <w:multiLevelType w:val="hybridMultilevel"/>
    <w:tmpl w:val="4080CA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2282060B"/>
    <w:multiLevelType w:val="hybridMultilevel"/>
    <w:tmpl w:val="423C76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1281B19"/>
    <w:multiLevelType w:val="hybridMultilevel"/>
    <w:tmpl w:val="6C0202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5D01C8B"/>
    <w:multiLevelType w:val="hybridMultilevel"/>
    <w:tmpl w:val="6D46A3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DDF60C0"/>
    <w:multiLevelType w:val="hybridMultilevel"/>
    <w:tmpl w:val="9E3035E2"/>
    <w:lvl w:ilvl="0" w:tplc="8D0EDBA4">
      <w:start w:val="1"/>
      <w:numFmt w:val="decimal"/>
      <w:lvlText w:val="%1."/>
      <w:lvlJc w:val="left"/>
      <w:pPr>
        <w:ind w:left="360" w:hanging="360"/>
      </w:pPr>
      <w:rPr>
        <w:rFonts w:asciiTheme="minorHAnsi" w:eastAsiaTheme="minorHAnsi" w:hAnsiTheme="minorHAnsi" w:cstheme="minorBidi" w:hint="default"/>
        <w:b/>
        <w:bCs w:val="0"/>
        <w:color w:val="auto"/>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9B45242"/>
    <w:multiLevelType w:val="hybridMultilevel"/>
    <w:tmpl w:val="FDCE77B0"/>
    <w:lvl w:ilvl="0" w:tplc="2DD0EBCC">
      <w:start w:val="2"/>
      <w:numFmt w:val="bullet"/>
      <w:lvlText w:val="-"/>
      <w:lvlJc w:val="left"/>
      <w:pPr>
        <w:ind w:left="144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F44C23"/>
    <w:multiLevelType w:val="hybridMultilevel"/>
    <w:tmpl w:val="F198E42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DD6FBE"/>
    <w:multiLevelType w:val="hybridMultilevel"/>
    <w:tmpl w:val="2460BB78"/>
    <w:lvl w:ilvl="0" w:tplc="F71C9642">
      <w:start w:val="1"/>
      <w:numFmt w:val="bullet"/>
      <w:lvlText w:val=""/>
      <w:lvlJc w:val="left"/>
      <w:pPr>
        <w:ind w:left="360" w:hanging="360"/>
      </w:pPr>
      <w:rPr>
        <w:rFonts w:ascii="Wingdings" w:hAnsi="Wingdings"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C77FAB"/>
    <w:multiLevelType w:val="hybridMultilevel"/>
    <w:tmpl w:val="42D2EEB8"/>
    <w:lvl w:ilvl="0" w:tplc="A91E9206">
      <w:start w:val="1"/>
      <w:numFmt w:val="bullet"/>
      <w:lvlText w:val=""/>
      <w:lvlJc w:val="left"/>
      <w:pPr>
        <w:ind w:left="360" w:hanging="360"/>
      </w:pPr>
      <w:rPr>
        <w:rFonts w:ascii="Wingdings" w:hAnsi="Wingdings" w:hint="default"/>
        <w:sz w:val="24"/>
        <w:szCs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E0E3033"/>
    <w:multiLevelType w:val="hybridMultilevel"/>
    <w:tmpl w:val="C3AACA40"/>
    <w:lvl w:ilvl="0" w:tplc="75B4FADE">
      <w:start w:val="1"/>
      <w:numFmt w:val="bullet"/>
      <w:lvlText w:val=""/>
      <w:lvlJc w:val="left"/>
      <w:pPr>
        <w:tabs>
          <w:tab w:val="num" w:pos="720"/>
        </w:tabs>
        <w:ind w:left="720" w:hanging="360"/>
      </w:pPr>
      <w:rPr>
        <w:rFonts w:ascii="Wingdings" w:hAnsi="Wingdings" w:hint="default"/>
      </w:rPr>
    </w:lvl>
    <w:lvl w:ilvl="1" w:tplc="DAD0E57C" w:tentative="1">
      <w:start w:val="1"/>
      <w:numFmt w:val="bullet"/>
      <w:lvlText w:val=""/>
      <w:lvlJc w:val="left"/>
      <w:pPr>
        <w:tabs>
          <w:tab w:val="num" w:pos="1440"/>
        </w:tabs>
        <w:ind w:left="1440" w:hanging="360"/>
      </w:pPr>
      <w:rPr>
        <w:rFonts w:ascii="Wingdings" w:hAnsi="Wingdings" w:hint="default"/>
      </w:rPr>
    </w:lvl>
    <w:lvl w:ilvl="2" w:tplc="7108E03C" w:tentative="1">
      <w:start w:val="1"/>
      <w:numFmt w:val="bullet"/>
      <w:lvlText w:val=""/>
      <w:lvlJc w:val="left"/>
      <w:pPr>
        <w:tabs>
          <w:tab w:val="num" w:pos="2160"/>
        </w:tabs>
        <w:ind w:left="2160" w:hanging="360"/>
      </w:pPr>
      <w:rPr>
        <w:rFonts w:ascii="Wingdings" w:hAnsi="Wingdings" w:hint="default"/>
      </w:rPr>
    </w:lvl>
    <w:lvl w:ilvl="3" w:tplc="22661672" w:tentative="1">
      <w:start w:val="1"/>
      <w:numFmt w:val="bullet"/>
      <w:lvlText w:val=""/>
      <w:lvlJc w:val="left"/>
      <w:pPr>
        <w:tabs>
          <w:tab w:val="num" w:pos="2880"/>
        </w:tabs>
        <w:ind w:left="2880" w:hanging="360"/>
      </w:pPr>
      <w:rPr>
        <w:rFonts w:ascii="Wingdings" w:hAnsi="Wingdings" w:hint="default"/>
      </w:rPr>
    </w:lvl>
    <w:lvl w:ilvl="4" w:tplc="6C626660" w:tentative="1">
      <w:start w:val="1"/>
      <w:numFmt w:val="bullet"/>
      <w:lvlText w:val=""/>
      <w:lvlJc w:val="left"/>
      <w:pPr>
        <w:tabs>
          <w:tab w:val="num" w:pos="3600"/>
        </w:tabs>
        <w:ind w:left="3600" w:hanging="360"/>
      </w:pPr>
      <w:rPr>
        <w:rFonts w:ascii="Wingdings" w:hAnsi="Wingdings" w:hint="default"/>
      </w:rPr>
    </w:lvl>
    <w:lvl w:ilvl="5" w:tplc="F98299F6" w:tentative="1">
      <w:start w:val="1"/>
      <w:numFmt w:val="bullet"/>
      <w:lvlText w:val=""/>
      <w:lvlJc w:val="left"/>
      <w:pPr>
        <w:tabs>
          <w:tab w:val="num" w:pos="4320"/>
        </w:tabs>
        <w:ind w:left="4320" w:hanging="360"/>
      </w:pPr>
      <w:rPr>
        <w:rFonts w:ascii="Wingdings" w:hAnsi="Wingdings" w:hint="default"/>
      </w:rPr>
    </w:lvl>
    <w:lvl w:ilvl="6" w:tplc="1966C36A" w:tentative="1">
      <w:start w:val="1"/>
      <w:numFmt w:val="bullet"/>
      <w:lvlText w:val=""/>
      <w:lvlJc w:val="left"/>
      <w:pPr>
        <w:tabs>
          <w:tab w:val="num" w:pos="5040"/>
        </w:tabs>
        <w:ind w:left="5040" w:hanging="360"/>
      </w:pPr>
      <w:rPr>
        <w:rFonts w:ascii="Wingdings" w:hAnsi="Wingdings" w:hint="default"/>
      </w:rPr>
    </w:lvl>
    <w:lvl w:ilvl="7" w:tplc="2C040B7A" w:tentative="1">
      <w:start w:val="1"/>
      <w:numFmt w:val="bullet"/>
      <w:lvlText w:val=""/>
      <w:lvlJc w:val="left"/>
      <w:pPr>
        <w:tabs>
          <w:tab w:val="num" w:pos="5760"/>
        </w:tabs>
        <w:ind w:left="5760" w:hanging="360"/>
      </w:pPr>
      <w:rPr>
        <w:rFonts w:ascii="Wingdings" w:hAnsi="Wingdings" w:hint="default"/>
      </w:rPr>
    </w:lvl>
    <w:lvl w:ilvl="8" w:tplc="CC5C97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C5C7D"/>
    <w:multiLevelType w:val="hybridMultilevel"/>
    <w:tmpl w:val="9F96DCA8"/>
    <w:lvl w:ilvl="0" w:tplc="796CA536">
      <w:start w:val="1"/>
      <w:numFmt w:val="decimal"/>
      <w:lvlText w:val="%1."/>
      <w:lvlJc w:val="left"/>
      <w:pPr>
        <w:ind w:left="-363" w:hanging="360"/>
      </w:pPr>
      <w:rPr>
        <w:rFonts w:hint="default"/>
      </w:rPr>
    </w:lvl>
    <w:lvl w:ilvl="1" w:tplc="10090019" w:tentative="1">
      <w:start w:val="1"/>
      <w:numFmt w:val="lowerLetter"/>
      <w:lvlText w:val="%2."/>
      <w:lvlJc w:val="left"/>
      <w:pPr>
        <w:ind w:left="357" w:hanging="360"/>
      </w:pPr>
    </w:lvl>
    <w:lvl w:ilvl="2" w:tplc="1009001B" w:tentative="1">
      <w:start w:val="1"/>
      <w:numFmt w:val="lowerRoman"/>
      <w:lvlText w:val="%3."/>
      <w:lvlJc w:val="right"/>
      <w:pPr>
        <w:ind w:left="1077" w:hanging="180"/>
      </w:pPr>
    </w:lvl>
    <w:lvl w:ilvl="3" w:tplc="1009000F" w:tentative="1">
      <w:start w:val="1"/>
      <w:numFmt w:val="decimal"/>
      <w:lvlText w:val="%4."/>
      <w:lvlJc w:val="left"/>
      <w:pPr>
        <w:ind w:left="1797" w:hanging="360"/>
      </w:pPr>
    </w:lvl>
    <w:lvl w:ilvl="4" w:tplc="10090019" w:tentative="1">
      <w:start w:val="1"/>
      <w:numFmt w:val="lowerLetter"/>
      <w:lvlText w:val="%5."/>
      <w:lvlJc w:val="left"/>
      <w:pPr>
        <w:ind w:left="2517" w:hanging="360"/>
      </w:pPr>
    </w:lvl>
    <w:lvl w:ilvl="5" w:tplc="1009001B" w:tentative="1">
      <w:start w:val="1"/>
      <w:numFmt w:val="lowerRoman"/>
      <w:lvlText w:val="%6."/>
      <w:lvlJc w:val="right"/>
      <w:pPr>
        <w:ind w:left="3237" w:hanging="180"/>
      </w:pPr>
    </w:lvl>
    <w:lvl w:ilvl="6" w:tplc="1009000F" w:tentative="1">
      <w:start w:val="1"/>
      <w:numFmt w:val="decimal"/>
      <w:lvlText w:val="%7."/>
      <w:lvlJc w:val="left"/>
      <w:pPr>
        <w:ind w:left="3957" w:hanging="360"/>
      </w:pPr>
    </w:lvl>
    <w:lvl w:ilvl="7" w:tplc="10090019" w:tentative="1">
      <w:start w:val="1"/>
      <w:numFmt w:val="lowerLetter"/>
      <w:lvlText w:val="%8."/>
      <w:lvlJc w:val="left"/>
      <w:pPr>
        <w:ind w:left="4677" w:hanging="360"/>
      </w:pPr>
    </w:lvl>
    <w:lvl w:ilvl="8" w:tplc="1009001B" w:tentative="1">
      <w:start w:val="1"/>
      <w:numFmt w:val="lowerRoman"/>
      <w:lvlText w:val="%9."/>
      <w:lvlJc w:val="right"/>
      <w:pPr>
        <w:ind w:left="5397" w:hanging="180"/>
      </w:pPr>
    </w:lvl>
  </w:abstractNum>
  <w:abstractNum w:abstractNumId="15" w15:restartNumberingAfterBreak="0">
    <w:nsid w:val="530A7267"/>
    <w:multiLevelType w:val="hybridMultilevel"/>
    <w:tmpl w:val="6BBEF2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53F1320"/>
    <w:multiLevelType w:val="hybridMultilevel"/>
    <w:tmpl w:val="1CAA286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7CF5DDA"/>
    <w:multiLevelType w:val="hybridMultilevel"/>
    <w:tmpl w:val="9F96B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8C15ED"/>
    <w:multiLevelType w:val="hybridMultilevel"/>
    <w:tmpl w:val="7C28A3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675038DD"/>
    <w:multiLevelType w:val="hybridMultilevel"/>
    <w:tmpl w:val="5C5A7E48"/>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68E55D91"/>
    <w:multiLevelType w:val="hybridMultilevel"/>
    <w:tmpl w:val="C03EC632"/>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15:restartNumberingAfterBreak="0">
    <w:nsid w:val="70D870B4"/>
    <w:multiLevelType w:val="multilevel"/>
    <w:tmpl w:val="E76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B738E"/>
    <w:multiLevelType w:val="hybridMultilevel"/>
    <w:tmpl w:val="B8A2C1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88E2BE5"/>
    <w:multiLevelType w:val="hybridMultilevel"/>
    <w:tmpl w:val="CE4E3552"/>
    <w:lvl w:ilvl="0" w:tplc="D3424742">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
  </w:num>
  <w:num w:numId="4">
    <w:abstractNumId w:val="23"/>
  </w:num>
  <w:num w:numId="5">
    <w:abstractNumId w:val="11"/>
  </w:num>
  <w:num w:numId="6">
    <w:abstractNumId w:val="14"/>
  </w:num>
  <w:num w:numId="7">
    <w:abstractNumId w:val="8"/>
  </w:num>
  <w:num w:numId="8">
    <w:abstractNumId w:val="18"/>
  </w:num>
  <w:num w:numId="9">
    <w:abstractNumId w:val="6"/>
  </w:num>
  <w:num w:numId="10">
    <w:abstractNumId w:val="1"/>
  </w:num>
  <w:num w:numId="11">
    <w:abstractNumId w:val="5"/>
  </w:num>
  <w:num w:numId="12">
    <w:abstractNumId w:val="4"/>
  </w:num>
  <w:num w:numId="13">
    <w:abstractNumId w:val="1"/>
  </w:num>
  <w:num w:numId="14">
    <w:abstractNumId w:val="4"/>
  </w:num>
  <w:num w:numId="15">
    <w:abstractNumId w:val="9"/>
  </w:num>
  <w:num w:numId="16">
    <w:abstractNumId w:val="7"/>
  </w:num>
  <w:num w:numId="17">
    <w:abstractNumId w:val="22"/>
  </w:num>
  <w:num w:numId="18">
    <w:abstractNumId w:val="20"/>
  </w:num>
  <w:num w:numId="19">
    <w:abstractNumId w:val="21"/>
  </w:num>
  <w:num w:numId="20">
    <w:abstractNumId w:val="15"/>
  </w:num>
  <w:num w:numId="21">
    <w:abstractNumId w:val="3"/>
  </w:num>
  <w:num w:numId="22">
    <w:abstractNumId w:val="16"/>
  </w:num>
  <w:num w:numId="23">
    <w:abstractNumId w:val="13"/>
  </w:num>
  <w:num w:numId="24">
    <w:abstractNumId w:val="17"/>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F7"/>
    <w:rsid w:val="000044DF"/>
    <w:rsid w:val="00004CB3"/>
    <w:rsid w:val="00027F68"/>
    <w:rsid w:val="00031DEB"/>
    <w:rsid w:val="00052E98"/>
    <w:rsid w:val="0005502F"/>
    <w:rsid w:val="00065685"/>
    <w:rsid w:val="00067499"/>
    <w:rsid w:val="00080EDD"/>
    <w:rsid w:val="0008625F"/>
    <w:rsid w:val="00086B39"/>
    <w:rsid w:val="000A6681"/>
    <w:rsid w:val="000E1CF9"/>
    <w:rsid w:val="000E2C56"/>
    <w:rsid w:val="000E43D6"/>
    <w:rsid w:val="000E52C4"/>
    <w:rsid w:val="000E64B6"/>
    <w:rsid w:val="00105A3F"/>
    <w:rsid w:val="001111E7"/>
    <w:rsid w:val="00115CE1"/>
    <w:rsid w:val="00126AB6"/>
    <w:rsid w:val="001320B7"/>
    <w:rsid w:val="0013471D"/>
    <w:rsid w:val="00137381"/>
    <w:rsid w:val="001379C3"/>
    <w:rsid w:val="00140043"/>
    <w:rsid w:val="00146D35"/>
    <w:rsid w:val="00146FE7"/>
    <w:rsid w:val="00155E66"/>
    <w:rsid w:val="001638E1"/>
    <w:rsid w:val="001659B6"/>
    <w:rsid w:val="001700AA"/>
    <w:rsid w:val="00196FCD"/>
    <w:rsid w:val="001A29D9"/>
    <w:rsid w:val="001A563C"/>
    <w:rsid w:val="001B1FB0"/>
    <w:rsid w:val="001C0355"/>
    <w:rsid w:val="001C172B"/>
    <w:rsid w:val="001D1319"/>
    <w:rsid w:val="001F2AC5"/>
    <w:rsid w:val="001F38EE"/>
    <w:rsid w:val="00204BA0"/>
    <w:rsid w:val="00235210"/>
    <w:rsid w:val="002359B9"/>
    <w:rsid w:val="00236A3C"/>
    <w:rsid w:val="002705F1"/>
    <w:rsid w:val="00271A22"/>
    <w:rsid w:val="00275139"/>
    <w:rsid w:val="002860B2"/>
    <w:rsid w:val="00291582"/>
    <w:rsid w:val="002B1327"/>
    <w:rsid w:val="002B196F"/>
    <w:rsid w:val="002D7CD1"/>
    <w:rsid w:val="002E7FF7"/>
    <w:rsid w:val="002F1E7C"/>
    <w:rsid w:val="002F32D8"/>
    <w:rsid w:val="00300308"/>
    <w:rsid w:val="0030048C"/>
    <w:rsid w:val="00314585"/>
    <w:rsid w:val="00317A3F"/>
    <w:rsid w:val="00327F1E"/>
    <w:rsid w:val="0033332E"/>
    <w:rsid w:val="003500FB"/>
    <w:rsid w:val="003513A2"/>
    <w:rsid w:val="00353BB2"/>
    <w:rsid w:val="00361257"/>
    <w:rsid w:val="00366CB6"/>
    <w:rsid w:val="003673C1"/>
    <w:rsid w:val="00386516"/>
    <w:rsid w:val="003A2678"/>
    <w:rsid w:val="003A5F69"/>
    <w:rsid w:val="003B3B76"/>
    <w:rsid w:val="003B7AF4"/>
    <w:rsid w:val="003D69E5"/>
    <w:rsid w:val="003F2D62"/>
    <w:rsid w:val="003F7932"/>
    <w:rsid w:val="00403267"/>
    <w:rsid w:val="004260CA"/>
    <w:rsid w:val="00435F8B"/>
    <w:rsid w:val="00444BE0"/>
    <w:rsid w:val="00445355"/>
    <w:rsid w:val="0045227F"/>
    <w:rsid w:val="00477C5B"/>
    <w:rsid w:val="00483B7D"/>
    <w:rsid w:val="004905B9"/>
    <w:rsid w:val="00493514"/>
    <w:rsid w:val="00494388"/>
    <w:rsid w:val="00495281"/>
    <w:rsid w:val="004B3042"/>
    <w:rsid w:val="004B7D94"/>
    <w:rsid w:val="004C4B92"/>
    <w:rsid w:val="004D676C"/>
    <w:rsid w:val="00510ADB"/>
    <w:rsid w:val="005259AD"/>
    <w:rsid w:val="0053728B"/>
    <w:rsid w:val="005C446E"/>
    <w:rsid w:val="005D584F"/>
    <w:rsid w:val="005E25DE"/>
    <w:rsid w:val="005E782E"/>
    <w:rsid w:val="0060056B"/>
    <w:rsid w:val="0061188F"/>
    <w:rsid w:val="006213D1"/>
    <w:rsid w:val="006259D0"/>
    <w:rsid w:val="00697AD7"/>
    <w:rsid w:val="006B014A"/>
    <w:rsid w:val="006B7FB8"/>
    <w:rsid w:val="006D3129"/>
    <w:rsid w:val="006D7CF9"/>
    <w:rsid w:val="006F7D96"/>
    <w:rsid w:val="007079B6"/>
    <w:rsid w:val="00720C86"/>
    <w:rsid w:val="007224B6"/>
    <w:rsid w:val="00723E40"/>
    <w:rsid w:val="00730067"/>
    <w:rsid w:val="0074641F"/>
    <w:rsid w:val="00753499"/>
    <w:rsid w:val="00770237"/>
    <w:rsid w:val="007743CD"/>
    <w:rsid w:val="007814AD"/>
    <w:rsid w:val="00793434"/>
    <w:rsid w:val="007B24E1"/>
    <w:rsid w:val="007C2234"/>
    <w:rsid w:val="007C76B8"/>
    <w:rsid w:val="007D5008"/>
    <w:rsid w:val="007E69FC"/>
    <w:rsid w:val="007F63AF"/>
    <w:rsid w:val="00812803"/>
    <w:rsid w:val="00824954"/>
    <w:rsid w:val="00854802"/>
    <w:rsid w:val="00871C25"/>
    <w:rsid w:val="008740E8"/>
    <w:rsid w:val="008808DB"/>
    <w:rsid w:val="00882627"/>
    <w:rsid w:val="00887740"/>
    <w:rsid w:val="00896815"/>
    <w:rsid w:val="008C0CAE"/>
    <w:rsid w:val="008D21CC"/>
    <w:rsid w:val="00907837"/>
    <w:rsid w:val="00930226"/>
    <w:rsid w:val="00931737"/>
    <w:rsid w:val="00944AF0"/>
    <w:rsid w:val="009533FF"/>
    <w:rsid w:val="00955BB2"/>
    <w:rsid w:val="00997210"/>
    <w:rsid w:val="009A0130"/>
    <w:rsid w:val="009A022C"/>
    <w:rsid w:val="009A2F76"/>
    <w:rsid w:val="009A7AF7"/>
    <w:rsid w:val="009C1073"/>
    <w:rsid w:val="009D351F"/>
    <w:rsid w:val="009E237D"/>
    <w:rsid w:val="009E33A3"/>
    <w:rsid w:val="009F0BB5"/>
    <w:rsid w:val="00A03849"/>
    <w:rsid w:val="00A053B5"/>
    <w:rsid w:val="00A05AD4"/>
    <w:rsid w:val="00A201B4"/>
    <w:rsid w:val="00A3623D"/>
    <w:rsid w:val="00A50F50"/>
    <w:rsid w:val="00A60B2F"/>
    <w:rsid w:val="00A6185A"/>
    <w:rsid w:val="00A77D1C"/>
    <w:rsid w:val="00A8212E"/>
    <w:rsid w:val="00A953B7"/>
    <w:rsid w:val="00AC17DF"/>
    <w:rsid w:val="00AD1BA1"/>
    <w:rsid w:val="00AE3775"/>
    <w:rsid w:val="00AF0405"/>
    <w:rsid w:val="00AF7A20"/>
    <w:rsid w:val="00B200C3"/>
    <w:rsid w:val="00B31F1D"/>
    <w:rsid w:val="00B426E3"/>
    <w:rsid w:val="00B77FCB"/>
    <w:rsid w:val="00B97BDC"/>
    <w:rsid w:val="00BA768F"/>
    <w:rsid w:val="00BD19E9"/>
    <w:rsid w:val="00BF3F35"/>
    <w:rsid w:val="00C020ED"/>
    <w:rsid w:val="00C17908"/>
    <w:rsid w:val="00C22649"/>
    <w:rsid w:val="00C24FFC"/>
    <w:rsid w:val="00C25D31"/>
    <w:rsid w:val="00C31556"/>
    <w:rsid w:val="00C56835"/>
    <w:rsid w:val="00C70516"/>
    <w:rsid w:val="00C73F10"/>
    <w:rsid w:val="00C81E30"/>
    <w:rsid w:val="00CA12ED"/>
    <w:rsid w:val="00CB0276"/>
    <w:rsid w:val="00CB433C"/>
    <w:rsid w:val="00CF1630"/>
    <w:rsid w:val="00CF33A2"/>
    <w:rsid w:val="00CF7681"/>
    <w:rsid w:val="00D0718F"/>
    <w:rsid w:val="00D11EAE"/>
    <w:rsid w:val="00D16251"/>
    <w:rsid w:val="00D17013"/>
    <w:rsid w:val="00D44F67"/>
    <w:rsid w:val="00D53772"/>
    <w:rsid w:val="00D5650C"/>
    <w:rsid w:val="00D661FC"/>
    <w:rsid w:val="00D87DCA"/>
    <w:rsid w:val="00DA10DE"/>
    <w:rsid w:val="00DB7C31"/>
    <w:rsid w:val="00DC4EC9"/>
    <w:rsid w:val="00DD1D2B"/>
    <w:rsid w:val="00DE4908"/>
    <w:rsid w:val="00DE5E43"/>
    <w:rsid w:val="00DE6B1F"/>
    <w:rsid w:val="00DF5C5E"/>
    <w:rsid w:val="00E037BE"/>
    <w:rsid w:val="00E10152"/>
    <w:rsid w:val="00E12668"/>
    <w:rsid w:val="00E14DF7"/>
    <w:rsid w:val="00E17040"/>
    <w:rsid w:val="00E3281E"/>
    <w:rsid w:val="00E67DC1"/>
    <w:rsid w:val="00E80E06"/>
    <w:rsid w:val="00E91CA1"/>
    <w:rsid w:val="00E96E70"/>
    <w:rsid w:val="00EB1C91"/>
    <w:rsid w:val="00EC0C6B"/>
    <w:rsid w:val="00EC4BCC"/>
    <w:rsid w:val="00ED41D1"/>
    <w:rsid w:val="00F00311"/>
    <w:rsid w:val="00F11F8C"/>
    <w:rsid w:val="00F2637C"/>
    <w:rsid w:val="00F36E2E"/>
    <w:rsid w:val="00F47308"/>
    <w:rsid w:val="00F51519"/>
    <w:rsid w:val="00F53BBE"/>
    <w:rsid w:val="00F66C88"/>
    <w:rsid w:val="00F75001"/>
    <w:rsid w:val="00F83CC3"/>
    <w:rsid w:val="00F86D87"/>
    <w:rsid w:val="00F91D03"/>
    <w:rsid w:val="00F95DDE"/>
    <w:rsid w:val="00FA287B"/>
    <w:rsid w:val="00FA2A19"/>
    <w:rsid w:val="00FD59C2"/>
    <w:rsid w:val="00FE26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6343E"/>
  <w15:docId w15:val="{299E3BFD-F2BA-4329-8C95-77A01597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BDC"/>
    <w:pPr>
      <w:ind w:left="-851"/>
      <w:jc w:val="center"/>
      <w:outlineLvl w:val="0"/>
    </w:pPr>
    <w:rPr>
      <w:rFonts w:ascii="Calibri" w:eastAsia="Times New Roman" w:hAnsi="Calibri" w:cs="Calibri"/>
      <w:b/>
      <w:bCs/>
      <w:color w:val="008080"/>
      <w:sz w:val="44"/>
      <w:szCs w:val="44"/>
      <w:shd w:val="clear" w:color="auto" w:fill="FFFFFF"/>
    </w:rPr>
  </w:style>
  <w:style w:type="paragraph" w:styleId="Heading2">
    <w:name w:val="heading 2"/>
    <w:basedOn w:val="Normal"/>
    <w:next w:val="Normal"/>
    <w:link w:val="Heading2Char"/>
    <w:uiPriority w:val="9"/>
    <w:unhideWhenUsed/>
    <w:qFormat/>
    <w:rsid w:val="00DD1D2B"/>
    <w:pPr>
      <w:outlineLvl w:val="1"/>
    </w:pPr>
    <w:rPr>
      <w:rFonts w:ascii="Calibri" w:eastAsia="Times New Roman" w:hAnsi="Calibri" w:cs="Calibri"/>
      <w:b/>
      <w:bCs/>
      <w:color w:val="008080"/>
      <w:sz w:val="32"/>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DF7"/>
    <w:pPr>
      <w:tabs>
        <w:tab w:val="center" w:pos="4680"/>
        <w:tab w:val="right" w:pos="9360"/>
      </w:tabs>
    </w:pPr>
  </w:style>
  <w:style w:type="character" w:customStyle="1" w:styleId="HeaderChar">
    <w:name w:val="Header Char"/>
    <w:basedOn w:val="DefaultParagraphFont"/>
    <w:link w:val="Header"/>
    <w:uiPriority w:val="99"/>
    <w:rsid w:val="00E14DF7"/>
  </w:style>
  <w:style w:type="paragraph" w:styleId="Footer">
    <w:name w:val="footer"/>
    <w:basedOn w:val="Normal"/>
    <w:link w:val="FooterChar"/>
    <w:uiPriority w:val="99"/>
    <w:unhideWhenUsed/>
    <w:rsid w:val="00E14DF7"/>
    <w:pPr>
      <w:tabs>
        <w:tab w:val="center" w:pos="4680"/>
        <w:tab w:val="right" w:pos="9360"/>
      </w:tabs>
    </w:pPr>
  </w:style>
  <w:style w:type="character" w:customStyle="1" w:styleId="FooterChar">
    <w:name w:val="Footer Char"/>
    <w:basedOn w:val="DefaultParagraphFont"/>
    <w:link w:val="Footer"/>
    <w:uiPriority w:val="99"/>
    <w:rsid w:val="00E14DF7"/>
  </w:style>
  <w:style w:type="table" w:styleId="TableGrid">
    <w:name w:val="Table Grid"/>
    <w:basedOn w:val="TableNormal"/>
    <w:uiPriority w:val="39"/>
    <w:rsid w:val="0000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CA"/>
    <w:rPr>
      <w:color w:val="008080" w:themeColor="hyperlink"/>
      <w:u w:val="single"/>
    </w:rPr>
  </w:style>
  <w:style w:type="paragraph" w:styleId="ListParagraph">
    <w:name w:val="List Paragraph"/>
    <w:basedOn w:val="Normal"/>
    <w:uiPriority w:val="34"/>
    <w:qFormat/>
    <w:rsid w:val="002B1327"/>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DE6B1F"/>
    <w:rPr>
      <w:color w:val="A5A5A5" w:themeColor="followedHyperlink"/>
      <w:u w:val="single"/>
    </w:rPr>
  </w:style>
  <w:style w:type="paragraph" w:styleId="BalloonText">
    <w:name w:val="Balloon Text"/>
    <w:basedOn w:val="Normal"/>
    <w:link w:val="BalloonTextChar"/>
    <w:uiPriority w:val="99"/>
    <w:semiHidden/>
    <w:unhideWhenUsed/>
    <w:rsid w:val="00137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381"/>
    <w:rPr>
      <w:rFonts w:ascii="Segoe UI" w:hAnsi="Segoe UI" w:cs="Segoe UI"/>
      <w:sz w:val="18"/>
      <w:szCs w:val="18"/>
    </w:rPr>
  </w:style>
  <w:style w:type="character" w:styleId="CommentReference">
    <w:name w:val="annotation reference"/>
    <w:basedOn w:val="DefaultParagraphFont"/>
    <w:uiPriority w:val="99"/>
    <w:semiHidden/>
    <w:unhideWhenUsed/>
    <w:rsid w:val="00137381"/>
    <w:rPr>
      <w:sz w:val="16"/>
      <w:szCs w:val="16"/>
    </w:rPr>
  </w:style>
  <w:style w:type="paragraph" w:styleId="CommentText">
    <w:name w:val="annotation text"/>
    <w:basedOn w:val="Normal"/>
    <w:link w:val="CommentTextChar"/>
    <w:uiPriority w:val="99"/>
    <w:semiHidden/>
    <w:unhideWhenUsed/>
    <w:rsid w:val="00137381"/>
    <w:rPr>
      <w:sz w:val="20"/>
      <w:szCs w:val="20"/>
    </w:rPr>
  </w:style>
  <w:style w:type="character" w:customStyle="1" w:styleId="CommentTextChar">
    <w:name w:val="Comment Text Char"/>
    <w:basedOn w:val="DefaultParagraphFont"/>
    <w:link w:val="CommentText"/>
    <w:uiPriority w:val="99"/>
    <w:semiHidden/>
    <w:rsid w:val="00137381"/>
    <w:rPr>
      <w:sz w:val="20"/>
      <w:szCs w:val="20"/>
    </w:rPr>
  </w:style>
  <w:style w:type="paragraph" w:styleId="CommentSubject">
    <w:name w:val="annotation subject"/>
    <w:basedOn w:val="CommentText"/>
    <w:next w:val="CommentText"/>
    <w:link w:val="CommentSubjectChar"/>
    <w:uiPriority w:val="99"/>
    <w:semiHidden/>
    <w:unhideWhenUsed/>
    <w:rsid w:val="00137381"/>
    <w:rPr>
      <w:b/>
      <w:bCs/>
    </w:rPr>
  </w:style>
  <w:style w:type="character" w:customStyle="1" w:styleId="CommentSubjectChar">
    <w:name w:val="Comment Subject Char"/>
    <w:basedOn w:val="CommentTextChar"/>
    <w:link w:val="CommentSubject"/>
    <w:uiPriority w:val="99"/>
    <w:semiHidden/>
    <w:rsid w:val="00137381"/>
    <w:rPr>
      <w:b/>
      <w:bCs/>
      <w:sz w:val="20"/>
      <w:szCs w:val="20"/>
    </w:rPr>
  </w:style>
  <w:style w:type="character" w:customStyle="1" w:styleId="UnresolvedMention1">
    <w:name w:val="Unresolved Mention1"/>
    <w:basedOn w:val="DefaultParagraphFont"/>
    <w:uiPriority w:val="99"/>
    <w:semiHidden/>
    <w:unhideWhenUsed/>
    <w:rsid w:val="00E96E70"/>
    <w:rPr>
      <w:color w:val="605E5C"/>
      <w:shd w:val="clear" w:color="auto" w:fill="E1DFDD"/>
    </w:rPr>
  </w:style>
  <w:style w:type="character" w:customStyle="1" w:styleId="Heading1Char">
    <w:name w:val="Heading 1 Char"/>
    <w:basedOn w:val="DefaultParagraphFont"/>
    <w:link w:val="Heading1"/>
    <w:uiPriority w:val="9"/>
    <w:rsid w:val="00B97BDC"/>
    <w:rPr>
      <w:rFonts w:ascii="Calibri" w:eastAsia="Times New Roman" w:hAnsi="Calibri" w:cs="Calibri"/>
      <w:b/>
      <w:bCs/>
      <w:color w:val="008080"/>
      <w:sz w:val="44"/>
      <w:szCs w:val="44"/>
    </w:rPr>
  </w:style>
  <w:style w:type="character" w:customStyle="1" w:styleId="Heading2Char">
    <w:name w:val="Heading 2 Char"/>
    <w:basedOn w:val="DefaultParagraphFont"/>
    <w:link w:val="Heading2"/>
    <w:uiPriority w:val="9"/>
    <w:rsid w:val="00DD1D2B"/>
    <w:rPr>
      <w:rFonts w:ascii="Calibri" w:eastAsia="Times New Roman" w:hAnsi="Calibri" w:cs="Calibri"/>
      <w:b/>
      <w:bCs/>
      <w:color w:val="008080"/>
      <w:sz w:val="32"/>
      <w:szCs w:val="32"/>
    </w:rPr>
  </w:style>
  <w:style w:type="character" w:customStyle="1" w:styleId="UnresolvedMention">
    <w:name w:val="Unresolved Mention"/>
    <w:basedOn w:val="DefaultParagraphFont"/>
    <w:uiPriority w:val="99"/>
    <w:semiHidden/>
    <w:unhideWhenUsed/>
    <w:rsid w:val="0088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703">
      <w:bodyDiv w:val="1"/>
      <w:marLeft w:val="0"/>
      <w:marRight w:val="0"/>
      <w:marTop w:val="0"/>
      <w:marBottom w:val="0"/>
      <w:divBdr>
        <w:top w:val="none" w:sz="0" w:space="0" w:color="auto"/>
        <w:left w:val="none" w:sz="0" w:space="0" w:color="auto"/>
        <w:bottom w:val="none" w:sz="0" w:space="0" w:color="auto"/>
        <w:right w:val="none" w:sz="0" w:space="0" w:color="auto"/>
      </w:divBdr>
    </w:div>
    <w:div w:id="121577481">
      <w:bodyDiv w:val="1"/>
      <w:marLeft w:val="0"/>
      <w:marRight w:val="0"/>
      <w:marTop w:val="0"/>
      <w:marBottom w:val="0"/>
      <w:divBdr>
        <w:top w:val="none" w:sz="0" w:space="0" w:color="auto"/>
        <w:left w:val="none" w:sz="0" w:space="0" w:color="auto"/>
        <w:bottom w:val="none" w:sz="0" w:space="0" w:color="auto"/>
        <w:right w:val="none" w:sz="0" w:space="0" w:color="auto"/>
      </w:divBdr>
    </w:div>
    <w:div w:id="236286053">
      <w:bodyDiv w:val="1"/>
      <w:marLeft w:val="0"/>
      <w:marRight w:val="0"/>
      <w:marTop w:val="0"/>
      <w:marBottom w:val="0"/>
      <w:divBdr>
        <w:top w:val="none" w:sz="0" w:space="0" w:color="auto"/>
        <w:left w:val="none" w:sz="0" w:space="0" w:color="auto"/>
        <w:bottom w:val="none" w:sz="0" w:space="0" w:color="auto"/>
        <w:right w:val="none" w:sz="0" w:space="0" w:color="auto"/>
      </w:divBdr>
    </w:div>
    <w:div w:id="310184438">
      <w:bodyDiv w:val="1"/>
      <w:marLeft w:val="0"/>
      <w:marRight w:val="0"/>
      <w:marTop w:val="0"/>
      <w:marBottom w:val="0"/>
      <w:divBdr>
        <w:top w:val="none" w:sz="0" w:space="0" w:color="auto"/>
        <w:left w:val="none" w:sz="0" w:space="0" w:color="auto"/>
        <w:bottom w:val="none" w:sz="0" w:space="0" w:color="auto"/>
        <w:right w:val="none" w:sz="0" w:space="0" w:color="auto"/>
      </w:divBdr>
    </w:div>
    <w:div w:id="617376026">
      <w:bodyDiv w:val="1"/>
      <w:marLeft w:val="0"/>
      <w:marRight w:val="0"/>
      <w:marTop w:val="0"/>
      <w:marBottom w:val="0"/>
      <w:divBdr>
        <w:top w:val="none" w:sz="0" w:space="0" w:color="auto"/>
        <w:left w:val="none" w:sz="0" w:space="0" w:color="auto"/>
        <w:bottom w:val="none" w:sz="0" w:space="0" w:color="auto"/>
        <w:right w:val="none" w:sz="0" w:space="0" w:color="auto"/>
      </w:divBdr>
    </w:div>
    <w:div w:id="911281952">
      <w:bodyDiv w:val="1"/>
      <w:marLeft w:val="0"/>
      <w:marRight w:val="0"/>
      <w:marTop w:val="0"/>
      <w:marBottom w:val="0"/>
      <w:divBdr>
        <w:top w:val="none" w:sz="0" w:space="0" w:color="auto"/>
        <w:left w:val="none" w:sz="0" w:space="0" w:color="auto"/>
        <w:bottom w:val="none" w:sz="0" w:space="0" w:color="auto"/>
        <w:right w:val="none" w:sz="0" w:space="0" w:color="auto"/>
      </w:divBdr>
    </w:div>
    <w:div w:id="1090931753">
      <w:bodyDiv w:val="1"/>
      <w:marLeft w:val="0"/>
      <w:marRight w:val="0"/>
      <w:marTop w:val="0"/>
      <w:marBottom w:val="0"/>
      <w:divBdr>
        <w:top w:val="none" w:sz="0" w:space="0" w:color="auto"/>
        <w:left w:val="none" w:sz="0" w:space="0" w:color="auto"/>
        <w:bottom w:val="none" w:sz="0" w:space="0" w:color="auto"/>
        <w:right w:val="none" w:sz="0" w:space="0" w:color="auto"/>
      </w:divBdr>
    </w:div>
    <w:div w:id="1096825335">
      <w:bodyDiv w:val="1"/>
      <w:marLeft w:val="0"/>
      <w:marRight w:val="0"/>
      <w:marTop w:val="0"/>
      <w:marBottom w:val="0"/>
      <w:divBdr>
        <w:top w:val="none" w:sz="0" w:space="0" w:color="auto"/>
        <w:left w:val="none" w:sz="0" w:space="0" w:color="auto"/>
        <w:bottom w:val="none" w:sz="0" w:space="0" w:color="auto"/>
        <w:right w:val="none" w:sz="0" w:space="0" w:color="auto"/>
      </w:divBdr>
    </w:div>
    <w:div w:id="1505584438">
      <w:bodyDiv w:val="1"/>
      <w:marLeft w:val="0"/>
      <w:marRight w:val="0"/>
      <w:marTop w:val="0"/>
      <w:marBottom w:val="0"/>
      <w:divBdr>
        <w:top w:val="none" w:sz="0" w:space="0" w:color="auto"/>
        <w:left w:val="none" w:sz="0" w:space="0" w:color="auto"/>
        <w:bottom w:val="none" w:sz="0" w:space="0" w:color="auto"/>
        <w:right w:val="none" w:sz="0" w:space="0" w:color="auto"/>
      </w:divBdr>
    </w:div>
    <w:div w:id="1537422057">
      <w:bodyDiv w:val="1"/>
      <w:marLeft w:val="0"/>
      <w:marRight w:val="0"/>
      <w:marTop w:val="0"/>
      <w:marBottom w:val="0"/>
      <w:divBdr>
        <w:top w:val="none" w:sz="0" w:space="0" w:color="auto"/>
        <w:left w:val="none" w:sz="0" w:space="0" w:color="auto"/>
        <w:bottom w:val="none" w:sz="0" w:space="0" w:color="auto"/>
        <w:right w:val="none" w:sz="0" w:space="0" w:color="auto"/>
      </w:divBdr>
    </w:div>
    <w:div w:id="1645234238">
      <w:bodyDiv w:val="1"/>
      <w:marLeft w:val="0"/>
      <w:marRight w:val="0"/>
      <w:marTop w:val="0"/>
      <w:marBottom w:val="0"/>
      <w:divBdr>
        <w:top w:val="none" w:sz="0" w:space="0" w:color="auto"/>
        <w:left w:val="none" w:sz="0" w:space="0" w:color="auto"/>
        <w:bottom w:val="none" w:sz="0" w:space="0" w:color="auto"/>
        <w:right w:val="none" w:sz="0" w:space="0" w:color="auto"/>
      </w:divBdr>
    </w:div>
    <w:div w:id="1806072919">
      <w:bodyDiv w:val="1"/>
      <w:marLeft w:val="0"/>
      <w:marRight w:val="0"/>
      <w:marTop w:val="0"/>
      <w:marBottom w:val="0"/>
      <w:divBdr>
        <w:top w:val="none" w:sz="0" w:space="0" w:color="auto"/>
        <w:left w:val="none" w:sz="0" w:space="0" w:color="auto"/>
        <w:bottom w:val="none" w:sz="0" w:space="0" w:color="auto"/>
        <w:right w:val="none" w:sz="0" w:space="0" w:color="auto"/>
      </w:divBdr>
    </w:div>
    <w:div w:id="1817792988">
      <w:bodyDiv w:val="1"/>
      <w:marLeft w:val="0"/>
      <w:marRight w:val="0"/>
      <w:marTop w:val="0"/>
      <w:marBottom w:val="0"/>
      <w:divBdr>
        <w:top w:val="none" w:sz="0" w:space="0" w:color="auto"/>
        <w:left w:val="none" w:sz="0" w:space="0" w:color="auto"/>
        <w:bottom w:val="none" w:sz="0" w:space="0" w:color="auto"/>
        <w:right w:val="none" w:sz="0" w:space="0" w:color="auto"/>
      </w:divBdr>
    </w:div>
    <w:div w:id="1841701564">
      <w:bodyDiv w:val="1"/>
      <w:marLeft w:val="0"/>
      <w:marRight w:val="0"/>
      <w:marTop w:val="0"/>
      <w:marBottom w:val="0"/>
      <w:divBdr>
        <w:top w:val="none" w:sz="0" w:space="0" w:color="auto"/>
        <w:left w:val="none" w:sz="0" w:space="0" w:color="auto"/>
        <w:bottom w:val="none" w:sz="0" w:space="0" w:color="auto"/>
        <w:right w:val="none" w:sz="0" w:space="0" w:color="auto"/>
      </w:divBdr>
    </w:div>
    <w:div w:id="19354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anada.ca/fr/gouvernement/fonctionpublique/covid-19/dirigez-empathie.html" TargetMode="External"/><Relationship Id="rId26" Type="http://schemas.openxmlformats.org/officeDocument/2006/relationships/hyperlink" Target="https://www.canada.ca/fr/gouvernement/fonctionpublique/covid-19/dirigez-empathie.html" TargetMode="External"/><Relationship Id="rId3" Type="http://schemas.openxmlformats.org/officeDocument/2006/relationships/customXml" Target="../customXml/item3.xml"/><Relationship Id="rId21" Type="http://schemas.openxmlformats.org/officeDocument/2006/relationships/hyperlink" Target="https://intranet.canada.ca/hr-rh/ptm-grt/pm-gr/pmc-dgr/ap-pa-fra.as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tranet.canada.ca/hr-rh/ptm-grt/pm-gr/pmc-dgr/smart-fra.asp" TargetMode="External"/><Relationship Id="rId25" Type="http://schemas.openxmlformats.org/officeDocument/2006/relationships/hyperlink" Target="https://www.canada.ca/fr/gouvernement/fonctionpublique/covid-19/dirigez-empathi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anada.ca/fr/gouvernement/fonctionpublique/mieux-etre-inclusion-diversite-fonction-publique/programme-aide-employ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anada.ca/fr/environnement-changement-climatique/organisation/covid-19/paye-pension-avantages-sociaux/utilisation-suivi-autre-conge-paye-code-699.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anada.ca/fr/gouvernement/fonctionpublique/covid-19/maladie-conge-employe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ada.ca/fr/gouvernement/fonctionpublique/covid-19/dirigez-empathi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anada.ca/fr/gouvernement/fonctionpublique/covid-19/maladie-conge-employes.html" TargetMode="External"/><Relationship Id="rId27" Type="http://schemas.openxmlformats.org/officeDocument/2006/relationships/hyperlink" Target="https://www.canada.ca/fr/gouvernement/fonctionpublique/mieux-etre-inclusion-diversite-fonction-publique/programme-aide-employe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8080"/>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876F10AE18841ABE0DB8188183BAF" ma:contentTypeVersion="0" ma:contentTypeDescription="Create a new document." ma:contentTypeScope="" ma:versionID="43d82259df7e5bcf231577bfe63caa8c">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3FA21-5630-4934-B1F2-0A932D5FDE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AF4EB00-9FCD-4BB2-9291-4F29690285EF}">
  <ds:schemaRefs>
    <ds:schemaRef ds:uri="http://schemas.microsoft.com/sharepoint/v3/contenttype/forms"/>
  </ds:schemaRefs>
</ds:datastoreItem>
</file>

<file path=customXml/itemProps3.xml><?xml version="1.0" encoding="utf-8"?>
<ds:datastoreItem xmlns:ds="http://schemas.openxmlformats.org/officeDocument/2006/customXml" ds:itemID="{BCEDD7E0-D57F-4865-ABB2-64FA1E6A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75BC8A-AC35-47AA-9C9E-6A7F538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6210</Characters>
  <Application>Microsoft Office Word</Application>
  <DocSecurity>4</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Plamondon, Isabelle</dc:creator>
  <cp:lastModifiedBy>Camara, Mark Abdoulrahim [NC]</cp:lastModifiedBy>
  <cp:revision>2</cp:revision>
  <cp:lastPrinted>2019-09-30T14:27:00Z</cp:lastPrinted>
  <dcterms:created xsi:type="dcterms:W3CDTF">2021-04-20T19:31:00Z</dcterms:created>
  <dcterms:modified xsi:type="dcterms:W3CDTF">2021-04-20T19:31:00Z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0ca00b-3f0e-465a-aac7-1a6a22fcea40_Enabled">
    <vt:lpwstr>True</vt:lpwstr>
  </property>
  <property fmtid="{D5CDD505-2E9C-101B-9397-08002B2CF9AE}" pid="3" name="MSIP_Label_3d0ca00b-3f0e-465a-aac7-1a6a22fcea40_SiteId">
    <vt:lpwstr>6397df10-4595-4047-9c4f-03311282152b</vt:lpwstr>
  </property>
  <property fmtid="{D5CDD505-2E9C-101B-9397-08002B2CF9AE}" pid="4" name="MSIP_Label_3d0ca00b-3f0e-465a-aac7-1a6a22fcea40_Owner">
    <vt:lpwstr>MELIPANG@tbs-sct.gc.ca</vt:lpwstr>
  </property>
  <property fmtid="{D5CDD505-2E9C-101B-9397-08002B2CF9AE}" pid="5" name="MSIP_Label_3d0ca00b-3f0e-465a-aac7-1a6a22fcea40_SetDate">
    <vt:lpwstr>2020-08-24T18:03:12.9840662Z</vt:lpwstr>
  </property>
  <property fmtid="{D5CDD505-2E9C-101B-9397-08002B2CF9AE}" pid="6" name="MSIP_Label_3d0ca00b-3f0e-465a-aac7-1a6a22fcea40_Name">
    <vt:lpwstr>UNCLASSIFIED</vt:lpwstr>
  </property>
  <property fmtid="{D5CDD505-2E9C-101B-9397-08002B2CF9AE}" pid="7" name="MSIP_Label_3d0ca00b-3f0e-465a-aac7-1a6a22fcea40_Application">
    <vt:lpwstr>Microsoft Azure Information Protection</vt:lpwstr>
  </property>
  <property fmtid="{D5CDD505-2E9C-101B-9397-08002B2CF9AE}" pid="8" name="MSIP_Label_3d0ca00b-3f0e-465a-aac7-1a6a22fcea40_ActionId">
    <vt:lpwstr>9c446c63-ed9b-45e5-9a91-c6153aedfff6</vt:lpwstr>
  </property>
  <property fmtid="{D5CDD505-2E9C-101B-9397-08002B2CF9AE}" pid="9" name="MSIP_Label_3d0ca00b-3f0e-465a-aac7-1a6a22fcea40_Extended_MSFT_Method">
    <vt:lpwstr>Manual</vt:lpwstr>
  </property>
  <property fmtid="{D5CDD505-2E9C-101B-9397-08002B2CF9AE}" pid="10" name="Sensitivity">
    <vt:lpwstr>UNCLASSIFIED</vt:lpwstr>
  </property>
  <property fmtid="{D5CDD505-2E9C-101B-9397-08002B2CF9AE}" pid="11" name="ContentTypeId">
    <vt:lpwstr>0x0101000F7876F10AE18841ABE0DB8188183BAF</vt:lpwstr>
  </property>
</Properties>
</file>