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FD" w:rsidRDefault="00307A67" w:rsidP="00307A67">
      <w:pPr>
        <w:rPr>
          <w:b/>
        </w:rPr>
      </w:pPr>
      <w:r w:rsidRPr="008500AE">
        <w:rPr>
          <w:b/>
          <w:lang w:val="fr-CA" w:bidi="fr-CA"/>
        </w:rPr>
        <w:t xml:space="preserve">Salon de l’innovation </w:t>
      </w:r>
      <w:r w:rsidR="00B2559B">
        <w:rPr>
          <w:b/>
          <w:lang w:val="fr-CA" w:bidi="fr-CA"/>
        </w:rPr>
        <w:t>—</w:t>
      </w:r>
      <w:r w:rsidRPr="008500AE">
        <w:rPr>
          <w:b/>
          <w:lang w:val="fr-CA" w:bidi="fr-CA"/>
        </w:rPr>
        <w:t xml:space="preserve"> Objectif</w:t>
      </w:r>
      <w:r w:rsidR="00B2559B">
        <w:rPr>
          <w:b/>
          <w:lang w:val="fr-CA" w:bidi="fr-CA"/>
        </w:rPr>
        <w:t> </w:t>
      </w:r>
      <w:r w:rsidRPr="008500AE">
        <w:rPr>
          <w:b/>
          <w:lang w:val="fr-CA" w:bidi="fr-CA"/>
        </w:rPr>
        <w:t>2020</w:t>
      </w:r>
    </w:p>
    <w:p w:rsidR="00EB3612" w:rsidRDefault="00EB3612" w:rsidP="00307A67">
      <w:pPr>
        <w:rPr>
          <w:b/>
        </w:rPr>
      </w:pPr>
    </w:p>
    <w:p w:rsidR="00DD44C3" w:rsidRDefault="00EB3612" w:rsidP="00307A67">
      <w:pPr>
        <w:rPr>
          <w:rFonts w:cstheme="minorHAnsi"/>
        </w:rPr>
      </w:pPr>
      <w:proofErr w:type="spellStart"/>
      <w:r w:rsidRPr="00147BE0">
        <w:rPr>
          <w:rFonts w:ascii="Calibri" w:eastAsia="Calibri" w:hAnsi="Calibri" w:cs="Calibri"/>
          <w:b/>
          <w:sz w:val="28"/>
          <w:szCs w:val="28"/>
          <w:lang w:val="fr-CA" w:bidi="fr-CA"/>
        </w:rPr>
        <w:t>FEDérologues</w:t>
      </w:r>
      <w:proofErr w:type="spellEnd"/>
      <w:r w:rsidR="005213E9" w:rsidRPr="00226CAC">
        <w:rPr>
          <w:rFonts w:cstheme="minorHAnsi"/>
          <w:lang w:val="fr-CA" w:bidi="fr-CA"/>
        </w:rPr>
        <w:t xml:space="preserve"> </w:t>
      </w:r>
      <w:r w:rsidR="00B2559B">
        <w:rPr>
          <w:rFonts w:cstheme="minorHAnsi"/>
          <w:lang w:val="fr-CA" w:bidi="fr-CA"/>
        </w:rPr>
        <w:t>—</w:t>
      </w:r>
      <w:r w:rsidR="005213E9" w:rsidRPr="00226CAC">
        <w:rPr>
          <w:rFonts w:cstheme="minorHAnsi"/>
          <w:lang w:val="fr-CA" w:bidi="fr-CA"/>
        </w:rPr>
        <w:t xml:space="preserve"> l</w:t>
      </w:r>
      <w:r w:rsidR="001E3C9E">
        <w:rPr>
          <w:rFonts w:cstheme="minorHAnsi"/>
          <w:lang w:val="fr-CA" w:bidi="fr-CA"/>
        </w:rPr>
        <w:t>a séance d</w:t>
      </w:r>
      <w:r w:rsidR="005213E9" w:rsidRPr="00226CAC">
        <w:rPr>
          <w:rFonts w:cstheme="minorHAnsi"/>
          <w:lang w:val="fr-CA" w:bidi="fr-CA"/>
        </w:rPr>
        <w:t xml:space="preserve">es </w:t>
      </w:r>
      <w:proofErr w:type="spellStart"/>
      <w:r w:rsidR="005213E9" w:rsidRPr="00226CAC">
        <w:rPr>
          <w:rFonts w:cstheme="minorHAnsi"/>
          <w:lang w:val="fr-CA" w:bidi="fr-CA"/>
        </w:rPr>
        <w:t>FEDérologues</w:t>
      </w:r>
      <w:proofErr w:type="spellEnd"/>
      <w:r w:rsidR="005213E9" w:rsidRPr="00226CAC">
        <w:rPr>
          <w:rFonts w:cstheme="minorHAnsi"/>
          <w:lang w:val="fr-CA" w:bidi="fr-CA"/>
        </w:rPr>
        <w:t xml:space="preserve"> </w:t>
      </w:r>
      <w:r w:rsidR="001E3C9E">
        <w:rPr>
          <w:rFonts w:cstheme="minorHAnsi"/>
          <w:lang w:val="fr-CA" w:bidi="fr-CA"/>
        </w:rPr>
        <w:t xml:space="preserve">a </w:t>
      </w:r>
      <w:r w:rsidR="005213E9" w:rsidRPr="00226CAC">
        <w:rPr>
          <w:rFonts w:cstheme="minorHAnsi"/>
          <w:lang w:val="fr-CA" w:bidi="fr-CA"/>
        </w:rPr>
        <w:t>été inauguré</w:t>
      </w:r>
      <w:r w:rsidR="001E3C9E">
        <w:rPr>
          <w:rFonts w:cstheme="minorHAnsi"/>
          <w:lang w:val="fr-CA" w:bidi="fr-CA"/>
        </w:rPr>
        <w:t>e</w:t>
      </w:r>
      <w:r w:rsidR="005213E9" w:rsidRPr="00226CAC">
        <w:rPr>
          <w:rFonts w:cstheme="minorHAnsi"/>
          <w:lang w:val="fr-CA" w:bidi="fr-CA"/>
        </w:rPr>
        <w:t xml:space="preserve"> par Alex</w:t>
      </w:r>
      <w:r w:rsidR="001E3C9E">
        <w:rPr>
          <w:rFonts w:cstheme="minorHAnsi"/>
          <w:lang w:val="fr-CA" w:bidi="fr-CA"/>
        </w:rPr>
        <w:t> </w:t>
      </w:r>
      <w:proofErr w:type="spellStart"/>
      <w:r w:rsidR="005213E9" w:rsidRPr="00226CAC">
        <w:rPr>
          <w:rFonts w:cstheme="minorHAnsi"/>
          <w:lang w:val="fr-CA" w:bidi="fr-CA"/>
        </w:rPr>
        <w:t>Benay</w:t>
      </w:r>
      <w:proofErr w:type="spellEnd"/>
      <w:r w:rsidR="005213E9" w:rsidRPr="00226CAC">
        <w:rPr>
          <w:rFonts w:cstheme="minorHAnsi"/>
          <w:lang w:val="fr-CA" w:bidi="fr-CA"/>
        </w:rPr>
        <w:t xml:space="preserve"> avec un commentaire d</w:t>
      </w:r>
      <w:r w:rsidR="00B2559B">
        <w:rPr>
          <w:rFonts w:cstheme="minorHAnsi"/>
          <w:lang w:val="fr-CA" w:bidi="fr-CA"/>
        </w:rPr>
        <w:t>’</w:t>
      </w:r>
      <w:r w:rsidR="005213E9" w:rsidRPr="00226CAC">
        <w:rPr>
          <w:rFonts w:cstheme="minorHAnsi"/>
          <w:lang w:val="fr-CA" w:bidi="fr-CA"/>
        </w:rPr>
        <w:t xml:space="preserve">ouverture inspirant au sujet des possibilités de participation au Salon de l’innovation </w:t>
      </w:r>
      <w:r w:rsidR="00B2559B">
        <w:rPr>
          <w:rFonts w:cstheme="minorHAnsi"/>
          <w:lang w:val="fr-CA" w:bidi="fr-CA"/>
        </w:rPr>
        <w:t>—</w:t>
      </w:r>
      <w:r w:rsidR="005213E9" w:rsidRPr="00226CAC">
        <w:rPr>
          <w:rFonts w:cstheme="minorHAnsi"/>
          <w:lang w:val="fr-CA" w:bidi="fr-CA"/>
        </w:rPr>
        <w:t xml:space="preserve"> Objectif</w:t>
      </w:r>
      <w:r w:rsidR="00B2559B">
        <w:rPr>
          <w:rFonts w:cstheme="minorHAnsi"/>
          <w:lang w:val="fr-CA" w:bidi="fr-CA"/>
        </w:rPr>
        <w:t> </w:t>
      </w:r>
      <w:r w:rsidR="005213E9" w:rsidRPr="00226CAC">
        <w:rPr>
          <w:rFonts w:cstheme="minorHAnsi"/>
          <w:lang w:val="fr-CA" w:bidi="fr-CA"/>
        </w:rPr>
        <w:t xml:space="preserve">2020. Le </w:t>
      </w:r>
      <w:r w:rsidR="001E3C9E">
        <w:rPr>
          <w:rFonts w:cstheme="minorHAnsi"/>
          <w:lang w:val="fr-CA" w:bidi="fr-CA"/>
        </w:rPr>
        <w:t>groupe d’expert</w:t>
      </w:r>
      <w:r w:rsidR="005213E9" w:rsidRPr="00226CAC">
        <w:rPr>
          <w:rFonts w:cstheme="minorHAnsi"/>
          <w:lang w:val="fr-CA" w:bidi="fr-CA"/>
        </w:rPr>
        <w:t xml:space="preserve"> était dirigé par Laura</w:t>
      </w:r>
      <w:r w:rsidR="001E3C9E">
        <w:rPr>
          <w:rFonts w:cstheme="minorHAnsi"/>
          <w:lang w:val="fr-CA" w:bidi="fr-CA"/>
        </w:rPr>
        <w:t> </w:t>
      </w:r>
      <w:r w:rsidR="005213E9" w:rsidRPr="00226CAC">
        <w:rPr>
          <w:rFonts w:cstheme="minorHAnsi"/>
          <w:lang w:val="fr-CA" w:bidi="fr-CA"/>
        </w:rPr>
        <w:t xml:space="preserve">Wesley du BCP et comprenait des </w:t>
      </w:r>
      <w:r w:rsidR="001E3C9E">
        <w:rPr>
          <w:rFonts w:cstheme="minorHAnsi"/>
          <w:lang w:val="fr-CA" w:bidi="fr-CA"/>
        </w:rPr>
        <w:t>experts</w:t>
      </w:r>
      <w:r w:rsidR="005213E9" w:rsidRPr="00226CAC">
        <w:rPr>
          <w:rFonts w:cstheme="minorHAnsi"/>
          <w:lang w:val="fr-CA" w:bidi="fr-CA"/>
        </w:rPr>
        <w:t xml:space="preserve"> provenant de différents milieux</w:t>
      </w:r>
      <w:r w:rsidR="00B2559B">
        <w:rPr>
          <w:rFonts w:cstheme="minorHAnsi"/>
          <w:lang w:val="fr-CA" w:bidi="fr-CA"/>
        </w:rPr>
        <w:t> </w:t>
      </w:r>
      <w:r w:rsidR="005213E9" w:rsidRPr="00226CAC">
        <w:rPr>
          <w:rFonts w:cstheme="minorHAnsi"/>
          <w:lang w:val="fr-CA" w:bidi="fr-CA"/>
        </w:rPr>
        <w:t>: Sage</w:t>
      </w:r>
      <w:r w:rsidR="001E3C9E">
        <w:rPr>
          <w:rFonts w:cstheme="minorHAnsi"/>
          <w:lang w:val="fr-CA" w:bidi="fr-CA"/>
        </w:rPr>
        <w:t> </w:t>
      </w:r>
      <w:proofErr w:type="spellStart"/>
      <w:r w:rsidR="005213E9" w:rsidRPr="00226CAC">
        <w:rPr>
          <w:rFonts w:cstheme="minorHAnsi"/>
          <w:lang w:val="fr-CA" w:bidi="fr-CA"/>
        </w:rPr>
        <w:t>Cram</w:t>
      </w:r>
      <w:proofErr w:type="spellEnd"/>
      <w:r w:rsidR="005213E9" w:rsidRPr="00226CAC">
        <w:rPr>
          <w:rFonts w:cstheme="minorHAnsi"/>
          <w:lang w:val="fr-CA" w:bidi="fr-CA"/>
        </w:rPr>
        <w:t xml:space="preserve"> (</w:t>
      </w:r>
      <w:proofErr w:type="spellStart"/>
      <w:r w:rsidR="005213E9" w:rsidRPr="00226CAC">
        <w:rPr>
          <w:rFonts w:cstheme="minorHAnsi"/>
          <w:lang w:val="fr-CA" w:bidi="fr-CA"/>
        </w:rPr>
        <w:t>RHDSC</w:t>
      </w:r>
      <w:proofErr w:type="spellEnd"/>
      <w:r w:rsidR="005213E9" w:rsidRPr="00226CAC">
        <w:rPr>
          <w:rFonts w:cstheme="minorHAnsi"/>
          <w:lang w:val="fr-CA" w:bidi="fr-CA"/>
        </w:rPr>
        <w:t>); Claudie</w:t>
      </w:r>
      <w:r w:rsidR="001E3C9E">
        <w:rPr>
          <w:rFonts w:cstheme="minorHAnsi"/>
          <w:lang w:val="fr-CA" w:bidi="fr-CA"/>
        </w:rPr>
        <w:t> </w:t>
      </w:r>
      <w:r w:rsidR="005213E9" w:rsidRPr="00226CAC">
        <w:rPr>
          <w:rFonts w:cstheme="minorHAnsi"/>
          <w:lang w:val="fr-CA" w:bidi="fr-CA"/>
        </w:rPr>
        <w:t>Larouche (S</w:t>
      </w:r>
      <w:r w:rsidR="00343E4C">
        <w:rPr>
          <w:rFonts w:cstheme="minorHAnsi"/>
          <w:lang w:val="fr-CA" w:bidi="fr-CA"/>
        </w:rPr>
        <w:t>P</w:t>
      </w:r>
      <w:r w:rsidR="005213E9" w:rsidRPr="00226CAC">
        <w:rPr>
          <w:rFonts w:cstheme="minorHAnsi"/>
          <w:lang w:val="fr-CA" w:bidi="fr-CA"/>
        </w:rPr>
        <w:t>C); Ryan</w:t>
      </w:r>
      <w:r w:rsidR="001E3C9E">
        <w:rPr>
          <w:rFonts w:cstheme="minorHAnsi"/>
          <w:lang w:val="fr-CA" w:bidi="fr-CA"/>
        </w:rPr>
        <w:t> </w:t>
      </w:r>
      <w:r w:rsidR="005213E9" w:rsidRPr="00226CAC">
        <w:rPr>
          <w:rFonts w:cstheme="minorHAnsi"/>
          <w:lang w:val="fr-CA" w:bidi="fr-CA"/>
        </w:rPr>
        <w:t xml:space="preserve">Hum (CIC) et Jennifer </w:t>
      </w:r>
      <w:proofErr w:type="spellStart"/>
      <w:r w:rsidR="005213E9" w:rsidRPr="00226CAC">
        <w:rPr>
          <w:rFonts w:cstheme="minorHAnsi"/>
          <w:lang w:val="fr-CA" w:bidi="fr-CA"/>
        </w:rPr>
        <w:t>Leenhouts</w:t>
      </w:r>
      <w:proofErr w:type="spellEnd"/>
      <w:r w:rsidR="005213E9" w:rsidRPr="00226CAC">
        <w:rPr>
          <w:rFonts w:cstheme="minorHAnsi"/>
          <w:lang w:val="fr-CA" w:bidi="fr-CA"/>
        </w:rPr>
        <w:t xml:space="preserve"> (EDSC et coprésidente du REH). Quatre questions ont été posées, suivies d</w:t>
      </w:r>
      <w:r w:rsidR="00B2559B">
        <w:rPr>
          <w:rFonts w:cstheme="minorHAnsi"/>
          <w:lang w:val="fr-CA" w:bidi="fr-CA"/>
        </w:rPr>
        <w:t>’</w:t>
      </w:r>
      <w:r w:rsidR="005213E9" w:rsidRPr="00226CAC">
        <w:rPr>
          <w:rFonts w:cstheme="minorHAnsi"/>
          <w:lang w:val="fr-CA" w:bidi="fr-CA"/>
        </w:rPr>
        <w:t>une discussion et d</w:t>
      </w:r>
      <w:r w:rsidR="00B2559B">
        <w:rPr>
          <w:rFonts w:cstheme="minorHAnsi"/>
          <w:lang w:val="fr-CA" w:bidi="fr-CA"/>
        </w:rPr>
        <w:t>’</w:t>
      </w:r>
      <w:r w:rsidR="005213E9" w:rsidRPr="00226CAC">
        <w:rPr>
          <w:rFonts w:cstheme="minorHAnsi"/>
          <w:lang w:val="fr-CA" w:bidi="fr-CA"/>
        </w:rPr>
        <w:t xml:space="preserve">une période de questions. </w:t>
      </w:r>
    </w:p>
    <w:p w:rsidR="00B87A69" w:rsidRDefault="00B87A69" w:rsidP="00307A67">
      <w:pPr>
        <w:rPr>
          <w:rFonts w:cstheme="minorHAnsi"/>
        </w:rPr>
      </w:pPr>
    </w:p>
    <w:p w:rsidR="00B87A69" w:rsidRDefault="00B87A69" w:rsidP="00307A67">
      <w:pPr>
        <w:pStyle w:val="Paragraphedeliste"/>
        <w:numPr>
          <w:ilvl w:val="0"/>
          <w:numId w:val="6"/>
        </w:numPr>
        <w:rPr>
          <w:rFonts w:cstheme="minorHAnsi"/>
        </w:rPr>
      </w:pPr>
      <w:r w:rsidRPr="00B87A69">
        <w:rPr>
          <w:rFonts w:cstheme="minorHAnsi"/>
          <w:lang w:val="fr-CA" w:bidi="fr-CA"/>
        </w:rPr>
        <w:t>Comment appliquez-vous les méthodes de conception dans votre domaine? Dans le contexte du Plan de transformation des services et du REH, j</w:t>
      </w:r>
      <w:r w:rsidR="00B2559B">
        <w:rPr>
          <w:rFonts w:cstheme="minorHAnsi"/>
          <w:lang w:val="fr-CA" w:bidi="fr-CA"/>
        </w:rPr>
        <w:t>’</w:t>
      </w:r>
      <w:r w:rsidRPr="00B87A69">
        <w:rPr>
          <w:rFonts w:cstheme="minorHAnsi"/>
          <w:lang w:val="fr-CA" w:bidi="fr-CA"/>
        </w:rPr>
        <w:t>ai parlé du travail avec l’outil Accelerator qui utilise le modèle de pensée conceptuelle pour trouver des solutions qui profitent aux Canadiens. Le modèle de pensée conceptuelle lors de l</w:t>
      </w:r>
      <w:r w:rsidR="00B2559B">
        <w:rPr>
          <w:rFonts w:cstheme="minorHAnsi"/>
          <w:lang w:val="fr-CA" w:bidi="fr-CA"/>
        </w:rPr>
        <w:t>’</w:t>
      </w:r>
      <w:r w:rsidRPr="00B87A69">
        <w:rPr>
          <w:rFonts w:cstheme="minorHAnsi"/>
          <w:lang w:val="fr-CA" w:bidi="fr-CA"/>
        </w:rPr>
        <w:t>atelier Accès-Habil</w:t>
      </w:r>
      <w:r w:rsidR="001E3C9E">
        <w:rPr>
          <w:rFonts w:cstheme="minorHAnsi"/>
          <w:lang w:val="fr-CA" w:bidi="fr-CA"/>
        </w:rPr>
        <w:t>i</w:t>
      </w:r>
      <w:r w:rsidRPr="00B87A69">
        <w:rPr>
          <w:rFonts w:cstheme="minorHAnsi"/>
          <w:lang w:val="fr-CA" w:bidi="fr-CA"/>
        </w:rPr>
        <w:t>té du Salon de l’innovation s</w:t>
      </w:r>
      <w:r w:rsidR="00B2559B">
        <w:rPr>
          <w:rFonts w:cstheme="minorHAnsi"/>
          <w:lang w:val="fr-CA" w:bidi="fr-CA"/>
        </w:rPr>
        <w:t>’</w:t>
      </w:r>
      <w:r w:rsidRPr="00B87A69">
        <w:rPr>
          <w:rFonts w:cstheme="minorHAnsi"/>
          <w:lang w:val="fr-CA" w:bidi="fr-CA"/>
        </w:rPr>
        <w:t xml:space="preserve">est penché sur les problèmes et les solutions qui touchent les personnes handicapées, afin de promouvoir un changement </w:t>
      </w:r>
      <w:r w:rsidR="00F7413E">
        <w:rPr>
          <w:rFonts w:cstheme="minorHAnsi"/>
          <w:lang w:val="fr-CA" w:bidi="fr-CA"/>
        </w:rPr>
        <w:t>de culture</w:t>
      </w:r>
      <w:r w:rsidRPr="00B87A69">
        <w:rPr>
          <w:rFonts w:cstheme="minorHAnsi"/>
          <w:lang w:val="fr-CA" w:bidi="fr-CA"/>
        </w:rPr>
        <w:t xml:space="preserve"> et </w:t>
      </w:r>
      <w:r w:rsidR="00F7413E">
        <w:rPr>
          <w:rFonts w:cstheme="minorHAnsi"/>
          <w:lang w:val="fr-CA" w:bidi="fr-CA"/>
        </w:rPr>
        <w:t>l</w:t>
      </w:r>
      <w:r w:rsidRPr="00B87A69">
        <w:rPr>
          <w:rFonts w:cstheme="minorHAnsi"/>
          <w:lang w:val="fr-CA" w:bidi="fr-CA"/>
        </w:rPr>
        <w:t xml:space="preserve">e développement de carrière, </w:t>
      </w:r>
      <w:r w:rsidR="00F7413E">
        <w:rPr>
          <w:rFonts w:cstheme="minorHAnsi"/>
          <w:lang w:val="fr-CA" w:bidi="fr-CA"/>
        </w:rPr>
        <w:t>pour en faire</w:t>
      </w:r>
      <w:r w:rsidRPr="00B87A69">
        <w:rPr>
          <w:rFonts w:cstheme="minorHAnsi"/>
          <w:lang w:val="fr-CA" w:bidi="fr-CA"/>
        </w:rPr>
        <w:t xml:space="preserve"> une expérience utilisateur complète.</w:t>
      </w:r>
    </w:p>
    <w:p w:rsidR="00B87A69" w:rsidRDefault="00B87A69" w:rsidP="00307A67">
      <w:pPr>
        <w:pStyle w:val="Paragraphedeliste"/>
        <w:numPr>
          <w:ilvl w:val="0"/>
          <w:numId w:val="6"/>
        </w:numPr>
        <w:rPr>
          <w:rFonts w:cstheme="minorHAnsi"/>
        </w:rPr>
      </w:pPr>
      <w:r w:rsidRPr="00B87A69">
        <w:rPr>
          <w:rFonts w:cstheme="minorHAnsi"/>
          <w:lang w:val="fr-CA" w:bidi="fr-CA"/>
        </w:rPr>
        <w:t>En quoi consiste la proposition de valeur sur la conception inclusive? J</w:t>
      </w:r>
      <w:r w:rsidR="00B2559B">
        <w:rPr>
          <w:rFonts w:cstheme="minorHAnsi"/>
          <w:lang w:val="fr-CA" w:bidi="fr-CA"/>
        </w:rPr>
        <w:t>’</w:t>
      </w:r>
      <w:r w:rsidRPr="00B87A69">
        <w:rPr>
          <w:rFonts w:cstheme="minorHAnsi"/>
          <w:lang w:val="fr-CA" w:bidi="fr-CA"/>
        </w:rPr>
        <w:t>ai abordé la question de la nécessité d</w:t>
      </w:r>
      <w:r w:rsidR="00B2559B">
        <w:rPr>
          <w:rFonts w:cstheme="minorHAnsi"/>
          <w:lang w:val="fr-CA" w:bidi="fr-CA"/>
        </w:rPr>
        <w:t>’</w:t>
      </w:r>
      <w:r w:rsidRPr="00B87A69">
        <w:rPr>
          <w:rFonts w:cstheme="minorHAnsi"/>
          <w:lang w:val="fr-CA" w:bidi="fr-CA"/>
        </w:rPr>
        <w:t>adopter une optique inclusive, non seulement pour se conformer aux normes actuelles, mais aussi pour élaborer tout programme et produit</w:t>
      </w:r>
      <w:r w:rsidR="00F7413E">
        <w:rPr>
          <w:rFonts w:cstheme="minorHAnsi"/>
          <w:lang w:val="fr-CA" w:bidi="fr-CA"/>
        </w:rPr>
        <w:t>, et ce, dè</w:t>
      </w:r>
      <w:r w:rsidRPr="00B87A69">
        <w:rPr>
          <w:rFonts w:cstheme="minorHAnsi"/>
          <w:lang w:val="fr-CA" w:bidi="fr-CA"/>
        </w:rPr>
        <w:t>s le départ. Le PTS met de l</w:t>
      </w:r>
      <w:r w:rsidR="00B2559B">
        <w:rPr>
          <w:rFonts w:cstheme="minorHAnsi"/>
          <w:lang w:val="fr-CA" w:bidi="fr-CA"/>
        </w:rPr>
        <w:t>’</w:t>
      </w:r>
      <w:r w:rsidRPr="00B87A69">
        <w:rPr>
          <w:rFonts w:cstheme="minorHAnsi"/>
          <w:lang w:val="fr-CA" w:bidi="fr-CA"/>
        </w:rPr>
        <w:t xml:space="preserve">avant le cadre d’Accessibilité conceptuelle qui se chargera du premier développement de cette optique. </w:t>
      </w:r>
    </w:p>
    <w:p w:rsidR="00B87A69" w:rsidRDefault="00B87A69" w:rsidP="00307A67">
      <w:pPr>
        <w:pStyle w:val="Paragraphedeliste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lang w:val="fr-CA" w:bidi="fr-CA"/>
        </w:rPr>
        <w:t>Qu’est-ce qui vous empêchait, votre équipe, votre ministère et vous de créer des produits, des services et des politiques axés sur l</w:t>
      </w:r>
      <w:r w:rsidR="00B2559B">
        <w:rPr>
          <w:rFonts w:cstheme="minorHAnsi"/>
          <w:lang w:val="fr-CA" w:bidi="fr-CA"/>
        </w:rPr>
        <w:t>’</w:t>
      </w:r>
      <w:r>
        <w:rPr>
          <w:rFonts w:cstheme="minorHAnsi"/>
          <w:lang w:val="fr-CA" w:bidi="fr-CA"/>
        </w:rPr>
        <w:t>utilisateur? J’ai mentionné que c’est un élément d</w:t>
      </w:r>
      <w:r w:rsidR="00B2559B">
        <w:rPr>
          <w:rFonts w:cstheme="minorHAnsi"/>
          <w:lang w:val="fr-CA" w:bidi="fr-CA"/>
        </w:rPr>
        <w:t>’</w:t>
      </w:r>
      <w:r>
        <w:rPr>
          <w:rFonts w:cstheme="minorHAnsi"/>
          <w:lang w:val="fr-CA" w:bidi="fr-CA"/>
        </w:rPr>
        <w:t>éducation globale qui, si on s</w:t>
      </w:r>
      <w:r w:rsidR="00B2559B">
        <w:rPr>
          <w:rFonts w:cstheme="minorHAnsi"/>
          <w:lang w:val="fr-CA" w:bidi="fr-CA"/>
        </w:rPr>
        <w:t>’</w:t>
      </w:r>
      <w:r>
        <w:rPr>
          <w:rFonts w:cstheme="minorHAnsi"/>
          <w:lang w:val="fr-CA" w:bidi="fr-CA"/>
        </w:rPr>
        <w:t>y attaque</w:t>
      </w:r>
      <w:r w:rsidR="00F7413E">
        <w:rPr>
          <w:rFonts w:cstheme="minorHAnsi"/>
          <w:lang w:val="fr-CA" w:bidi="fr-CA"/>
        </w:rPr>
        <w:t xml:space="preserve"> sérieusement</w:t>
      </w:r>
      <w:r>
        <w:rPr>
          <w:rFonts w:cstheme="minorHAnsi"/>
          <w:lang w:val="fr-CA" w:bidi="fr-CA"/>
        </w:rPr>
        <w:t>, pourrait connaître un taux de réussite très élevé. Il y a encore du travail à faire en matière d</w:t>
      </w:r>
      <w:r w:rsidR="00B2559B">
        <w:rPr>
          <w:rFonts w:cstheme="minorHAnsi"/>
          <w:lang w:val="fr-CA" w:bidi="fr-CA"/>
        </w:rPr>
        <w:t>’</w:t>
      </w:r>
      <w:r>
        <w:rPr>
          <w:rFonts w:cstheme="minorHAnsi"/>
          <w:lang w:val="fr-CA" w:bidi="fr-CA"/>
        </w:rPr>
        <w:t>OPMA; il faut rendre les lieux et les documents accessibles à tous et renforcer la confiance par le biais d</w:t>
      </w:r>
      <w:r w:rsidR="0082544E">
        <w:rPr>
          <w:rFonts w:cstheme="minorHAnsi"/>
          <w:lang w:val="fr-CA" w:bidi="fr-CA"/>
        </w:rPr>
        <w:t>’</w:t>
      </w:r>
      <w:r>
        <w:rPr>
          <w:rFonts w:cstheme="minorHAnsi"/>
          <w:lang w:val="fr-CA" w:bidi="fr-CA"/>
        </w:rPr>
        <w:t>apprentissages en matière d’invalidité épisodique et de santé mentale.</w:t>
      </w:r>
    </w:p>
    <w:p w:rsidR="00EB3612" w:rsidRPr="00717302" w:rsidRDefault="00717302" w:rsidP="00717302">
      <w:pPr>
        <w:pStyle w:val="Paragraphedeliste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lang w:val="fr-CA" w:bidi="fr-CA"/>
        </w:rPr>
        <w:t>Que pourrions-nous faire différemment afin que le travail soit davantage centré sur l’être humain? J</w:t>
      </w:r>
      <w:r w:rsidR="00B2559B">
        <w:rPr>
          <w:rFonts w:cstheme="minorHAnsi"/>
          <w:lang w:val="fr-CA" w:bidi="fr-CA"/>
        </w:rPr>
        <w:t>’</w:t>
      </w:r>
      <w:r>
        <w:rPr>
          <w:rFonts w:cstheme="minorHAnsi"/>
          <w:lang w:val="fr-CA" w:bidi="fr-CA"/>
        </w:rPr>
        <w:t>ai mentionné le fait que le PTS est, tout au long de son cycle de vie, entièrement centré sur le client, ce qui simplifie les programmes et leur</w:t>
      </w:r>
      <w:r w:rsidR="0082544E">
        <w:rPr>
          <w:rFonts w:cstheme="minorHAnsi"/>
          <w:lang w:val="fr-CA" w:bidi="fr-CA"/>
        </w:rPr>
        <w:t>s</w:t>
      </w:r>
      <w:r>
        <w:rPr>
          <w:rFonts w:cstheme="minorHAnsi"/>
          <w:lang w:val="fr-CA" w:bidi="fr-CA"/>
        </w:rPr>
        <w:t xml:space="preserve"> application</w:t>
      </w:r>
      <w:r w:rsidR="0082544E">
        <w:rPr>
          <w:rFonts w:cstheme="minorHAnsi"/>
          <w:lang w:val="fr-CA" w:bidi="fr-CA"/>
        </w:rPr>
        <w:t>s</w:t>
      </w:r>
      <w:r>
        <w:rPr>
          <w:rFonts w:cstheme="minorHAnsi"/>
          <w:lang w:val="fr-CA" w:bidi="fr-CA"/>
        </w:rPr>
        <w:t xml:space="preserve"> auprès des Canadiens. </w:t>
      </w:r>
    </w:p>
    <w:p w:rsidR="00E50091" w:rsidRPr="005213E9" w:rsidRDefault="00E50091" w:rsidP="00307A67">
      <w:pPr>
        <w:rPr>
          <w:rFonts w:ascii="Calibri" w:hAnsi="Calibri"/>
        </w:rPr>
      </w:pPr>
    </w:p>
    <w:p w:rsidR="00EB3612" w:rsidRDefault="00EB3612" w:rsidP="00307A67">
      <w:proofErr w:type="spellStart"/>
      <w:r w:rsidRPr="00226CAC">
        <w:rPr>
          <w:b/>
          <w:lang w:val="fr-CA" w:bidi="fr-CA"/>
        </w:rPr>
        <w:t>Balado</w:t>
      </w:r>
      <w:proofErr w:type="spellEnd"/>
      <w:r w:rsidRPr="00226CAC">
        <w:rPr>
          <w:lang w:val="fr-CA" w:bidi="fr-CA"/>
        </w:rPr>
        <w:t xml:space="preserve"> </w:t>
      </w:r>
      <w:r w:rsidR="00B2559B">
        <w:rPr>
          <w:lang w:val="fr-CA" w:bidi="fr-CA"/>
        </w:rPr>
        <w:t>—</w:t>
      </w:r>
      <w:r w:rsidRPr="00226CAC">
        <w:rPr>
          <w:lang w:val="fr-CA" w:bidi="fr-CA"/>
        </w:rPr>
        <w:t xml:space="preserve"> André</w:t>
      </w:r>
      <w:r w:rsidR="001E3C9E">
        <w:rPr>
          <w:lang w:val="fr-CA" w:bidi="fr-CA"/>
        </w:rPr>
        <w:t> </w:t>
      </w:r>
      <w:r w:rsidRPr="00226CAC">
        <w:rPr>
          <w:lang w:val="fr-CA" w:bidi="fr-CA"/>
        </w:rPr>
        <w:t>Demers a été interviewé dans le cadre d</w:t>
      </w:r>
      <w:r w:rsidR="00B2559B">
        <w:rPr>
          <w:lang w:val="fr-CA" w:bidi="fr-CA"/>
        </w:rPr>
        <w:t>’</w:t>
      </w:r>
      <w:r w:rsidRPr="00226CAC">
        <w:rPr>
          <w:lang w:val="fr-CA" w:bidi="fr-CA"/>
        </w:rPr>
        <w:t xml:space="preserve">un </w:t>
      </w:r>
      <w:proofErr w:type="spellStart"/>
      <w:r w:rsidRPr="00226CAC">
        <w:rPr>
          <w:lang w:val="fr-CA" w:bidi="fr-CA"/>
        </w:rPr>
        <w:t>balado</w:t>
      </w:r>
      <w:proofErr w:type="spellEnd"/>
      <w:r w:rsidRPr="00226CAC">
        <w:rPr>
          <w:lang w:val="fr-CA" w:bidi="fr-CA"/>
        </w:rPr>
        <w:t xml:space="preserve"> et a eu l</w:t>
      </w:r>
      <w:r w:rsidR="00B2559B">
        <w:rPr>
          <w:lang w:val="fr-CA" w:bidi="fr-CA"/>
        </w:rPr>
        <w:t>’</w:t>
      </w:r>
      <w:r w:rsidRPr="00226CAC">
        <w:rPr>
          <w:lang w:val="fr-CA" w:bidi="fr-CA"/>
        </w:rPr>
        <w:t>occasion de promouvoir le Réseau des employés handicapés (REH) auprès de tous les employés d’EDSC, ainsi qu’à l’atelier Accès-Habil</w:t>
      </w:r>
      <w:r w:rsidR="001E3C9E">
        <w:rPr>
          <w:lang w:val="fr-CA" w:bidi="fr-CA"/>
        </w:rPr>
        <w:t>i</w:t>
      </w:r>
      <w:r w:rsidRPr="00226CAC">
        <w:rPr>
          <w:lang w:val="fr-CA" w:bidi="fr-CA"/>
        </w:rPr>
        <w:t>té</w:t>
      </w:r>
      <w:r w:rsidR="0082544E">
        <w:rPr>
          <w:lang w:val="fr-CA" w:bidi="fr-CA"/>
        </w:rPr>
        <w:t>.</w:t>
      </w:r>
      <w:r w:rsidRPr="00226CAC">
        <w:rPr>
          <w:lang w:val="fr-CA" w:bidi="fr-CA"/>
        </w:rPr>
        <w:t xml:space="preserve"> Restez branchés, le </w:t>
      </w:r>
      <w:proofErr w:type="spellStart"/>
      <w:r w:rsidRPr="00226CAC">
        <w:rPr>
          <w:lang w:val="fr-CA" w:bidi="fr-CA"/>
        </w:rPr>
        <w:t>balado</w:t>
      </w:r>
      <w:proofErr w:type="spellEnd"/>
      <w:r w:rsidRPr="00226CAC">
        <w:rPr>
          <w:lang w:val="fr-CA" w:bidi="fr-CA"/>
        </w:rPr>
        <w:t xml:space="preserve"> sera bientôt </w:t>
      </w:r>
      <w:r w:rsidR="00B2559B">
        <w:rPr>
          <w:lang w:val="fr-CA" w:bidi="fr-CA"/>
        </w:rPr>
        <w:t>offert</w:t>
      </w:r>
      <w:r w:rsidRPr="00226CAC">
        <w:rPr>
          <w:lang w:val="fr-CA" w:bidi="fr-CA"/>
        </w:rPr>
        <w:t xml:space="preserve"> sur Intersection.</w:t>
      </w:r>
    </w:p>
    <w:p w:rsidR="00B87A69" w:rsidRPr="00B87A69" w:rsidRDefault="00B87A69" w:rsidP="00307A67"/>
    <w:p w:rsidR="00EB3612" w:rsidRDefault="00EB3612" w:rsidP="00307A67"/>
    <w:p w:rsidR="00EB3612" w:rsidRPr="00EB3612" w:rsidRDefault="00EB3612" w:rsidP="00307A67"/>
    <w:p w:rsidR="00307A67" w:rsidRPr="008500AE" w:rsidRDefault="00307A67" w:rsidP="00307A67">
      <w:pPr>
        <w:rPr>
          <w:b/>
        </w:rPr>
      </w:pPr>
    </w:p>
    <w:p w:rsidR="00307A67" w:rsidRPr="008500AE" w:rsidRDefault="00307A67" w:rsidP="001E3C9E">
      <w:pPr>
        <w:keepNext/>
        <w:rPr>
          <w:b/>
        </w:rPr>
      </w:pPr>
      <w:r w:rsidRPr="008500AE">
        <w:rPr>
          <w:b/>
          <w:lang w:val="fr-CA" w:bidi="fr-CA"/>
        </w:rPr>
        <w:lastRenderedPageBreak/>
        <w:t>Atelier Accès-Habil</w:t>
      </w:r>
      <w:r w:rsidR="001E3C9E">
        <w:rPr>
          <w:b/>
          <w:lang w:val="fr-CA" w:bidi="fr-CA"/>
        </w:rPr>
        <w:t>i</w:t>
      </w:r>
      <w:r w:rsidRPr="008500AE">
        <w:rPr>
          <w:b/>
          <w:lang w:val="fr-CA" w:bidi="fr-CA"/>
        </w:rPr>
        <w:t>té</w:t>
      </w:r>
    </w:p>
    <w:p w:rsidR="00307A67" w:rsidRDefault="00307A67" w:rsidP="001E3C9E">
      <w:pPr>
        <w:keepNext/>
      </w:pPr>
    </w:p>
    <w:p w:rsidR="00E50091" w:rsidRDefault="00E50091" w:rsidP="001E3C9E">
      <w:pPr>
        <w:keepNext/>
      </w:pPr>
      <w:r>
        <w:rPr>
          <w:lang w:val="fr-CA" w:bidi="fr-CA"/>
        </w:rPr>
        <w:t>L</w:t>
      </w:r>
      <w:r w:rsidR="00B2559B">
        <w:rPr>
          <w:lang w:val="fr-CA" w:bidi="fr-CA"/>
        </w:rPr>
        <w:t>’</w:t>
      </w:r>
      <w:r>
        <w:rPr>
          <w:lang w:val="fr-CA" w:bidi="fr-CA"/>
        </w:rPr>
        <w:t>atelier Accès-Habil</w:t>
      </w:r>
      <w:r w:rsidR="001E3C9E">
        <w:rPr>
          <w:lang w:val="fr-CA" w:bidi="fr-CA"/>
        </w:rPr>
        <w:t>i</w:t>
      </w:r>
      <w:r>
        <w:rPr>
          <w:lang w:val="fr-CA" w:bidi="fr-CA"/>
        </w:rPr>
        <w:t>té a été conçu pour être complètement accessible; beaucoup d</w:t>
      </w:r>
      <w:r w:rsidR="00B2559B">
        <w:rPr>
          <w:lang w:val="fr-CA" w:bidi="fr-CA"/>
        </w:rPr>
        <w:t>’</w:t>
      </w:r>
      <w:r>
        <w:rPr>
          <w:lang w:val="fr-CA" w:bidi="fr-CA"/>
        </w:rPr>
        <w:t xml:space="preserve">espace, </w:t>
      </w:r>
      <w:r w:rsidR="007E4F0F">
        <w:rPr>
          <w:lang w:val="fr-CA" w:bidi="fr-CA"/>
        </w:rPr>
        <w:t>une</w:t>
      </w:r>
      <w:r>
        <w:rPr>
          <w:lang w:val="fr-CA" w:bidi="fr-CA"/>
        </w:rPr>
        <w:t xml:space="preserve"> communication par sous-titrage en temps réel </w:t>
      </w:r>
      <w:r w:rsidR="007E4F0F">
        <w:rPr>
          <w:lang w:val="fr-CA" w:bidi="fr-CA"/>
        </w:rPr>
        <w:t>(</w:t>
      </w:r>
      <w:r>
        <w:rPr>
          <w:lang w:val="fr-CA" w:bidi="fr-CA"/>
        </w:rPr>
        <w:t>système CART</w:t>
      </w:r>
      <w:r w:rsidR="007E4F0F">
        <w:rPr>
          <w:lang w:val="fr-CA" w:bidi="fr-CA"/>
        </w:rPr>
        <w:t>)</w:t>
      </w:r>
      <w:r>
        <w:rPr>
          <w:lang w:val="fr-CA" w:bidi="fr-CA"/>
        </w:rPr>
        <w:t>, le langage gestuel et la traduction simultanée. Le niveau d</w:t>
      </w:r>
      <w:r w:rsidR="00B2559B">
        <w:rPr>
          <w:lang w:val="fr-CA" w:bidi="fr-CA"/>
        </w:rPr>
        <w:t>’</w:t>
      </w:r>
      <w:r>
        <w:rPr>
          <w:lang w:val="fr-CA" w:bidi="fr-CA"/>
        </w:rPr>
        <w:t>intérêt était très élevé</w:t>
      </w:r>
      <w:r w:rsidR="007E4F0F">
        <w:rPr>
          <w:lang w:val="fr-CA" w:bidi="fr-CA"/>
        </w:rPr>
        <w:t>;</w:t>
      </w:r>
      <w:r>
        <w:rPr>
          <w:lang w:val="fr-CA" w:bidi="fr-CA"/>
        </w:rPr>
        <w:t xml:space="preserve"> tous les ateliers ont fait salle comble </w:t>
      </w:r>
      <w:r w:rsidR="007E4F0F">
        <w:rPr>
          <w:lang w:val="fr-CA" w:bidi="fr-CA"/>
        </w:rPr>
        <w:t>et avaient</w:t>
      </w:r>
      <w:r>
        <w:rPr>
          <w:lang w:val="fr-CA" w:bidi="fr-CA"/>
        </w:rPr>
        <w:t xml:space="preserve"> des files d</w:t>
      </w:r>
      <w:r w:rsidR="00B2559B">
        <w:rPr>
          <w:lang w:val="fr-CA" w:bidi="fr-CA"/>
        </w:rPr>
        <w:t>’</w:t>
      </w:r>
      <w:r>
        <w:rPr>
          <w:lang w:val="fr-CA" w:bidi="fr-CA"/>
        </w:rPr>
        <w:t xml:space="preserve">attente. </w:t>
      </w:r>
    </w:p>
    <w:p w:rsidR="00BA4F51" w:rsidRDefault="00BA4F51" w:rsidP="00307A67"/>
    <w:p w:rsidR="00BA4F51" w:rsidRDefault="00BA4F51" w:rsidP="00BA4F51">
      <w:pPr>
        <w:pStyle w:val="Paragraphedeliste"/>
        <w:numPr>
          <w:ilvl w:val="0"/>
          <w:numId w:val="8"/>
        </w:numPr>
        <w:spacing w:after="200" w:line="264" w:lineRule="auto"/>
        <w:rPr>
          <w:rFonts w:cs="Helvetica"/>
          <w:lang w:eastAsia="en-CA"/>
        </w:rPr>
      </w:pPr>
      <w:r>
        <w:rPr>
          <w:lang w:val="fr-CA" w:bidi="fr-CA"/>
        </w:rPr>
        <w:t>Toutes les présentations sont affichées sur</w:t>
      </w:r>
      <w:r w:rsidR="00B2559B">
        <w:rPr>
          <w:lang w:val="fr-CA" w:bidi="fr-CA"/>
        </w:rPr>
        <w:t> </w:t>
      </w:r>
      <w:r>
        <w:rPr>
          <w:lang w:val="fr-CA" w:bidi="fr-CA"/>
        </w:rPr>
        <w:t xml:space="preserve">: </w:t>
      </w:r>
      <w:hyperlink r:id="rId11" w:history="1">
        <w:r w:rsidRPr="00E1635B">
          <w:rPr>
            <w:rStyle w:val="Lienhypertexte"/>
            <w:rFonts w:ascii="Calibri" w:eastAsia="Calibri" w:hAnsi="Calibri" w:cs="Helvetica"/>
            <w:lang w:val="fr-CA" w:bidi="fr-CA"/>
          </w:rPr>
          <w:t>Ateliers du Salon de l’innovation</w:t>
        </w:r>
        <w:r w:rsidR="00042B71">
          <w:rPr>
            <w:rStyle w:val="Lienhypertexte"/>
            <w:rFonts w:ascii="Calibri" w:eastAsia="Calibri" w:hAnsi="Calibri" w:cs="Helvetica"/>
            <w:lang w:val="fr-CA" w:bidi="fr-CA"/>
          </w:rPr>
          <w:t xml:space="preserve"> - </w:t>
        </w:r>
        <w:r w:rsidRPr="00E1635B">
          <w:rPr>
            <w:rStyle w:val="Lienhypertexte"/>
            <w:rFonts w:ascii="Calibri" w:eastAsia="Calibri" w:hAnsi="Calibri" w:cs="Helvetica"/>
            <w:lang w:val="fr-CA" w:bidi="fr-CA"/>
          </w:rPr>
          <w:t>Objectif</w:t>
        </w:r>
        <w:r w:rsidR="00B2559B">
          <w:rPr>
            <w:rStyle w:val="Lienhypertexte"/>
            <w:rFonts w:ascii="Calibri" w:eastAsia="Calibri" w:hAnsi="Calibri" w:cs="Helvetica"/>
            <w:lang w:val="fr-CA" w:bidi="fr-CA"/>
          </w:rPr>
          <w:t> </w:t>
        </w:r>
        <w:r w:rsidRPr="00E1635B">
          <w:rPr>
            <w:rStyle w:val="Lienhypertexte"/>
            <w:rFonts w:ascii="Calibri" w:eastAsia="Calibri" w:hAnsi="Calibri" w:cs="Helvetica"/>
            <w:lang w:val="fr-CA" w:bidi="fr-CA"/>
          </w:rPr>
          <w:t>2020 organisés par le REH</w:t>
        </w:r>
      </w:hyperlink>
      <w:r>
        <w:rPr>
          <w:rFonts w:cs="Helvetica"/>
          <w:lang w:val="fr-CA" w:bidi="fr-CA"/>
        </w:rPr>
        <w:t xml:space="preserve"> </w:t>
      </w:r>
    </w:p>
    <w:p w:rsidR="00307A67" w:rsidRDefault="00307A67" w:rsidP="00307A67">
      <w:pPr>
        <w:rPr>
          <w:b/>
          <w:bCs/>
          <w:color w:val="000000" w:themeColor="text1"/>
        </w:rPr>
      </w:pPr>
      <w:r w:rsidRPr="00D63997">
        <w:rPr>
          <w:b/>
          <w:color w:val="000000" w:themeColor="text1"/>
          <w:lang w:val="fr-CA" w:bidi="fr-CA"/>
        </w:rPr>
        <w:t>Création de documents accessibles</w:t>
      </w:r>
    </w:p>
    <w:p w:rsidR="00FA2F54" w:rsidRDefault="00226CAC" w:rsidP="00307A67">
      <w:pPr>
        <w:rPr>
          <w:b/>
          <w:bCs/>
          <w:color w:val="000000" w:themeColor="text1"/>
        </w:rPr>
      </w:pPr>
      <w:r>
        <w:rPr>
          <w:color w:val="0070C0"/>
          <w:lang w:val="fr-CA" w:bidi="fr-CA"/>
        </w:rPr>
        <w:t>André Demers</w:t>
      </w:r>
      <w:r w:rsidR="001E3C9E">
        <w:rPr>
          <w:color w:val="0070C0"/>
          <w:lang w:val="fr-CA" w:bidi="fr-CA"/>
        </w:rPr>
        <w:t>,</w:t>
      </w:r>
      <w:r>
        <w:rPr>
          <w:color w:val="0070C0"/>
          <w:lang w:val="fr-CA" w:bidi="fr-CA"/>
        </w:rPr>
        <w:t xml:space="preserve"> </w:t>
      </w:r>
      <w:r w:rsidRPr="00226CAC">
        <w:rPr>
          <w:color w:val="000000" w:themeColor="text1"/>
          <w:lang w:val="fr-CA" w:bidi="fr-CA"/>
        </w:rPr>
        <w:t>Bureau d</w:t>
      </w:r>
      <w:r w:rsidR="00B2559B">
        <w:rPr>
          <w:color w:val="000000" w:themeColor="text1"/>
          <w:lang w:val="fr-CA" w:bidi="fr-CA"/>
        </w:rPr>
        <w:t>’</w:t>
      </w:r>
      <w:r w:rsidRPr="00226CAC">
        <w:rPr>
          <w:color w:val="000000" w:themeColor="text1"/>
          <w:lang w:val="fr-CA" w:bidi="fr-CA"/>
        </w:rPr>
        <w:t>accessibilité de la DGIIT et président du REH</w:t>
      </w:r>
    </w:p>
    <w:p w:rsidR="00FA2F54" w:rsidRDefault="00FA2F54" w:rsidP="00307A67">
      <w:pPr>
        <w:rPr>
          <w:b/>
          <w:bCs/>
          <w:color w:val="000000" w:themeColor="text1"/>
        </w:rPr>
      </w:pPr>
    </w:p>
    <w:p w:rsidR="00EF0F6A" w:rsidRDefault="009840F2" w:rsidP="009840F2">
      <w:pPr>
        <w:rPr>
          <w:bCs/>
          <w:color w:val="000000" w:themeColor="text1"/>
        </w:rPr>
      </w:pPr>
      <w:r w:rsidRPr="009840F2">
        <w:rPr>
          <w:color w:val="000000" w:themeColor="text1"/>
          <w:lang w:val="fr-CA" w:bidi="fr-CA"/>
        </w:rPr>
        <w:t>À qui s’adressent les documents accessibles? Les supports accessibles sont souvent utilisés par les personnes incapables de lire les imprimés ou toute autre personne dans des situations où les «</w:t>
      </w:r>
      <w:r w:rsidR="00B2559B">
        <w:rPr>
          <w:color w:val="000000" w:themeColor="text1"/>
          <w:lang w:val="fr-CA" w:bidi="fr-CA"/>
        </w:rPr>
        <w:t> </w:t>
      </w:r>
      <w:r w:rsidRPr="009840F2">
        <w:rPr>
          <w:color w:val="000000" w:themeColor="text1"/>
          <w:lang w:val="fr-CA" w:bidi="fr-CA"/>
        </w:rPr>
        <w:t>yeux sont occupés</w:t>
      </w:r>
      <w:r w:rsidR="00B2559B">
        <w:rPr>
          <w:color w:val="000000" w:themeColor="text1"/>
          <w:lang w:val="fr-CA" w:bidi="fr-CA"/>
        </w:rPr>
        <w:t> </w:t>
      </w:r>
      <w:r w:rsidRPr="009840F2">
        <w:rPr>
          <w:color w:val="000000" w:themeColor="text1"/>
          <w:lang w:val="fr-CA" w:bidi="fr-CA"/>
        </w:rPr>
        <w:t xml:space="preserve">»; </w:t>
      </w:r>
      <w:r w:rsidR="007E4F0F">
        <w:rPr>
          <w:color w:val="000000" w:themeColor="text1"/>
          <w:lang w:val="fr-CA" w:bidi="fr-CA"/>
        </w:rPr>
        <w:t>on parle ici de</w:t>
      </w:r>
      <w:r w:rsidRPr="009840F2">
        <w:rPr>
          <w:color w:val="000000" w:themeColor="text1"/>
          <w:lang w:val="fr-CA" w:bidi="fr-CA"/>
        </w:rPr>
        <w:t xml:space="preserve"> diverses technologies d</w:t>
      </w:r>
      <w:r w:rsidR="00B2559B">
        <w:rPr>
          <w:color w:val="000000" w:themeColor="text1"/>
          <w:lang w:val="fr-CA" w:bidi="fr-CA"/>
        </w:rPr>
        <w:t>’</w:t>
      </w:r>
      <w:r w:rsidRPr="009840F2">
        <w:rPr>
          <w:color w:val="000000" w:themeColor="text1"/>
          <w:lang w:val="fr-CA" w:bidi="fr-CA"/>
        </w:rPr>
        <w:t xml:space="preserve">assistance (TA), ou la technologie informatique adaptée; les systèmes de reconnaissance vocale (Dragon </w:t>
      </w:r>
      <w:proofErr w:type="spellStart"/>
      <w:r w:rsidRPr="009840F2">
        <w:rPr>
          <w:color w:val="000000" w:themeColor="text1"/>
          <w:lang w:val="fr-CA" w:bidi="fr-CA"/>
        </w:rPr>
        <w:t>Naturally</w:t>
      </w:r>
      <w:proofErr w:type="spellEnd"/>
      <w:r w:rsidRPr="009840F2">
        <w:rPr>
          <w:color w:val="000000" w:themeColor="text1"/>
          <w:lang w:val="fr-CA" w:bidi="fr-CA"/>
        </w:rPr>
        <w:t xml:space="preserve"> </w:t>
      </w:r>
      <w:proofErr w:type="spellStart"/>
      <w:r w:rsidRPr="009840F2">
        <w:rPr>
          <w:color w:val="000000" w:themeColor="text1"/>
          <w:lang w:val="fr-CA" w:bidi="fr-CA"/>
        </w:rPr>
        <w:t>Speaking</w:t>
      </w:r>
      <w:proofErr w:type="spellEnd"/>
      <w:r w:rsidRPr="009840F2">
        <w:rPr>
          <w:color w:val="000000" w:themeColor="text1"/>
          <w:lang w:val="fr-CA" w:bidi="fr-CA"/>
        </w:rPr>
        <w:t xml:space="preserve">, </w:t>
      </w:r>
      <w:proofErr w:type="spellStart"/>
      <w:r w:rsidRPr="009840F2">
        <w:rPr>
          <w:color w:val="000000" w:themeColor="text1"/>
          <w:lang w:val="fr-CA" w:bidi="fr-CA"/>
        </w:rPr>
        <w:t>Siri</w:t>
      </w:r>
      <w:proofErr w:type="spellEnd"/>
      <w:r w:rsidRPr="009840F2">
        <w:rPr>
          <w:color w:val="000000" w:themeColor="text1"/>
          <w:lang w:val="fr-CA" w:bidi="fr-CA"/>
        </w:rPr>
        <w:t>, Robin, etc.); les claviers adaptés ou les dispositifs de pointage.</w:t>
      </w:r>
    </w:p>
    <w:p w:rsidR="009840F2" w:rsidRDefault="009840F2" w:rsidP="009840F2">
      <w:pPr>
        <w:rPr>
          <w:bCs/>
          <w:color w:val="000000" w:themeColor="text1"/>
        </w:rPr>
      </w:pPr>
    </w:p>
    <w:p w:rsidR="00FA2F54" w:rsidRDefault="009840F2" w:rsidP="00307A67">
      <w:pPr>
        <w:rPr>
          <w:b/>
          <w:bCs/>
          <w:color w:val="000000" w:themeColor="text1"/>
        </w:rPr>
      </w:pPr>
      <w:r>
        <w:rPr>
          <w:color w:val="000000" w:themeColor="text1"/>
          <w:lang w:val="fr-CA" w:bidi="fr-CA"/>
        </w:rPr>
        <w:t>Dans quels formats sont les documents accessibles? La plupart des formats de documents (HTML, PDF, MS</w:t>
      </w:r>
      <w:r w:rsidR="00B2559B">
        <w:rPr>
          <w:color w:val="000000" w:themeColor="text1"/>
          <w:lang w:val="fr-CA" w:bidi="fr-CA"/>
        </w:rPr>
        <w:t xml:space="preserve"> </w:t>
      </w:r>
      <w:r>
        <w:rPr>
          <w:color w:val="000000" w:themeColor="text1"/>
          <w:lang w:val="fr-CA" w:bidi="fr-CA"/>
        </w:rPr>
        <w:t xml:space="preserve">Office </w:t>
      </w:r>
      <w:r w:rsidR="00B2559B">
        <w:rPr>
          <w:color w:val="000000" w:themeColor="text1"/>
          <w:lang w:val="fr-CA" w:bidi="fr-CA"/>
        </w:rPr>
        <w:t>[</w:t>
      </w:r>
      <w:r>
        <w:rPr>
          <w:color w:val="000000" w:themeColor="text1"/>
          <w:lang w:val="fr-CA" w:bidi="fr-CA"/>
        </w:rPr>
        <w:t xml:space="preserve">Word </w:t>
      </w:r>
      <w:r w:rsidR="00B2559B">
        <w:rPr>
          <w:color w:val="000000" w:themeColor="text1"/>
          <w:lang w:val="fr-CA" w:bidi="fr-CA"/>
        </w:rPr>
        <w:t>[</w:t>
      </w:r>
      <w:proofErr w:type="spellStart"/>
      <w:r>
        <w:rPr>
          <w:color w:val="000000" w:themeColor="text1"/>
          <w:lang w:val="fr-CA" w:bidi="fr-CA"/>
        </w:rPr>
        <w:t>docx</w:t>
      </w:r>
      <w:proofErr w:type="spellEnd"/>
      <w:r w:rsidR="00B2559B">
        <w:rPr>
          <w:color w:val="000000" w:themeColor="text1"/>
          <w:lang w:val="fr-CA" w:bidi="fr-CA"/>
        </w:rPr>
        <w:t>]</w:t>
      </w:r>
      <w:r>
        <w:rPr>
          <w:color w:val="000000" w:themeColor="text1"/>
          <w:lang w:val="fr-CA" w:bidi="fr-CA"/>
        </w:rPr>
        <w:t xml:space="preserve">, Excel </w:t>
      </w:r>
      <w:r w:rsidR="00B2559B">
        <w:rPr>
          <w:color w:val="000000" w:themeColor="text1"/>
          <w:lang w:val="fr-CA" w:bidi="fr-CA"/>
        </w:rPr>
        <w:t>[</w:t>
      </w:r>
      <w:proofErr w:type="spellStart"/>
      <w:r>
        <w:rPr>
          <w:color w:val="000000" w:themeColor="text1"/>
          <w:lang w:val="fr-CA" w:bidi="fr-CA"/>
        </w:rPr>
        <w:t>xlxs</w:t>
      </w:r>
      <w:proofErr w:type="spellEnd"/>
      <w:r w:rsidR="00B2559B">
        <w:rPr>
          <w:color w:val="000000" w:themeColor="text1"/>
          <w:lang w:val="fr-CA" w:bidi="fr-CA"/>
        </w:rPr>
        <w:t>]</w:t>
      </w:r>
      <w:r>
        <w:rPr>
          <w:color w:val="000000" w:themeColor="text1"/>
          <w:lang w:val="fr-CA" w:bidi="fr-CA"/>
        </w:rPr>
        <w:t xml:space="preserve">, PowerPoint </w:t>
      </w:r>
      <w:r w:rsidR="00B2559B">
        <w:rPr>
          <w:color w:val="000000" w:themeColor="text1"/>
          <w:lang w:val="fr-CA" w:bidi="fr-CA"/>
        </w:rPr>
        <w:t>[</w:t>
      </w:r>
      <w:proofErr w:type="spellStart"/>
      <w:r>
        <w:rPr>
          <w:color w:val="000000" w:themeColor="text1"/>
          <w:lang w:val="fr-CA" w:bidi="fr-CA"/>
        </w:rPr>
        <w:t>pptx</w:t>
      </w:r>
      <w:proofErr w:type="spellEnd"/>
      <w:r w:rsidR="00042B71">
        <w:rPr>
          <w:color w:val="000000" w:themeColor="text1"/>
          <w:lang w:val="fr-CA" w:bidi="fr-CA"/>
        </w:rPr>
        <w:t>]]</w:t>
      </w:r>
      <w:r>
        <w:rPr>
          <w:color w:val="000000" w:themeColor="text1"/>
          <w:lang w:val="fr-CA" w:bidi="fr-CA"/>
        </w:rPr>
        <w:t>, etc.</w:t>
      </w:r>
      <w:r w:rsidR="00B2559B">
        <w:rPr>
          <w:color w:val="000000" w:themeColor="text1"/>
          <w:lang w:val="fr-CA" w:bidi="fr-CA"/>
        </w:rPr>
        <w:t>)</w:t>
      </w:r>
      <w:r>
        <w:rPr>
          <w:color w:val="000000" w:themeColor="text1"/>
          <w:lang w:val="fr-CA" w:bidi="fr-CA"/>
        </w:rPr>
        <w:t xml:space="preserve"> peuvent être rendus accessibles tant que les normes ou les directives sont en place et respectées. 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 xml:space="preserve">accessibilité devrait être intégrée </w:t>
      </w:r>
      <w:r>
        <w:rPr>
          <w:b/>
          <w:color w:val="000000" w:themeColor="text1"/>
          <w:lang w:val="fr-CA" w:bidi="fr-CA"/>
        </w:rPr>
        <w:t>dès le début</w:t>
      </w:r>
      <w:r>
        <w:rPr>
          <w:color w:val="000000" w:themeColor="text1"/>
          <w:lang w:val="fr-CA" w:bidi="fr-CA"/>
        </w:rPr>
        <w:t>, sinon il est beaucoup plus laborieux et difficile d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y remédier après coup. Par exemple, Word, Excel et PPT sont décrits comme une expérience utilisateur débutant dans la création de documents.</w:t>
      </w:r>
    </w:p>
    <w:p w:rsidR="00FA2F54" w:rsidRDefault="00FA2F54" w:rsidP="00307A67">
      <w:pPr>
        <w:rPr>
          <w:b/>
          <w:bCs/>
          <w:color w:val="000000" w:themeColor="text1"/>
        </w:rPr>
      </w:pPr>
    </w:p>
    <w:p w:rsidR="008500AE" w:rsidRDefault="008500AE" w:rsidP="00307A67">
      <w:pPr>
        <w:rPr>
          <w:b/>
          <w:bCs/>
          <w:color w:val="000000" w:themeColor="text1"/>
        </w:rPr>
      </w:pPr>
    </w:p>
    <w:p w:rsidR="008500AE" w:rsidRDefault="008500AE" w:rsidP="008500AE">
      <w:pPr>
        <w:rPr>
          <w:b/>
          <w:color w:val="000000" w:themeColor="text1"/>
        </w:rPr>
      </w:pPr>
      <w:r w:rsidRPr="00D63997">
        <w:rPr>
          <w:b/>
          <w:color w:val="000000" w:themeColor="text1"/>
          <w:lang w:val="fr-CA" w:bidi="fr-CA"/>
        </w:rPr>
        <w:t>Expérience utilisateur</w:t>
      </w:r>
      <w:r w:rsidR="00B2559B">
        <w:rPr>
          <w:b/>
          <w:color w:val="000000" w:themeColor="text1"/>
          <w:lang w:val="fr-CA" w:bidi="fr-CA"/>
        </w:rPr>
        <w:t> </w:t>
      </w:r>
      <w:r w:rsidRPr="00D63997">
        <w:rPr>
          <w:b/>
          <w:color w:val="000000" w:themeColor="text1"/>
          <w:lang w:val="fr-CA" w:bidi="fr-CA"/>
        </w:rPr>
        <w:t>: Troubles cognitifs et d</w:t>
      </w:r>
      <w:r w:rsidR="00B2559B">
        <w:rPr>
          <w:b/>
          <w:color w:val="000000" w:themeColor="text1"/>
          <w:lang w:val="fr-CA" w:bidi="fr-CA"/>
        </w:rPr>
        <w:t>’</w:t>
      </w:r>
      <w:r w:rsidRPr="00D63997">
        <w:rPr>
          <w:b/>
          <w:color w:val="000000" w:themeColor="text1"/>
          <w:lang w:val="fr-CA" w:bidi="fr-CA"/>
        </w:rPr>
        <w:t>apprentissage</w:t>
      </w:r>
    </w:p>
    <w:p w:rsidR="00D26833" w:rsidRDefault="00D26833" w:rsidP="008500AE">
      <w:pPr>
        <w:rPr>
          <w:b/>
          <w:color w:val="000000" w:themeColor="text1"/>
        </w:rPr>
      </w:pPr>
      <w:proofErr w:type="spellStart"/>
      <w:r>
        <w:rPr>
          <w:rFonts w:ascii="Arial" w:eastAsia="Arial" w:hAnsi="Arial" w:cs="Arial"/>
          <w:color w:val="2E74B5"/>
          <w:sz w:val="26"/>
          <w:szCs w:val="26"/>
          <w:lang w:val="fr-CA" w:bidi="fr-CA"/>
        </w:rPr>
        <w:t>Juliann</w:t>
      </w:r>
      <w:proofErr w:type="spellEnd"/>
      <w:r>
        <w:rPr>
          <w:rFonts w:ascii="Arial" w:eastAsia="Arial" w:hAnsi="Arial" w:cs="Arial"/>
          <w:color w:val="2E74B5"/>
          <w:sz w:val="26"/>
          <w:szCs w:val="26"/>
          <w:lang w:val="fr-CA" w:bidi="fr-CA"/>
        </w:rPr>
        <w:t xml:space="preserve"> </w:t>
      </w:r>
      <w:proofErr w:type="spellStart"/>
      <w:r>
        <w:rPr>
          <w:rFonts w:ascii="Arial" w:eastAsia="Arial" w:hAnsi="Arial" w:cs="Arial"/>
          <w:color w:val="2E74B5"/>
          <w:sz w:val="26"/>
          <w:szCs w:val="26"/>
          <w:lang w:val="fr-CA" w:bidi="fr-CA"/>
        </w:rPr>
        <w:t>Rowsell</w:t>
      </w:r>
      <w:proofErr w:type="spellEnd"/>
      <w:r w:rsidR="001E3C9E">
        <w:rPr>
          <w:rFonts w:ascii="Arial" w:eastAsia="Arial" w:hAnsi="Arial" w:cs="Arial"/>
          <w:color w:val="2E74B5"/>
          <w:sz w:val="26"/>
          <w:szCs w:val="26"/>
          <w:lang w:val="fr-CA" w:bidi="fr-CA"/>
        </w:rPr>
        <w:t>,</w:t>
      </w:r>
      <w:r>
        <w:rPr>
          <w:rFonts w:ascii="Arial" w:eastAsia="Arial" w:hAnsi="Arial" w:cs="Arial"/>
          <w:color w:val="2E74B5"/>
          <w:sz w:val="26"/>
          <w:szCs w:val="26"/>
          <w:lang w:val="fr-CA" w:bidi="fr-CA"/>
        </w:rPr>
        <w:t xml:space="preserve"> </w:t>
      </w:r>
      <w:r>
        <w:rPr>
          <w:rFonts w:ascii="Arial" w:eastAsia="Arial" w:hAnsi="Arial" w:cs="Arial"/>
          <w:color w:val="000000"/>
          <w:lang w:val="fr-CA" w:bidi="fr-CA"/>
        </w:rPr>
        <w:t>Programme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accessibilité,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 xml:space="preserve">adaptation et de technologie informatique adaptée </w:t>
      </w:r>
      <w:r w:rsidR="00B2559B">
        <w:rPr>
          <w:rFonts w:ascii="Arial" w:eastAsia="Arial" w:hAnsi="Arial" w:cs="Arial"/>
          <w:color w:val="000000"/>
          <w:lang w:val="fr-CA" w:bidi="fr-CA"/>
        </w:rPr>
        <w:t>(</w:t>
      </w:r>
      <w:r>
        <w:rPr>
          <w:rFonts w:ascii="Arial" w:eastAsia="Arial" w:hAnsi="Arial" w:cs="Arial"/>
          <w:color w:val="000000"/>
          <w:lang w:val="fr-CA" w:bidi="fr-CA"/>
        </w:rPr>
        <w:t>AATIA</w:t>
      </w:r>
      <w:r w:rsidR="00B2559B">
        <w:rPr>
          <w:rFonts w:ascii="Arial" w:eastAsia="Arial" w:hAnsi="Arial" w:cs="Arial"/>
          <w:color w:val="000000"/>
          <w:lang w:val="fr-CA" w:bidi="fr-CA"/>
        </w:rPr>
        <w:t>)</w:t>
      </w:r>
      <w:r>
        <w:rPr>
          <w:rFonts w:ascii="Arial" w:eastAsia="Arial" w:hAnsi="Arial" w:cs="Arial"/>
          <w:color w:val="000000"/>
          <w:lang w:val="fr-CA" w:bidi="fr-CA"/>
        </w:rPr>
        <w:t xml:space="preserve"> à Services partagés Canada</w:t>
      </w:r>
    </w:p>
    <w:p w:rsidR="00FA2F54" w:rsidRDefault="00FA2F54" w:rsidP="008500AE">
      <w:pPr>
        <w:rPr>
          <w:b/>
          <w:color w:val="000000" w:themeColor="text1"/>
        </w:rPr>
      </w:pPr>
    </w:p>
    <w:p w:rsidR="00BA7CA7" w:rsidRDefault="00BA7CA7" w:rsidP="00BA7CA7">
      <w:pPr>
        <w:spacing w:after="16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lang w:val="fr-CA" w:bidi="fr-CA"/>
        </w:rPr>
        <w:t>Veiller à ce que l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expérience utilisateur réponde aux besoins des employés ayant des incapacités cognitives ou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apprentissage. Sensibiliser les personnes et leurs milieux à propos des différents handicaps au Canada et décrire les groupes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 xml:space="preserve">utilisateurs </w:t>
      </w:r>
      <w:r w:rsidR="00B2559B">
        <w:rPr>
          <w:rFonts w:ascii="Arial" w:eastAsia="Arial" w:hAnsi="Arial" w:cs="Arial"/>
          <w:color w:val="000000"/>
          <w:lang w:val="fr-CA" w:bidi="fr-CA"/>
        </w:rPr>
        <w:t>(</w:t>
      </w:r>
      <w:r>
        <w:rPr>
          <w:rFonts w:ascii="Arial" w:eastAsia="Arial" w:hAnsi="Arial" w:cs="Arial"/>
          <w:color w:val="000000"/>
          <w:lang w:val="fr-CA" w:bidi="fr-CA"/>
        </w:rPr>
        <w:t>mémoire, attention, langage, résolution de problèmes, etc.</w:t>
      </w:r>
      <w:r w:rsidR="00B2559B">
        <w:rPr>
          <w:rFonts w:ascii="Arial" w:eastAsia="Arial" w:hAnsi="Arial" w:cs="Arial"/>
          <w:color w:val="000000"/>
          <w:lang w:val="fr-CA" w:bidi="fr-CA"/>
        </w:rPr>
        <w:t>)</w:t>
      </w:r>
      <w:r>
        <w:rPr>
          <w:rFonts w:ascii="Arial" w:eastAsia="Arial" w:hAnsi="Arial" w:cs="Arial"/>
          <w:color w:val="000000"/>
          <w:lang w:val="fr-CA" w:bidi="fr-CA"/>
        </w:rPr>
        <w:t>. La portée et les hypothèses ont permis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examiner comment nous pouvons améliorer l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 xml:space="preserve">expérience utilisateur </w:t>
      </w:r>
      <w:r w:rsidR="00B2559B">
        <w:rPr>
          <w:rFonts w:ascii="Arial" w:eastAsia="Arial" w:hAnsi="Arial" w:cs="Arial"/>
          <w:color w:val="000000"/>
          <w:lang w:val="fr-CA" w:bidi="fr-CA"/>
        </w:rPr>
        <w:t>(</w:t>
      </w:r>
      <w:r w:rsidR="001E3C9E">
        <w:rPr>
          <w:rFonts w:ascii="Arial" w:eastAsia="Arial" w:hAnsi="Arial" w:cs="Arial"/>
          <w:color w:val="000000"/>
          <w:lang w:val="fr-CA" w:bidi="fr-CA"/>
        </w:rPr>
        <w:t>EU</w:t>
      </w:r>
      <w:r w:rsidR="00B2559B">
        <w:rPr>
          <w:rFonts w:ascii="Arial" w:eastAsia="Arial" w:hAnsi="Arial" w:cs="Arial"/>
          <w:color w:val="000000"/>
          <w:lang w:val="fr-CA" w:bidi="fr-CA"/>
        </w:rPr>
        <w:t>)</w:t>
      </w:r>
      <w:r>
        <w:rPr>
          <w:rFonts w:ascii="Arial" w:eastAsia="Arial" w:hAnsi="Arial" w:cs="Arial"/>
          <w:color w:val="000000"/>
          <w:lang w:val="fr-CA" w:bidi="fr-CA"/>
        </w:rPr>
        <w:t xml:space="preserve"> en étant accessible</w:t>
      </w:r>
      <w:r w:rsidR="00B2559B">
        <w:rPr>
          <w:rFonts w:ascii="Arial" w:eastAsia="Arial" w:hAnsi="Arial" w:cs="Arial"/>
          <w:color w:val="000000"/>
          <w:lang w:val="fr-CA" w:bidi="fr-CA"/>
        </w:rPr>
        <w:t>s</w:t>
      </w:r>
      <w:r>
        <w:rPr>
          <w:rFonts w:ascii="Arial" w:eastAsia="Arial" w:hAnsi="Arial" w:cs="Arial"/>
          <w:color w:val="000000"/>
          <w:lang w:val="fr-CA" w:bidi="fr-CA"/>
        </w:rPr>
        <w:t xml:space="preserve"> par défaut et inclusif</w:t>
      </w:r>
      <w:r w:rsidR="00B2559B">
        <w:rPr>
          <w:rFonts w:ascii="Arial" w:eastAsia="Arial" w:hAnsi="Arial" w:cs="Arial"/>
          <w:color w:val="000000"/>
          <w:lang w:val="fr-CA" w:bidi="fr-CA"/>
        </w:rPr>
        <w:t>s</w:t>
      </w:r>
      <w:r>
        <w:rPr>
          <w:rFonts w:ascii="Arial" w:eastAsia="Arial" w:hAnsi="Arial" w:cs="Arial"/>
          <w:color w:val="000000"/>
          <w:lang w:val="fr-CA" w:bidi="fr-CA"/>
        </w:rPr>
        <w:t xml:space="preserve"> de nature, et ce, au profit de l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utilisateur.</w:t>
      </w:r>
    </w:p>
    <w:p w:rsidR="00BA7CA7" w:rsidRDefault="00BA7CA7" w:rsidP="00BA7CA7">
      <w:pPr>
        <w:spacing w:after="160" w:line="252" w:lineRule="auto"/>
        <w:ind w:left="2160" w:hanging="36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lang w:val="fr-CA" w:bidi="fr-CA"/>
        </w:rPr>
        <w:t></w:t>
      </w:r>
      <w:r w:rsidR="00D26833">
        <w:rPr>
          <w:color w:val="000000"/>
          <w:sz w:val="14"/>
          <w:szCs w:val="14"/>
          <w:lang w:val="fr-CA" w:bidi="fr-CA"/>
        </w:rPr>
        <w:t> </w:t>
      </w:r>
      <w:r w:rsidR="00D26833" w:rsidRPr="00226CAC">
        <w:rPr>
          <w:color w:val="000000"/>
          <w:lang w:val="fr-CA" w:bidi="fr-CA"/>
        </w:rPr>
        <w:t xml:space="preserve">Les principes de </w:t>
      </w:r>
      <w:r>
        <w:rPr>
          <w:rFonts w:ascii="Arial" w:eastAsia="Arial" w:hAnsi="Arial" w:cs="Arial"/>
          <w:color w:val="000000"/>
          <w:lang w:val="fr-CA" w:bidi="fr-CA"/>
        </w:rPr>
        <w:t>conception inclusifs et leur importance</w:t>
      </w:r>
    </w:p>
    <w:p w:rsidR="00BA7CA7" w:rsidRDefault="00BA7CA7" w:rsidP="00BA7CA7">
      <w:pPr>
        <w:spacing w:after="160" w:line="252" w:lineRule="auto"/>
        <w:ind w:left="2160" w:hanging="36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lang w:val="fr-CA" w:bidi="fr-CA"/>
        </w:rPr>
        <w:t></w:t>
      </w:r>
      <w:r>
        <w:rPr>
          <w:color w:val="000000"/>
          <w:sz w:val="14"/>
          <w:szCs w:val="14"/>
          <w:lang w:val="fr-CA" w:bidi="fr-CA"/>
        </w:rPr>
        <w:t> </w:t>
      </w:r>
      <w:r>
        <w:rPr>
          <w:rFonts w:ascii="Arial" w:eastAsia="Arial" w:hAnsi="Arial" w:cs="Arial"/>
          <w:color w:val="000000"/>
          <w:lang w:val="fr-CA" w:bidi="fr-CA"/>
        </w:rPr>
        <w:t xml:space="preserve">Choses à faire et à ne pas faire pour créer une </w:t>
      </w:r>
      <w:r w:rsidR="001E3C9E">
        <w:rPr>
          <w:rFonts w:ascii="Arial" w:eastAsia="Arial" w:hAnsi="Arial" w:cs="Arial"/>
          <w:color w:val="000000"/>
          <w:lang w:val="fr-CA" w:bidi="fr-CA"/>
        </w:rPr>
        <w:t>EU</w:t>
      </w:r>
      <w:r>
        <w:rPr>
          <w:rFonts w:ascii="Arial" w:eastAsia="Arial" w:hAnsi="Arial" w:cs="Arial"/>
          <w:color w:val="000000"/>
          <w:lang w:val="fr-CA" w:bidi="fr-CA"/>
        </w:rPr>
        <w:t xml:space="preserve"> accessible et utilisable</w:t>
      </w:r>
    </w:p>
    <w:p w:rsidR="00BA7CA7" w:rsidRDefault="00BA7CA7" w:rsidP="00BA7CA7">
      <w:pPr>
        <w:spacing w:after="160" w:line="252" w:lineRule="auto"/>
        <w:ind w:left="2160" w:hanging="36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lang w:val="fr-CA" w:bidi="fr-CA"/>
        </w:rPr>
        <w:t></w:t>
      </w:r>
      <w:r w:rsidR="00D26833">
        <w:rPr>
          <w:color w:val="000000"/>
          <w:sz w:val="14"/>
          <w:szCs w:val="14"/>
          <w:lang w:val="fr-CA" w:bidi="fr-CA"/>
        </w:rPr>
        <w:t> </w:t>
      </w:r>
      <w:r w:rsidR="00D26833" w:rsidRPr="00226CAC">
        <w:rPr>
          <w:color w:val="000000"/>
          <w:lang w:val="fr-CA" w:bidi="fr-CA"/>
        </w:rPr>
        <w:t>Conseils</w:t>
      </w:r>
      <w:r>
        <w:rPr>
          <w:rFonts w:ascii="Arial" w:eastAsia="Arial" w:hAnsi="Arial" w:cs="Arial"/>
          <w:color w:val="000000"/>
          <w:lang w:val="fr-CA" w:bidi="fr-CA"/>
        </w:rPr>
        <w:t xml:space="preserve"> visant à fournir une </w:t>
      </w:r>
      <w:r w:rsidR="001E3C9E">
        <w:rPr>
          <w:rFonts w:ascii="Arial" w:eastAsia="Arial" w:hAnsi="Arial" w:cs="Arial"/>
          <w:color w:val="000000"/>
          <w:lang w:val="fr-CA" w:bidi="fr-CA"/>
        </w:rPr>
        <w:t>EU</w:t>
      </w:r>
      <w:r>
        <w:rPr>
          <w:rFonts w:ascii="Arial" w:eastAsia="Arial" w:hAnsi="Arial" w:cs="Arial"/>
          <w:color w:val="000000"/>
          <w:lang w:val="fr-CA" w:bidi="fr-CA"/>
        </w:rPr>
        <w:t xml:space="preserve"> plus inclusive</w:t>
      </w:r>
    </w:p>
    <w:p w:rsidR="00BA7CA7" w:rsidRDefault="00BA7CA7" w:rsidP="00BA7CA7">
      <w:pPr>
        <w:spacing w:after="16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lang w:val="fr-CA" w:bidi="fr-CA"/>
        </w:rPr>
        <w:lastRenderedPageBreak/>
        <w:t>Les troubles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apprentissage sont des handicaps réels</w:t>
      </w:r>
      <w:r w:rsidR="008A748F">
        <w:rPr>
          <w:rFonts w:ascii="Arial" w:eastAsia="Arial" w:hAnsi="Arial" w:cs="Arial"/>
          <w:color w:val="000000"/>
          <w:lang w:val="fr-CA" w:bidi="fr-CA"/>
        </w:rPr>
        <w:t>,</w:t>
      </w:r>
      <w:r>
        <w:rPr>
          <w:rFonts w:ascii="Arial" w:eastAsia="Arial" w:hAnsi="Arial" w:cs="Arial"/>
          <w:color w:val="000000"/>
          <w:lang w:val="fr-CA" w:bidi="fr-CA"/>
        </w:rPr>
        <w:t xml:space="preserve"> et les caractéristiques du site Web</w:t>
      </w:r>
      <w:r w:rsidR="00CE790D">
        <w:rPr>
          <w:rFonts w:ascii="Arial" w:eastAsia="Arial" w:hAnsi="Arial" w:cs="Arial"/>
          <w:color w:val="000000"/>
          <w:lang w:val="fr-CA" w:bidi="fr-CA"/>
        </w:rPr>
        <w:t xml:space="preserve"> </w:t>
      </w:r>
      <w:r>
        <w:rPr>
          <w:rFonts w:ascii="Arial" w:eastAsia="Arial" w:hAnsi="Arial" w:cs="Arial"/>
          <w:color w:val="000000"/>
          <w:lang w:val="fr-CA" w:bidi="fr-CA"/>
        </w:rPr>
        <w:t>réduisent l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accessibilité cognitive. Les technologies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adaptation deviennent essentielles</w:t>
      </w:r>
      <w:r w:rsidR="00CE790D">
        <w:rPr>
          <w:rFonts w:ascii="Arial" w:eastAsia="Arial" w:hAnsi="Arial" w:cs="Arial"/>
          <w:color w:val="000000"/>
          <w:lang w:val="fr-CA" w:bidi="fr-CA"/>
        </w:rPr>
        <w:t>,</w:t>
      </w:r>
      <w:r>
        <w:rPr>
          <w:rFonts w:ascii="Arial" w:eastAsia="Arial" w:hAnsi="Arial" w:cs="Arial"/>
          <w:color w:val="000000"/>
          <w:lang w:val="fr-CA" w:bidi="fr-CA"/>
        </w:rPr>
        <w:t xml:space="preserve"> et les avantages de la conception inclusive</w:t>
      </w:r>
      <w:r w:rsidR="001E3C9E">
        <w:rPr>
          <w:rFonts w:ascii="Arial" w:eastAsia="Arial" w:hAnsi="Arial" w:cs="Arial"/>
          <w:color w:val="000000"/>
          <w:lang w:val="fr-CA" w:bidi="fr-CA"/>
        </w:rPr>
        <w:t xml:space="preserve"> sont évidents</w:t>
      </w:r>
      <w:r>
        <w:rPr>
          <w:rFonts w:ascii="Arial" w:eastAsia="Arial" w:hAnsi="Arial" w:cs="Arial"/>
          <w:color w:val="000000"/>
          <w:lang w:val="fr-CA" w:bidi="fr-CA"/>
        </w:rPr>
        <w:t>. Des exemples de personnages et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aides techniques et non techniques pour améliorer l’</w:t>
      </w:r>
      <w:r w:rsidR="001E3C9E">
        <w:rPr>
          <w:rFonts w:ascii="Arial" w:eastAsia="Arial" w:hAnsi="Arial" w:cs="Arial"/>
          <w:color w:val="000000"/>
          <w:lang w:val="fr-CA" w:bidi="fr-CA"/>
        </w:rPr>
        <w:t>EU</w:t>
      </w:r>
      <w:r>
        <w:rPr>
          <w:rFonts w:ascii="Arial" w:eastAsia="Arial" w:hAnsi="Arial" w:cs="Arial"/>
          <w:color w:val="000000"/>
          <w:lang w:val="fr-CA" w:bidi="fr-CA"/>
        </w:rPr>
        <w:t xml:space="preserve"> ont été présentés</w:t>
      </w:r>
      <w:r w:rsidR="00B2559B">
        <w:rPr>
          <w:rFonts w:ascii="Arial" w:eastAsia="Arial" w:hAnsi="Arial" w:cs="Arial"/>
          <w:color w:val="000000"/>
          <w:lang w:val="fr-CA" w:bidi="fr-CA"/>
        </w:rPr>
        <w:t>.</w:t>
      </w:r>
      <w:r>
        <w:rPr>
          <w:rFonts w:ascii="Arial" w:eastAsia="Arial" w:hAnsi="Arial" w:cs="Arial"/>
          <w:color w:val="000000"/>
          <w:lang w:val="fr-CA" w:bidi="fr-CA"/>
        </w:rPr>
        <w:t xml:space="preserve"> </w:t>
      </w:r>
    </w:p>
    <w:p w:rsidR="00FA2F54" w:rsidRDefault="00FA2F54" w:rsidP="008500AE">
      <w:pPr>
        <w:rPr>
          <w:b/>
          <w:color w:val="000000" w:themeColor="text1"/>
        </w:rPr>
      </w:pPr>
    </w:p>
    <w:p w:rsidR="00FA2F54" w:rsidRPr="00D63997" w:rsidRDefault="00FA2F54" w:rsidP="008500AE">
      <w:pPr>
        <w:rPr>
          <w:b/>
          <w:color w:val="000000" w:themeColor="text1"/>
        </w:rPr>
      </w:pPr>
    </w:p>
    <w:p w:rsidR="008500AE" w:rsidRDefault="008500AE" w:rsidP="008500AE">
      <w:pPr>
        <w:rPr>
          <w:rFonts w:cs="Arial"/>
          <w:b/>
          <w:color w:val="000000" w:themeColor="text1"/>
        </w:rPr>
      </w:pPr>
      <w:r w:rsidRPr="00D63997">
        <w:rPr>
          <w:rFonts w:cs="Arial"/>
          <w:b/>
          <w:color w:val="000000" w:themeColor="text1"/>
          <w:lang w:val="fr-CA" w:bidi="fr-CA"/>
        </w:rPr>
        <w:t>Mesures d</w:t>
      </w:r>
      <w:r w:rsidR="00B2559B">
        <w:rPr>
          <w:rFonts w:cs="Arial"/>
          <w:b/>
          <w:color w:val="000000" w:themeColor="text1"/>
          <w:lang w:val="fr-CA" w:bidi="fr-CA"/>
        </w:rPr>
        <w:t>’</w:t>
      </w:r>
      <w:r w:rsidRPr="00D63997">
        <w:rPr>
          <w:rFonts w:cs="Arial"/>
          <w:b/>
          <w:color w:val="000000" w:themeColor="text1"/>
          <w:lang w:val="fr-CA" w:bidi="fr-CA"/>
        </w:rPr>
        <w:t>adaptation dans les processus de dotation</w:t>
      </w:r>
    </w:p>
    <w:p w:rsidR="00D26833" w:rsidRDefault="00D26833" w:rsidP="00D26833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2E74B5"/>
          <w:sz w:val="26"/>
          <w:szCs w:val="26"/>
          <w:lang w:val="fr-CA" w:bidi="fr-CA"/>
        </w:rPr>
        <w:t>Derek Harrison</w:t>
      </w:r>
      <w:r w:rsidR="001E3C9E">
        <w:rPr>
          <w:rFonts w:ascii="Arial" w:eastAsia="Arial" w:hAnsi="Arial" w:cs="Arial"/>
          <w:color w:val="2E74B5"/>
          <w:sz w:val="26"/>
          <w:szCs w:val="26"/>
          <w:lang w:val="fr-CA" w:bidi="fr-CA"/>
        </w:rPr>
        <w:t>,</w:t>
      </w:r>
      <w:r>
        <w:rPr>
          <w:rFonts w:ascii="Arial" w:eastAsia="Arial" w:hAnsi="Arial" w:cs="Arial"/>
          <w:color w:val="2E74B5"/>
          <w:sz w:val="26"/>
          <w:szCs w:val="26"/>
          <w:lang w:val="fr-CA" w:bidi="fr-CA"/>
        </w:rPr>
        <w:t xml:space="preserve"> </w:t>
      </w:r>
      <w:r>
        <w:rPr>
          <w:rFonts w:ascii="Arial" w:eastAsia="Arial" w:hAnsi="Arial" w:cs="Arial"/>
          <w:color w:val="000000"/>
          <w:lang w:val="fr-CA" w:bidi="fr-CA"/>
        </w:rPr>
        <w:t>Programme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accessibilité,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 xml:space="preserve">adaptation et de technologie informatique adaptée </w:t>
      </w:r>
      <w:r w:rsidR="00B2559B">
        <w:rPr>
          <w:rFonts w:ascii="Arial" w:eastAsia="Arial" w:hAnsi="Arial" w:cs="Arial"/>
          <w:color w:val="000000"/>
          <w:lang w:val="fr-CA" w:bidi="fr-CA"/>
        </w:rPr>
        <w:t>(</w:t>
      </w:r>
      <w:r>
        <w:rPr>
          <w:rFonts w:ascii="Arial" w:eastAsia="Arial" w:hAnsi="Arial" w:cs="Arial"/>
          <w:color w:val="000000"/>
          <w:lang w:val="fr-CA" w:bidi="fr-CA"/>
        </w:rPr>
        <w:t>AATIA</w:t>
      </w:r>
      <w:r w:rsidR="00B2559B">
        <w:rPr>
          <w:rFonts w:ascii="Arial" w:eastAsia="Arial" w:hAnsi="Arial" w:cs="Arial"/>
          <w:color w:val="000000"/>
          <w:lang w:val="fr-CA" w:bidi="fr-CA"/>
        </w:rPr>
        <w:t>)</w:t>
      </w:r>
      <w:r>
        <w:rPr>
          <w:rFonts w:ascii="Arial" w:eastAsia="Arial" w:hAnsi="Arial" w:cs="Arial"/>
          <w:color w:val="000000"/>
          <w:lang w:val="fr-CA" w:bidi="fr-CA"/>
        </w:rPr>
        <w:t xml:space="preserve"> à Services partagés Canada</w:t>
      </w:r>
    </w:p>
    <w:p w:rsidR="00FA2F54" w:rsidRDefault="00FA2F54" w:rsidP="008500AE">
      <w:pPr>
        <w:rPr>
          <w:rFonts w:cs="Arial"/>
          <w:b/>
          <w:color w:val="000000" w:themeColor="text1"/>
        </w:rPr>
      </w:pPr>
    </w:p>
    <w:p w:rsidR="00D26833" w:rsidRDefault="00D26833" w:rsidP="00D26833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lang w:val="fr-CA" w:bidi="fr-CA"/>
        </w:rPr>
        <w:t>Cette séance portera sur divers aspects du processus de dotation et les pratiques liées à la création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un processus inclusif et équitable pour les candidats présentant un grand nombre de handicaps.</w:t>
      </w:r>
      <w:r w:rsidR="00B2559B">
        <w:rPr>
          <w:rFonts w:ascii="Arial" w:eastAsia="Arial" w:hAnsi="Arial" w:cs="Arial"/>
          <w:color w:val="000000"/>
          <w:lang w:val="fr-CA" w:bidi="fr-CA"/>
        </w:rPr>
        <w:t xml:space="preserve"> </w:t>
      </w:r>
      <w:r>
        <w:rPr>
          <w:rFonts w:ascii="Arial" w:eastAsia="Arial" w:hAnsi="Arial" w:cs="Arial"/>
          <w:color w:val="000000"/>
          <w:lang w:val="fr-CA" w:bidi="fr-CA"/>
        </w:rPr>
        <w:t>Les ressources, processus, meilleures pratiques et différentes approches seront discutés.</w:t>
      </w:r>
      <w:r w:rsidR="00B2559B">
        <w:rPr>
          <w:rFonts w:ascii="Arial" w:eastAsia="Arial" w:hAnsi="Arial" w:cs="Arial"/>
          <w:color w:val="000000"/>
          <w:lang w:val="fr-CA" w:bidi="fr-CA"/>
        </w:rPr>
        <w:t xml:space="preserve"> </w:t>
      </w:r>
      <w:r>
        <w:rPr>
          <w:rFonts w:ascii="Arial" w:eastAsia="Arial" w:hAnsi="Arial" w:cs="Arial"/>
          <w:color w:val="000000"/>
          <w:lang w:val="fr-CA" w:bidi="fr-CA"/>
        </w:rPr>
        <w:t>Les participants repartiront avec des mesures concrètes pour améliorer l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expérience des personnes handicapées au cours du processus de dotation.</w:t>
      </w:r>
    </w:p>
    <w:p w:rsidR="00B66343" w:rsidRDefault="00D26833" w:rsidP="00D26833">
      <w:p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 w:bidi="fr-CA"/>
        </w:rPr>
        <w:t>La principale préoccupation est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évaluer le candidat sans discrimination, au même titre que tous les autres candidats.</w:t>
      </w:r>
      <w:r w:rsidR="00B2559B">
        <w:rPr>
          <w:rFonts w:ascii="Arial" w:eastAsia="Arial" w:hAnsi="Arial" w:cs="Arial"/>
          <w:color w:val="000000"/>
          <w:lang w:val="fr-CA" w:bidi="fr-CA"/>
        </w:rPr>
        <w:t xml:space="preserve"> </w:t>
      </w:r>
      <w:r>
        <w:rPr>
          <w:rFonts w:ascii="Arial" w:eastAsia="Arial" w:hAnsi="Arial" w:cs="Arial"/>
          <w:color w:val="000000"/>
          <w:lang w:val="fr-CA" w:bidi="fr-CA"/>
        </w:rPr>
        <w:t>Cette expérience utilisateur équitable peut inclure une modification du matériel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essai ainsi que la modification de l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environnement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 xml:space="preserve">essai dans lequel le test est </w:t>
      </w:r>
      <w:r w:rsidR="00B2559B">
        <w:rPr>
          <w:rFonts w:ascii="Arial" w:eastAsia="Arial" w:hAnsi="Arial" w:cs="Arial"/>
          <w:color w:val="000000"/>
          <w:lang w:val="fr-CA" w:bidi="fr-CA"/>
        </w:rPr>
        <w:t>passé</w:t>
      </w:r>
      <w:r>
        <w:rPr>
          <w:rFonts w:ascii="Arial" w:eastAsia="Arial" w:hAnsi="Arial" w:cs="Arial"/>
          <w:color w:val="000000"/>
          <w:lang w:val="fr-CA" w:bidi="fr-CA"/>
        </w:rPr>
        <w:t xml:space="preserve">.  </w:t>
      </w:r>
    </w:p>
    <w:p w:rsidR="00D26833" w:rsidRDefault="00D26833" w:rsidP="00D26833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lang w:val="fr-CA" w:bidi="fr-CA"/>
        </w:rPr>
        <w:t xml:space="preserve">Cet exposé portera sur certains de ces essais et </w:t>
      </w:r>
      <w:r w:rsidR="00AC54DE">
        <w:rPr>
          <w:rFonts w:ascii="Arial" w:eastAsia="Arial" w:hAnsi="Arial" w:cs="Arial"/>
          <w:color w:val="000000"/>
          <w:lang w:val="fr-CA" w:bidi="fr-CA"/>
        </w:rPr>
        <w:t xml:space="preserve">sur </w:t>
      </w:r>
      <w:r>
        <w:rPr>
          <w:rFonts w:ascii="Arial" w:eastAsia="Arial" w:hAnsi="Arial" w:cs="Arial"/>
          <w:color w:val="000000"/>
          <w:lang w:val="fr-CA" w:bidi="fr-CA"/>
        </w:rPr>
        <w:t>des questions environnementales qui peuvent empêcher un candidat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avoir une expérience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essai juste et équitable. Les exemples développés lors de la création des tests tiennent compte de tous les handicaps potentiels</w:t>
      </w:r>
      <w:r w:rsidR="00CE790D">
        <w:rPr>
          <w:rFonts w:ascii="Arial" w:eastAsia="Arial" w:hAnsi="Arial" w:cs="Arial"/>
          <w:color w:val="000000"/>
          <w:lang w:val="fr-CA" w:bidi="fr-CA"/>
        </w:rPr>
        <w:t> :</w:t>
      </w:r>
      <w:r>
        <w:rPr>
          <w:rFonts w:ascii="Arial" w:eastAsia="Arial" w:hAnsi="Arial" w:cs="Arial"/>
          <w:color w:val="000000"/>
          <w:lang w:val="fr-CA" w:bidi="fr-CA"/>
        </w:rPr>
        <w:t xml:space="preserve"> déficience visuelle </w:t>
      </w:r>
      <w:r w:rsidR="00CE790D">
        <w:rPr>
          <w:rFonts w:ascii="Arial" w:eastAsia="Arial" w:hAnsi="Arial" w:cs="Arial"/>
          <w:color w:val="000000"/>
          <w:lang w:val="fr-CA" w:bidi="fr-CA"/>
        </w:rPr>
        <w:t>(</w:t>
      </w:r>
      <w:r>
        <w:rPr>
          <w:rFonts w:ascii="Arial" w:eastAsia="Arial" w:hAnsi="Arial" w:cs="Arial"/>
          <w:color w:val="000000"/>
          <w:lang w:val="fr-CA" w:bidi="fr-CA"/>
        </w:rPr>
        <w:t>légère à sévère</w:t>
      </w:r>
      <w:r w:rsidR="00CE790D">
        <w:rPr>
          <w:rFonts w:ascii="Arial" w:eastAsia="Arial" w:hAnsi="Arial" w:cs="Arial"/>
          <w:color w:val="000000"/>
          <w:lang w:val="fr-CA" w:bidi="fr-CA"/>
        </w:rPr>
        <w:t>)</w:t>
      </w:r>
      <w:r>
        <w:rPr>
          <w:rFonts w:ascii="Arial" w:eastAsia="Arial" w:hAnsi="Arial" w:cs="Arial"/>
          <w:color w:val="000000"/>
          <w:lang w:val="fr-CA" w:bidi="fr-CA"/>
        </w:rPr>
        <w:t xml:space="preserve">, diverses déficiences psychologiques comme la </w:t>
      </w:r>
      <w:proofErr w:type="spellStart"/>
      <w:r>
        <w:rPr>
          <w:rFonts w:ascii="Arial" w:eastAsia="Arial" w:hAnsi="Arial" w:cs="Arial"/>
          <w:color w:val="000000"/>
          <w:lang w:val="fr-CA" w:bidi="fr-CA"/>
        </w:rPr>
        <w:t>mathophobie</w:t>
      </w:r>
      <w:proofErr w:type="spellEnd"/>
      <w:r>
        <w:rPr>
          <w:rFonts w:ascii="Arial" w:eastAsia="Arial" w:hAnsi="Arial" w:cs="Arial"/>
          <w:color w:val="000000"/>
          <w:lang w:val="fr-CA" w:bidi="fr-CA"/>
        </w:rPr>
        <w:t>, les déficiences motrices</w:t>
      </w:r>
      <w:r w:rsidR="00C374EC">
        <w:rPr>
          <w:rFonts w:ascii="Arial" w:eastAsia="Arial" w:hAnsi="Arial" w:cs="Arial"/>
          <w:color w:val="000000"/>
          <w:lang w:val="fr-CA" w:bidi="fr-CA"/>
        </w:rPr>
        <w:t xml:space="preserve"> et</w:t>
      </w:r>
      <w:r>
        <w:rPr>
          <w:rFonts w:ascii="Arial" w:eastAsia="Arial" w:hAnsi="Arial" w:cs="Arial"/>
          <w:color w:val="000000"/>
          <w:lang w:val="fr-CA" w:bidi="fr-CA"/>
        </w:rPr>
        <w:t xml:space="preserve"> d</w:t>
      </w:r>
      <w:r w:rsidR="00B2559B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 xml:space="preserve">autres déficiences </w:t>
      </w:r>
      <w:r w:rsidR="00C374EC">
        <w:rPr>
          <w:rFonts w:ascii="Arial" w:eastAsia="Arial" w:hAnsi="Arial" w:cs="Arial"/>
          <w:color w:val="000000"/>
          <w:lang w:val="fr-CA" w:bidi="fr-CA"/>
        </w:rPr>
        <w:t xml:space="preserve">(p. ex. </w:t>
      </w:r>
      <w:r w:rsidR="00AC54DE">
        <w:rPr>
          <w:rFonts w:ascii="Arial" w:eastAsia="Arial" w:hAnsi="Arial" w:cs="Arial"/>
          <w:color w:val="000000"/>
          <w:lang w:val="fr-CA" w:bidi="fr-CA"/>
        </w:rPr>
        <w:t>lié</w:t>
      </w:r>
      <w:r w:rsidR="003478C3">
        <w:rPr>
          <w:rFonts w:ascii="Arial" w:eastAsia="Arial" w:hAnsi="Arial" w:cs="Arial"/>
          <w:color w:val="000000"/>
          <w:lang w:val="fr-CA" w:bidi="fr-CA"/>
        </w:rPr>
        <w:t>es</w:t>
      </w:r>
      <w:r w:rsidR="00AC54DE">
        <w:rPr>
          <w:rFonts w:ascii="Arial" w:eastAsia="Arial" w:hAnsi="Arial" w:cs="Arial"/>
          <w:color w:val="000000"/>
          <w:lang w:val="fr-CA" w:bidi="fr-CA"/>
        </w:rPr>
        <w:t xml:space="preserve"> à l</w:t>
      </w:r>
      <w:r w:rsidR="00C374EC">
        <w:rPr>
          <w:rFonts w:ascii="Arial" w:eastAsia="Arial" w:hAnsi="Arial" w:cs="Arial"/>
          <w:color w:val="000000"/>
          <w:lang w:val="fr-CA" w:bidi="fr-CA"/>
        </w:rPr>
        <w:t>’</w:t>
      </w:r>
      <w:r>
        <w:rPr>
          <w:rFonts w:ascii="Arial" w:eastAsia="Arial" w:hAnsi="Arial" w:cs="Arial"/>
          <w:color w:val="000000"/>
          <w:lang w:val="fr-CA" w:bidi="fr-CA"/>
        </w:rPr>
        <w:t>environnement</w:t>
      </w:r>
      <w:r w:rsidR="00C374EC">
        <w:rPr>
          <w:rFonts w:ascii="Arial" w:eastAsia="Arial" w:hAnsi="Arial" w:cs="Arial"/>
          <w:color w:val="000000"/>
          <w:lang w:val="fr-CA" w:bidi="fr-CA"/>
        </w:rPr>
        <w:t xml:space="preserve"> personnel)</w:t>
      </w:r>
      <w:r>
        <w:rPr>
          <w:rFonts w:ascii="Arial" w:eastAsia="Arial" w:hAnsi="Arial" w:cs="Arial"/>
          <w:color w:val="000000"/>
          <w:lang w:val="fr-CA" w:bidi="fr-CA"/>
        </w:rPr>
        <w:t>.</w:t>
      </w:r>
    </w:p>
    <w:p w:rsidR="008500AE" w:rsidRDefault="00D26833" w:rsidP="00307A67">
      <w:p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 w:bidi="fr-CA"/>
        </w:rPr>
        <w:t> </w:t>
      </w:r>
    </w:p>
    <w:p w:rsidR="00B66343" w:rsidRDefault="00B66343" w:rsidP="00307A67"/>
    <w:p w:rsidR="008500AE" w:rsidRDefault="008500AE" w:rsidP="008500AE">
      <w:pPr>
        <w:rPr>
          <w:b/>
          <w:bCs/>
          <w:color w:val="000000" w:themeColor="text1"/>
        </w:rPr>
      </w:pPr>
      <w:r w:rsidRPr="00D63997">
        <w:rPr>
          <w:b/>
          <w:color w:val="000000" w:themeColor="text1"/>
          <w:lang w:val="fr-CA" w:bidi="fr-CA"/>
        </w:rPr>
        <w:t>Plan d’accessibilité pluriannuel pour le service à la clientèle</w:t>
      </w:r>
    </w:p>
    <w:p w:rsidR="00FA2F54" w:rsidRDefault="00D26833" w:rsidP="008500AE">
      <w:r>
        <w:rPr>
          <w:color w:val="0070C0"/>
          <w:lang w:val="fr-CA" w:bidi="fr-CA"/>
        </w:rPr>
        <w:t>Alex</w:t>
      </w:r>
      <w:r w:rsidR="003478C3">
        <w:rPr>
          <w:color w:val="0070C0"/>
          <w:lang w:val="fr-CA" w:bidi="fr-CA"/>
        </w:rPr>
        <w:t> </w:t>
      </w:r>
      <w:r>
        <w:rPr>
          <w:color w:val="0070C0"/>
          <w:lang w:val="fr-CA" w:bidi="fr-CA"/>
        </w:rPr>
        <w:t>Parenteau et Nina</w:t>
      </w:r>
      <w:r w:rsidR="003478C3">
        <w:rPr>
          <w:color w:val="0070C0"/>
          <w:lang w:val="fr-CA" w:bidi="fr-CA"/>
        </w:rPr>
        <w:t> </w:t>
      </w:r>
      <w:proofErr w:type="spellStart"/>
      <w:r>
        <w:rPr>
          <w:color w:val="0070C0"/>
          <w:lang w:val="fr-CA" w:bidi="fr-CA"/>
        </w:rPr>
        <w:t>Lafreniere</w:t>
      </w:r>
      <w:proofErr w:type="spellEnd"/>
      <w:r w:rsidR="003478C3">
        <w:rPr>
          <w:color w:val="0070C0"/>
          <w:lang w:val="fr-CA" w:bidi="fr-CA"/>
        </w:rPr>
        <w:t>,</w:t>
      </w:r>
      <w:r>
        <w:rPr>
          <w:color w:val="0070C0"/>
          <w:lang w:val="fr-CA" w:bidi="fr-CA"/>
        </w:rPr>
        <w:t xml:space="preserve"> </w:t>
      </w:r>
      <w:r w:rsidR="00147BE0">
        <w:rPr>
          <w:lang w:val="fr-CA" w:bidi="fr-CA"/>
        </w:rPr>
        <w:t xml:space="preserve">Services accessibles </w:t>
      </w:r>
      <w:proofErr w:type="spellStart"/>
      <w:r w:rsidR="00147BE0">
        <w:rPr>
          <w:lang w:val="fr-CA" w:bidi="fr-CA"/>
        </w:rPr>
        <w:t>DGSC</w:t>
      </w:r>
      <w:proofErr w:type="spellEnd"/>
      <w:r w:rsidR="00147BE0">
        <w:rPr>
          <w:lang w:val="fr-CA" w:bidi="fr-CA"/>
        </w:rPr>
        <w:t xml:space="preserve"> </w:t>
      </w:r>
      <w:r w:rsidR="00B2559B">
        <w:rPr>
          <w:lang w:val="fr-CA" w:bidi="fr-CA"/>
        </w:rPr>
        <w:t>(</w:t>
      </w:r>
      <w:r w:rsidR="00147BE0">
        <w:rPr>
          <w:lang w:val="fr-CA" w:bidi="fr-CA"/>
        </w:rPr>
        <w:t>EDSC</w:t>
      </w:r>
      <w:r w:rsidR="00B2559B">
        <w:rPr>
          <w:lang w:val="fr-CA" w:bidi="fr-CA"/>
        </w:rPr>
        <w:t>)</w:t>
      </w:r>
      <w:r w:rsidR="00147BE0">
        <w:rPr>
          <w:lang w:val="fr-CA" w:bidi="fr-CA"/>
        </w:rPr>
        <w:t xml:space="preserve"> </w:t>
      </w:r>
    </w:p>
    <w:p w:rsidR="00147BE0" w:rsidRDefault="00147BE0" w:rsidP="008500AE"/>
    <w:p w:rsidR="00147BE0" w:rsidRPr="00D26833" w:rsidRDefault="00147BE0" w:rsidP="008500AE">
      <w:pPr>
        <w:rPr>
          <w:bCs/>
          <w:color w:val="0070C0"/>
        </w:rPr>
      </w:pPr>
      <w:r>
        <w:rPr>
          <w:lang w:val="fr-CA" w:bidi="fr-CA"/>
        </w:rPr>
        <w:t>L</w:t>
      </w:r>
      <w:r w:rsidR="00B2559B">
        <w:rPr>
          <w:lang w:val="fr-CA" w:bidi="fr-CA"/>
        </w:rPr>
        <w:t>’</w:t>
      </w:r>
      <w:r>
        <w:rPr>
          <w:lang w:val="fr-CA" w:bidi="fr-CA"/>
        </w:rPr>
        <w:t>amélioration de l</w:t>
      </w:r>
      <w:r w:rsidR="00B2559B">
        <w:rPr>
          <w:lang w:val="fr-CA" w:bidi="fr-CA"/>
        </w:rPr>
        <w:t>’</w:t>
      </w:r>
      <w:r>
        <w:rPr>
          <w:lang w:val="fr-CA" w:bidi="fr-CA"/>
        </w:rPr>
        <w:t>accessibilité au service à la clientèle d’EDSC est l</w:t>
      </w:r>
      <w:r w:rsidR="00B2559B">
        <w:rPr>
          <w:lang w:val="fr-CA" w:bidi="fr-CA"/>
        </w:rPr>
        <w:t>’</w:t>
      </w:r>
      <w:r>
        <w:rPr>
          <w:lang w:val="fr-CA" w:bidi="fr-CA"/>
        </w:rPr>
        <w:t>objectif du Plan d’accessibilité pluriannuel pour le service à la clientèle. La présentation traite de l</w:t>
      </w:r>
      <w:r w:rsidR="00B2559B">
        <w:rPr>
          <w:lang w:val="fr-CA" w:bidi="fr-CA"/>
        </w:rPr>
        <w:t>’</w:t>
      </w:r>
      <w:r>
        <w:rPr>
          <w:lang w:val="fr-CA" w:bidi="fr-CA"/>
        </w:rPr>
        <w:t>état actuel et de l</w:t>
      </w:r>
      <w:r w:rsidR="00B2559B">
        <w:rPr>
          <w:lang w:val="fr-CA" w:bidi="fr-CA"/>
        </w:rPr>
        <w:t>’</w:t>
      </w:r>
      <w:r>
        <w:rPr>
          <w:lang w:val="fr-CA" w:bidi="fr-CA"/>
        </w:rPr>
        <w:t>importance de l</w:t>
      </w:r>
      <w:r w:rsidR="00B2559B">
        <w:rPr>
          <w:lang w:val="fr-CA" w:bidi="fr-CA"/>
        </w:rPr>
        <w:t>’</w:t>
      </w:r>
      <w:r>
        <w:rPr>
          <w:lang w:val="fr-CA" w:bidi="fr-CA"/>
        </w:rPr>
        <w:t>accessibilité des services en soulignant les difficultés rencontrées par les clients handicapés. L</w:t>
      </w:r>
      <w:r w:rsidR="00B2559B">
        <w:rPr>
          <w:lang w:val="fr-CA" w:bidi="fr-CA"/>
        </w:rPr>
        <w:t>’</w:t>
      </w:r>
      <w:r>
        <w:rPr>
          <w:lang w:val="fr-CA" w:bidi="fr-CA"/>
        </w:rPr>
        <w:t>élaboration du plan a permis d</w:t>
      </w:r>
      <w:r w:rsidR="00B2559B">
        <w:rPr>
          <w:lang w:val="fr-CA" w:bidi="fr-CA"/>
        </w:rPr>
        <w:t>e définir</w:t>
      </w:r>
      <w:r>
        <w:rPr>
          <w:lang w:val="fr-CA" w:bidi="fr-CA"/>
        </w:rPr>
        <w:t xml:space="preserve"> des mesures d</w:t>
      </w:r>
      <w:r w:rsidR="00B2559B">
        <w:rPr>
          <w:lang w:val="fr-CA" w:bidi="fr-CA"/>
        </w:rPr>
        <w:t>’</w:t>
      </w:r>
      <w:r>
        <w:rPr>
          <w:lang w:val="fr-CA" w:bidi="fr-CA"/>
        </w:rPr>
        <w:t>accessibilité envisageables. L</w:t>
      </w:r>
      <w:r w:rsidR="00B2559B">
        <w:rPr>
          <w:lang w:val="fr-CA" w:bidi="fr-CA"/>
        </w:rPr>
        <w:t>’</w:t>
      </w:r>
      <w:r>
        <w:rPr>
          <w:lang w:val="fr-CA" w:bidi="fr-CA"/>
        </w:rPr>
        <w:t>approche et les progrès réalisés à ce jour avec les partenaires ont été soulignés, de même que la sensibilisation à l</w:t>
      </w:r>
      <w:r w:rsidR="00B2559B">
        <w:rPr>
          <w:lang w:val="fr-CA" w:bidi="fr-CA"/>
        </w:rPr>
        <w:t>’</w:t>
      </w:r>
      <w:r>
        <w:rPr>
          <w:lang w:val="fr-CA" w:bidi="fr-CA"/>
        </w:rPr>
        <w:t>interaction humaine et à la formation des employés; la mesure du rendement et l</w:t>
      </w:r>
      <w:r w:rsidR="00B2559B">
        <w:rPr>
          <w:lang w:val="fr-CA" w:bidi="fr-CA"/>
        </w:rPr>
        <w:t>’</w:t>
      </w:r>
      <w:r>
        <w:rPr>
          <w:lang w:val="fr-CA" w:bidi="fr-CA"/>
        </w:rPr>
        <w:t>approche en matière de rapports; l</w:t>
      </w:r>
      <w:r w:rsidR="00B2559B">
        <w:rPr>
          <w:lang w:val="fr-CA" w:bidi="fr-CA"/>
        </w:rPr>
        <w:t>’</w:t>
      </w:r>
      <w:r>
        <w:rPr>
          <w:lang w:val="fr-CA" w:bidi="fr-CA"/>
        </w:rPr>
        <w:t>établissement des coûts et les échéanciers. La présentation comprend un cadre de mesure du rendement, une grille d</w:t>
      </w:r>
      <w:r w:rsidR="00B2559B">
        <w:rPr>
          <w:lang w:val="fr-CA" w:bidi="fr-CA"/>
        </w:rPr>
        <w:t>’</w:t>
      </w:r>
      <w:r>
        <w:rPr>
          <w:lang w:val="fr-CA" w:bidi="fr-CA"/>
        </w:rPr>
        <w:t>évaluation de l</w:t>
      </w:r>
      <w:r w:rsidR="00B2559B">
        <w:rPr>
          <w:lang w:val="fr-CA" w:bidi="fr-CA"/>
        </w:rPr>
        <w:t>’</w:t>
      </w:r>
      <w:r>
        <w:rPr>
          <w:lang w:val="fr-CA" w:bidi="fr-CA"/>
        </w:rPr>
        <w:t>accessibilité et une liste de vérification.</w:t>
      </w:r>
    </w:p>
    <w:p w:rsidR="00FA2F54" w:rsidRDefault="00FA2F54" w:rsidP="008500AE">
      <w:pPr>
        <w:rPr>
          <w:b/>
          <w:bCs/>
          <w:color w:val="000000" w:themeColor="text1"/>
        </w:rPr>
      </w:pPr>
    </w:p>
    <w:p w:rsidR="00FA2F54" w:rsidRPr="00D63997" w:rsidRDefault="00FA2F54" w:rsidP="008500AE">
      <w:pPr>
        <w:rPr>
          <w:b/>
          <w:bCs/>
          <w:color w:val="000000" w:themeColor="text1"/>
        </w:rPr>
      </w:pPr>
    </w:p>
    <w:p w:rsidR="008500AE" w:rsidRDefault="008500AE" w:rsidP="008500AE">
      <w:pPr>
        <w:rPr>
          <w:b/>
          <w:bCs/>
          <w:color w:val="000000" w:themeColor="text1"/>
        </w:rPr>
      </w:pPr>
      <w:r w:rsidRPr="00D63997">
        <w:rPr>
          <w:b/>
          <w:color w:val="000000" w:themeColor="text1"/>
          <w:lang w:val="fr-CA" w:bidi="fr-CA"/>
        </w:rPr>
        <w:lastRenderedPageBreak/>
        <w:t>Au-delà de l</w:t>
      </w:r>
      <w:r w:rsidR="00B2559B">
        <w:rPr>
          <w:b/>
          <w:color w:val="000000" w:themeColor="text1"/>
          <w:lang w:val="fr-CA" w:bidi="fr-CA"/>
        </w:rPr>
        <w:t>’</w:t>
      </w:r>
      <w:r w:rsidRPr="00D63997">
        <w:rPr>
          <w:b/>
          <w:color w:val="000000" w:themeColor="text1"/>
          <w:lang w:val="fr-CA" w:bidi="fr-CA"/>
        </w:rPr>
        <w:t>obligation de prendre des mesures d</w:t>
      </w:r>
      <w:r w:rsidR="00B2559B">
        <w:rPr>
          <w:b/>
          <w:color w:val="000000" w:themeColor="text1"/>
          <w:lang w:val="fr-CA" w:bidi="fr-CA"/>
        </w:rPr>
        <w:t>’</w:t>
      </w:r>
      <w:r w:rsidRPr="00D63997">
        <w:rPr>
          <w:b/>
          <w:color w:val="000000" w:themeColor="text1"/>
          <w:lang w:val="fr-CA" w:bidi="fr-CA"/>
        </w:rPr>
        <w:t>adaptation</w:t>
      </w:r>
      <w:r w:rsidR="00B2559B">
        <w:rPr>
          <w:b/>
          <w:color w:val="000000" w:themeColor="text1"/>
          <w:lang w:val="fr-CA" w:bidi="fr-CA"/>
        </w:rPr>
        <w:t> </w:t>
      </w:r>
      <w:r w:rsidRPr="00D63997">
        <w:rPr>
          <w:b/>
          <w:color w:val="000000" w:themeColor="text1"/>
          <w:lang w:val="fr-CA" w:bidi="fr-CA"/>
        </w:rPr>
        <w:t>: un meilleur résultat grâce à vos idées</w:t>
      </w:r>
    </w:p>
    <w:p w:rsidR="00FA2F54" w:rsidRPr="00226CAC" w:rsidRDefault="00226CAC" w:rsidP="008500AE">
      <w:pPr>
        <w:rPr>
          <w:bCs/>
          <w:color w:val="0070C0"/>
        </w:rPr>
      </w:pPr>
      <w:r>
        <w:rPr>
          <w:color w:val="0070C0"/>
          <w:lang w:val="fr-CA" w:bidi="fr-CA"/>
        </w:rPr>
        <w:t>André Demers</w:t>
      </w:r>
      <w:r w:rsidR="003478C3">
        <w:rPr>
          <w:color w:val="0070C0"/>
          <w:lang w:val="fr-CA" w:bidi="fr-CA"/>
        </w:rPr>
        <w:t>,</w:t>
      </w:r>
      <w:r>
        <w:rPr>
          <w:color w:val="0070C0"/>
          <w:lang w:val="fr-CA" w:bidi="fr-CA"/>
        </w:rPr>
        <w:t xml:space="preserve"> </w:t>
      </w:r>
      <w:r w:rsidRPr="00226CAC">
        <w:rPr>
          <w:color w:val="000000" w:themeColor="text1"/>
          <w:lang w:val="fr-CA" w:bidi="fr-CA"/>
        </w:rPr>
        <w:t>Bureau de l</w:t>
      </w:r>
      <w:r w:rsidR="00B2559B">
        <w:rPr>
          <w:color w:val="000000" w:themeColor="text1"/>
          <w:lang w:val="fr-CA" w:bidi="fr-CA"/>
        </w:rPr>
        <w:t>’</w:t>
      </w:r>
      <w:r w:rsidRPr="00226CAC">
        <w:rPr>
          <w:color w:val="000000" w:themeColor="text1"/>
          <w:lang w:val="fr-CA" w:bidi="fr-CA"/>
        </w:rPr>
        <w:t>accessibilité DGIIT et président du REH</w:t>
      </w:r>
      <w:r w:rsidR="003478C3">
        <w:rPr>
          <w:color w:val="0070C0"/>
          <w:lang w:val="fr-CA" w:bidi="fr-CA"/>
        </w:rPr>
        <w:t>; Jennifer </w:t>
      </w:r>
      <w:proofErr w:type="spellStart"/>
      <w:r>
        <w:rPr>
          <w:color w:val="0070C0"/>
          <w:lang w:val="fr-CA" w:bidi="fr-CA"/>
        </w:rPr>
        <w:t>Leenhouts</w:t>
      </w:r>
      <w:proofErr w:type="spellEnd"/>
      <w:r>
        <w:rPr>
          <w:color w:val="0070C0"/>
          <w:lang w:val="fr-CA" w:bidi="fr-CA"/>
        </w:rPr>
        <w:t xml:space="preserve"> </w:t>
      </w:r>
      <w:r w:rsidRPr="00226CAC">
        <w:rPr>
          <w:color w:val="000000" w:themeColor="text1"/>
          <w:lang w:val="fr-CA" w:bidi="fr-CA"/>
        </w:rPr>
        <w:t>EDSC et coprésidente du REH</w:t>
      </w:r>
      <w:r w:rsidR="003478C3">
        <w:rPr>
          <w:color w:val="000000" w:themeColor="text1"/>
          <w:lang w:val="fr-CA" w:bidi="fr-CA"/>
        </w:rPr>
        <w:t>,</w:t>
      </w:r>
      <w:r>
        <w:rPr>
          <w:color w:val="0070C0"/>
          <w:lang w:val="fr-CA" w:bidi="fr-CA"/>
        </w:rPr>
        <w:t xml:space="preserve"> Elizabeth</w:t>
      </w:r>
      <w:r w:rsidR="003478C3">
        <w:rPr>
          <w:color w:val="0070C0"/>
          <w:lang w:val="fr-CA" w:bidi="fr-CA"/>
        </w:rPr>
        <w:t> </w:t>
      </w:r>
      <w:r>
        <w:rPr>
          <w:color w:val="0070C0"/>
          <w:lang w:val="fr-CA" w:bidi="fr-CA"/>
        </w:rPr>
        <w:t xml:space="preserve">Dussault </w:t>
      </w:r>
      <w:r w:rsidRPr="00226CAC">
        <w:rPr>
          <w:color w:val="000000" w:themeColor="text1"/>
          <w:lang w:val="fr-CA" w:bidi="fr-CA"/>
        </w:rPr>
        <w:t>EDSC et secrétariat du REH</w:t>
      </w:r>
    </w:p>
    <w:p w:rsidR="00FA2F54" w:rsidRDefault="00FA2F54" w:rsidP="008500AE">
      <w:pPr>
        <w:rPr>
          <w:b/>
          <w:bCs/>
          <w:color w:val="000000" w:themeColor="text1"/>
        </w:rPr>
      </w:pPr>
    </w:p>
    <w:p w:rsidR="00A5685F" w:rsidRDefault="00B66343" w:rsidP="008500AE">
      <w:pPr>
        <w:rPr>
          <w:bCs/>
          <w:color w:val="000000" w:themeColor="text1"/>
        </w:rPr>
      </w:pPr>
      <w:r>
        <w:rPr>
          <w:color w:val="000000" w:themeColor="text1"/>
          <w:lang w:val="fr-CA" w:bidi="fr-CA"/>
        </w:rPr>
        <w:t>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objectif de 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atelier était de souligner les défis de l’OPMA mis en lumière dans les ateliers sur le développement de carrière et le changement de culture. D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 xml:space="preserve">autres problèmes ont été </w:t>
      </w:r>
      <w:r w:rsidR="00B2559B">
        <w:rPr>
          <w:color w:val="000000" w:themeColor="text1"/>
          <w:lang w:val="fr-CA" w:bidi="fr-CA"/>
        </w:rPr>
        <w:t>découverts</w:t>
      </w:r>
      <w:r>
        <w:rPr>
          <w:color w:val="000000" w:themeColor="text1"/>
          <w:lang w:val="fr-CA" w:bidi="fr-CA"/>
        </w:rPr>
        <w:t>, p.</w:t>
      </w:r>
      <w:r w:rsidR="003478C3">
        <w:rPr>
          <w:color w:val="000000" w:themeColor="text1"/>
          <w:lang w:val="fr-CA" w:bidi="fr-CA"/>
        </w:rPr>
        <w:t> </w:t>
      </w:r>
      <w:r>
        <w:rPr>
          <w:color w:val="000000" w:themeColor="text1"/>
          <w:lang w:val="fr-CA" w:bidi="fr-CA"/>
        </w:rPr>
        <w:t>ex. le fardeau de la responsabilité de 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employé en matière d’OPMA. 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atelier s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est terminé par une séance de remue-méninges en vue de trouver des pistes de solution pour 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>OPMA. Les solutions proposées étaient au nombre de 24</w:t>
      </w:r>
      <w:r w:rsidR="003478C3">
        <w:rPr>
          <w:color w:val="000000" w:themeColor="text1"/>
          <w:lang w:val="fr-CA" w:bidi="fr-CA"/>
        </w:rPr>
        <w:t>,</w:t>
      </w:r>
      <w:r>
        <w:rPr>
          <w:color w:val="000000" w:themeColor="text1"/>
          <w:lang w:val="fr-CA" w:bidi="fr-CA"/>
        </w:rPr>
        <w:t xml:space="preserve"> et des défis ont été soulevés. </w:t>
      </w:r>
    </w:p>
    <w:p w:rsidR="00A5685F" w:rsidRDefault="00A5685F" w:rsidP="008500AE">
      <w:pPr>
        <w:rPr>
          <w:bCs/>
          <w:color w:val="000000" w:themeColor="text1"/>
        </w:rPr>
      </w:pPr>
    </w:p>
    <w:p w:rsidR="00EB3612" w:rsidRDefault="00A5685F" w:rsidP="008500AE">
      <w:pPr>
        <w:rPr>
          <w:b/>
          <w:bCs/>
          <w:color w:val="000000" w:themeColor="text1"/>
        </w:rPr>
      </w:pPr>
      <w:r>
        <w:rPr>
          <w:color w:val="000000" w:themeColor="text1"/>
          <w:lang w:val="fr-CA" w:bidi="fr-CA"/>
        </w:rPr>
        <w:t xml:space="preserve">La prochaine étape consistera à mettre sur pied un groupe de travail comprenant les RH, </w:t>
      </w:r>
      <w:bookmarkStart w:id="0" w:name="_GoBack"/>
      <w:bookmarkEnd w:id="0"/>
      <w:r>
        <w:rPr>
          <w:color w:val="000000" w:themeColor="text1"/>
          <w:lang w:val="fr-CA" w:bidi="fr-CA"/>
        </w:rPr>
        <w:t>S</w:t>
      </w:r>
      <w:r w:rsidR="00343E4C">
        <w:rPr>
          <w:color w:val="000000" w:themeColor="text1"/>
          <w:lang w:val="fr-CA" w:bidi="fr-CA"/>
        </w:rPr>
        <w:t>P</w:t>
      </w:r>
      <w:r>
        <w:rPr>
          <w:color w:val="000000" w:themeColor="text1"/>
          <w:lang w:val="fr-CA" w:bidi="fr-CA"/>
        </w:rPr>
        <w:t>C et le Bureau de l</w:t>
      </w:r>
      <w:r w:rsidR="00B2559B">
        <w:rPr>
          <w:color w:val="000000" w:themeColor="text1"/>
          <w:lang w:val="fr-CA" w:bidi="fr-CA"/>
        </w:rPr>
        <w:t>’</w:t>
      </w:r>
      <w:r>
        <w:rPr>
          <w:color w:val="000000" w:themeColor="text1"/>
          <w:lang w:val="fr-CA" w:bidi="fr-CA"/>
        </w:rPr>
        <w:t xml:space="preserve">accessibilité des TI. </w:t>
      </w:r>
    </w:p>
    <w:p w:rsidR="00EB3612" w:rsidRDefault="00EB3612" w:rsidP="008500AE">
      <w:pPr>
        <w:rPr>
          <w:b/>
          <w:bCs/>
          <w:color w:val="000000" w:themeColor="text1"/>
        </w:rPr>
      </w:pPr>
    </w:p>
    <w:p w:rsidR="00EB3612" w:rsidRDefault="00EB3612" w:rsidP="008500AE">
      <w:pPr>
        <w:rPr>
          <w:b/>
          <w:bCs/>
          <w:color w:val="000000" w:themeColor="text1"/>
        </w:rPr>
      </w:pPr>
    </w:p>
    <w:p w:rsidR="00EB3612" w:rsidRDefault="00EB3612" w:rsidP="008500AE">
      <w:pPr>
        <w:rPr>
          <w:b/>
          <w:bCs/>
          <w:color w:val="000000" w:themeColor="text1"/>
        </w:rPr>
      </w:pPr>
    </w:p>
    <w:p w:rsidR="00EB3612" w:rsidRDefault="00EB3612" w:rsidP="008500AE">
      <w:pPr>
        <w:rPr>
          <w:b/>
          <w:bCs/>
          <w:color w:val="000000" w:themeColor="text1"/>
        </w:rPr>
      </w:pPr>
    </w:p>
    <w:p w:rsidR="00EB3612" w:rsidRDefault="00EB3612" w:rsidP="008500AE">
      <w:pPr>
        <w:rPr>
          <w:b/>
          <w:bCs/>
          <w:color w:val="000000" w:themeColor="text1"/>
        </w:rPr>
      </w:pPr>
    </w:p>
    <w:sectPr w:rsidR="00EB3612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BF" w:rsidRDefault="001551BF" w:rsidP="005A2022">
      <w:r>
        <w:separator/>
      </w:r>
    </w:p>
  </w:endnote>
  <w:endnote w:type="continuationSeparator" w:id="0">
    <w:p w:rsidR="001551BF" w:rsidRDefault="001551BF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22" w:rsidRDefault="005A2022" w:rsidP="005A20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lang w:val="fr-CA" w:bidi="fr-CA"/>
      </w:rPr>
      <w:fldChar w:fldCharType="begin"/>
    </w:r>
    <w:r>
      <w:rPr>
        <w:rStyle w:val="Numrodepage"/>
        <w:lang w:val="fr-CA" w:bidi="fr-CA"/>
      </w:rPr>
      <w:instrText xml:space="preserve">PAGE  </w:instrText>
    </w:r>
    <w:r>
      <w:rPr>
        <w:rStyle w:val="Numrodepage"/>
        <w:lang w:val="fr-CA" w:bidi="fr-CA"/>
      </w:rPr>
      <w:fldChar w:fldCharType="separate"/>
    </w:r>
    <w:r w:rsidR="00B2559B">
      <w:rPr>
        <w:rStyle w:val="Numrodepage"/>
        <w:noProof/>
        <w:lang w:val="fr-CA" w:bidi="fr-CA"/>
      </w:rPr>
      <w:t>1</w:t>
    </w:r>
    <w:r>
      <w:rPr>
        <w:rStyle w:val="Numrodepage"/>
        <w:lang w:val="fr-CA" w:bidi="fr-CA"/>
      </w:rPr>
      <w:fldChar w:fldCharType="end"/>
    </w:r>
  </w:p>
  <w:p w:rsidR="005A2022" w:rsidRDefault="005A20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22" w:rsidRPr="005A2022" w:rsidRDefault="005A2022" w:rsidP="005A2022">
    <w:pPr>
      <w:pStyle w:val="Pieddepage"/>
      <w:framePr w:w="12240" w:wrap="around" w:vAnchor="text" w:hAnchor="page" w:x="1" w:y="537"/>
      <w:jc w:val="center"/>
      <w:rPr>
        <w:rStyle w:val="Numrodepage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Numrodepage"/>
        <w:rFonts w:ascii="Century Gothic" w:eastAsia="Century Gothic" w:hAnsi="Century Gothic" w:cs="Century Gothic"/>
        <w:b/>
        <w:color w:val="808080" w:themeColor="background1" w:themeShade="80"/>
        <w:lang w:val="fr-CA" w:bidi="fr-CA"/>
      </w:rPr>
      <w:fldChar w:fldCharType="begin"/>
    </w:r>
    <w:r w:rsidRPr="005A2022">
      <w:rPr>
        <w:rStyle w:val="Numrodepage"/>
        <w:rFonts w:ascii="Century Gothic" w:eastAsia="Century Gothic" w:hAnsi="Century Gothic" w:cs="Century Gothic"/>
        <w:b/>
        <w:color w:val="808080" w:themeColor="background1" w:themeShade="80"/>
        <w:lang w:val="fr-CA" w:bidi="fr-CA"/>
      </w:rPr>
      <w:instrText xml:space="preserve">PAGE  </w:instrText>
    </w:r>
    <w:r w:rsidRPr="005A2022">
      <w:rPr>
        <w:rStyle w:val="Numrodepage"/>
        <w:rFonts w:ascii="Century Gothic" w:eastAsia="Century Gothic" w:hAnsi="Century Gothic" w:cs="Century Gothic"/>
        <w:b/>
        <w:color w:val="808080" w:themeColor="background1" w:themeShade="80"/>
        <w:lang w:val="fr-CA" w:bidi="fr-CA"/>
      </w:rPr>
      <w:fldChar w:fldCharType="separate"/>
    </w:r>
    <w:r w:rsidR="0021423A">
      <w:rPr>
        <w:rStyle w:val="Numrodepage"/>
        <w:rFonts w:ascii="Century Gothic" w:eastAsia="Century Gothic" w:hAnsi="Century Gothic" w:cs="Century Gothic"/>
        <w:b/>
        <w:noProof/>
        <w:color w:val="808080" w:themeColor="background1" w:themeShade="80"/>
        <w:lang w:val="fr-CA" w:bidi="fr-CA"/>
      </w:rPr>
      <w:t>3</w:t>
    </w:r>
    <w:r w:rsidRPr="005A2022">
      <w:rPr>
        <w:rStyle w:val="Numrodepage"/>
        <w:rFonts w:ascii="Century Gothic" w:eastAsia="Century Gothic" w:hAnsi="Century Gothic" w:cs="Century Gothic"/>
        <w:b/>
        <w:color w:val="808080" w:themeColor="background1" w:themeShade="80"/>
        <w:lang w:val="fr-CA" w:bidi="fr-CA"/>
      </w:rPr>
      <w:fldChar w:fldCharType="end"/>
    </w:r>
  </w:p>
  <w:p w:rsidR="005A2022" w:rsidRDefault="005A2022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57369F85" wp14:editId="65929C3D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9B" w:rsidRDefault="00B255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BF" w:rsidRDefault="001551BF" w:rsidP="005A2022">
      <w:r>
        <w:separator/>
      </w:r>
    </w:p>
  </w:footnote>
  <w:footnote w:type="continuationSeparator" w:id="0">
    <w:p w:rsidR="001551BF" w:rsidRDefault="001551BF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9B" w:rsidRDefault="00B255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22" w:rsidRDefault="005A2022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0288" behindDoc="1" locked="0" layoutInCell="1" allowOverlap="1" wp14:anchorId="79B0117B" wp14:editId="729B9F2E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22" w:rsidRDefault="005A2022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480B1B8" wp14:editId="182EA65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00E"/>
    <w:multiLevelType w:val="hybridMultilevel"/>
    <w:tmpl w:val="55FAA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359A"/>
    <w:multiLevelType w:val="hybridMultilevel"/>
    <w:tmpl w:val="51DCB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4A66"/>
    <w:multiLevelType w:val="hybridMultilevel"/>
    <w:tmpl w:val="43568B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47A79"/>
    <w:multiLevelType w:val="hybridMultilevel"/>
    <w:tmpl w:val="60065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064FA"/>
    <w:multiLevelType w:val="hybridMultilevel"/>
    <w:tmpl w:val="5422F454"/>
    <w:lvl w:ilvl="0" w:tplc="C1209C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27A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42F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2CA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C62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A5F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89F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4D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B2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CA106D"/>
    <w:multiLevelType w:val="hybridMultilevel"/>
    <w:tmpl w:val="A632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70E25"/>
    <w:multiLevelType w:val="hybridMultilevel"/>
    <w:tmpl w:val="CCC8B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2956"/>
    <w:multiLevelType w:val="hybridMultilevel"/>
    <w:tmpl w:val="2DBAC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494F7E"/>
    <w:rsid w:val="0001173A"/>
    <w:rsid w:val="00022B6C"/>
    <w:rsid w:val="00042B71"/>
    <w:rsid w:val="0009007F"/>
    <w:rsid w:val="00147BE0"/>
    <w:rsid w:val="00152758"/>
    <w:rsid w:val="001551BF"/>
    <w:rsid w:val="001A72C9"/>
    <w:rsid w:val="001C5300"/>
    <w:rsid w:val="001E3C9E"/>
    <w:rsid w:val="001E58D2"/>
    <w:rsid w:val="0021423A"/>
    <w:rsid w:val="00226CAC"/>
    <w:rsid w:val="00242BDB"/>
    <w:rsid w:val="00307A67"/>
    <w:rsid w:val="00316BD9"/>
    <w:rsid w:val="00343E4C"/>
    <w:rsid w:val="003478C3"/>
    <w:rsid w:val="00483066"/>
    <w:rsid w:val="00494F7E"/>
    <w:rsid w:val="00497949"/>
    <w:rsid w:val="00502D26"/>
    <w:rsid w:val="00512027"/>
    <w:rsid w:val="005213E9"/>
    <w:rsid w:val="005409FD"/>
    <w:rsid w:val="005A2022"/>
    <w:rsid w:val="005A39A7"/>
    <w:rsid w:val="00663C7B"/>
    <w:rsid w:val="006E4995"/>
    <w:rsid w:val="00717302"/>
    <w:rsid w:val="0079759C"/>
    <w:rsid w:val="007E4F0F"/>
    <w:rsid w:val="0082544E"/>
    <w:rsid w:val="008500AE"/>
    <w:rsid w:val="008501D9"/>
    <w:rsid w:val="00876F46"/>
    <w:rsid w:val="008A748F"/>
    <w:rsid w:val="008D567F"/>
    <w:rsid w:val="009251D9"/>
    <w:rsid w:val="00972F4B"/>
    <w:rsid w:val="009840F2"/>
    <w:rsid w:val="00993226"/>
    <w:rsid w:val="009C0C73"/>
    <w:rsid w:val="00A5685F"/>
    <w:rsid w:val="00AC54DE"/>
    <w:rsid w:val="00B2559B"/>
    <w:rsid w:val="00B66343"/>
    <w:rsid w:val="00B844C3"/>
    <w:rsid w:val="00B87A69"/>
    <w:rsid w:val="00BA4F51"/>
    <w:rsid w:val="00BA7CA7"/>
    <w:rsid w:val="00BC0A2E"/>
    <w:rsid w:val="00C16FDE"/>
    <w:rsid w:val="00C374EC"/>
    <w:rsid w:val="00CD69EF"/>
    <w:rsid w:val="00CE790D"/>
    <w:rsid w:val="00D26833"/>
    <w:rsid w:val="00D37F79"/>
    <w:rsid w:val="00D74921"/>
    <w:rsid w:val="00DD44C3"/>
    <w:rsid w:val="00E12E3B"/>
    <w:rsid w:val="00E344A7"/>
    <w:rsid w:val="00E50091"/>
    <w:rsid w:val="00EB3612"/>
    <w:rsid w:val="00EB74D9"/>
    <w:rsid w:val="00EF0F6A"/>
    <w:rsid w:val="00F7413E"/>
    <w:rsid w:val="00FA2F54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966A5DB8-80BB-4C93-A98B-9943B501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2022"/>
  </w:style>
  <w:style w:type="paragraph" w:styleId="Pieddepage">
    <w:name w:val="footer"/>
    <w:basedOn w:val="Normal"/>
    <w:link w:val="Pieddepag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022"/>
  </w:style>
  <w:style w:type="paragraph" w:styleId="Textedebulles">
    <w:name w:val="Balloon Text"/>
    <w:basedOn w:val="Normal"/>
    <w:link w:val="TextedebullesC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A2022"/>
  </w:style>
  <w:style w:type="character" w:styleId="Lienhypertexte">
    <w:name w:val="Hyperlink"/>
    <w:basedOn w:val="Policepardfaut"/>
    <w:uiPriority w:val="99"/>
    <w:unhideWhenUsed/>
    <w:rsid w:val="008501D9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8501D9"/>
    <w:rPr>
      <w:rFonts w:ascii="Calibri" w:eastAsiaTheme="minorHAnsi" w:hAnsi="Calibri" w:cs="Times New Roman"/>
      <w:sz w:val="22"/>
      <w:szCs w:val="22"/>
      <w:lang w:eastAsia="en-CA"/>
    </w:rPr>
  </w:style>
  <w:style w:type="character" w:customStyle="1" w:styleId="TextebrutCar">
    <w:name w:val="Texte brut Car"/>
    <w:basedOn w:val="Policepardfaut"/>
    <w:link w:val="Textebrut"/>
    <w:uiPriority w:val="99"/>
    <w:rsid w:val="008501D9"/>
    <w:rPr>
      <w:rFonts w:ascii="Calibri" w:eastAsiaTheme="minorHAnsi" w:hAnsi="Calibri" w:cs="Times New Roman"/>
      <w:sz w:val="22"/>
      <w:szCs w:val="22"/>
      <w:lang w:eastAsia="en-CA"/>
    </w:rPr>
  </w:style>
  <w:style w:type="paragraph" w:styleId="Paragraphedeliste">
    <w:name w:val="List Paragraph"/>
    <w:basedOn w:val="Normal"/>
    <w:uiPriority w:val="34"/>
    <w:qFormat/>
    <w:rsid w:val="009C0C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E4F0F"/>
    <w:rPr>
      <w:color w:val="96D9D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5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cpedia.gc.ca/wiki/AccessAbilityroom20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D866E40B-1E86-4C60-9CC6-9AA17EE3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1330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Simon [W-T]</dc:creator>
  <cp:lastModifiedBy>Marie-Noel Pratte</cp:lastModifiedBy>
  <cp:revision>5</cp:revision>
  <dcterms:created xsi:type="dcterms:W3CDTF">2018-07-06T11:32:00Z</dcterms:created>
  <dcterms:modified xsi:type="dcterms:W3CDTF">2018-07-06T15:57:00Z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