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E37733" w:rsidRPr="00A96DC3" w:rsidTr="00703677">
        <w:tc>
          <w:tcPr>
            <w:tcW w:w="10302" w:type="dxa"/>
            <w:shd w:val="clear" w:color="auto" w:fill="auto"/>
          </w:tcPr>
          <w:p w:rsidR="00E37733" w:rsidRPr="00264E4F" w:rsidRDefault="00E37733" w:rsidP="00703677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264E4F">
              <w:rPr>
                <w:rFonts w:ascii="Arial" w:hAnsi="Arial" w:cs="Arial"/>
                <w:b/>
                <w:caps/>
                <w:color w:val="003478"/>
                <w:lang w:val="fr-CA"/>
              </w:rPr>
              <w:t>Agent ou agente de prestations - Service Canada (PM-02)</w:t>
            </w:r>
          </w:p>
        </w:tc>
      </w:tr>
      <w:tr w:rsidR="00E37733" w:rsidRPr="00264E4F" w:rsidTr="00703677">
        <w:tc>
          <w:tcPr>
            <w:tcW w:w="10302" w:type="dxa"/>
            <w:shd w:val="clear" w:color="auto" w:fill="auto"/>
          </w:tcPr>
          <w:p w:rsidR="00E37733" w:rsidRPr="00264E4F" w:rsidRDefault="00E37733" w:rsidP="00703677">
            <w:pPr>
              <w:jc w:val="center"/>
              <w:rPr>
                <w:rFonts w:ascii="Arial" w:hAnsi="Arial" w:cs="Arial"/>
              </w:rPr>
            </w:pPr>
            <w:proofErr w:type="spellStart"/>
            <w:r w:rsidRPr="00264E4F">
              <w:rPr>
                <w:rFonts w:ascii="Arial" w:hAnsi="Arial" w:cs="Arial"/>
              </w:rPr>
              <w:t>Processus</w:t>
            </w:r>
            <w:proofErr w:type="spellEnd"/>
            <w:r w:rsidRPr="00264E4F">
              <w:rPr>
                <w:rFonts w:ascii="Arial" w:hAnsi="Arial" w:cs="Arial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</w:rPr>
              <w:t>externe</w:t>
            </w:r>
            <w:proofErr w:type="spellEnd"/>
          </w:p>
        </w:tc>
      </w:tr>
    </w:tbl>
    <w:p w:rsidR="00E37733" w:rsidRPr="008B7FFD" w:rsidRDefault="00E37733" w:rsidP="00E377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3"/>
        <w:gridCol w:w="7596"/>
      </w:tblGrid>
      <w:tr w:rsidR="00E37733" w:rsidRPr="00264E4F" w:rsidTr="00E37733"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6" w:type="dxa"/>
            <w:shd w:val="clear" w:color="auto" w:fill="003478"/>
            <w:vAlign w:val="center"/>
          </w:tcPr>
          <w:p w:rsidR="00E37733" w:rsidRPr="00264E4F" w:rsidRDefault="00E3773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264E4F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essentielles</w:t>
            </w:r>
          </w:p>
        </w:tc>
      </w:tr>
      <w:tr w:rsidR="00E37733" w:rsidRPr="00264E4F" w:rsidTr="00E37733"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E37733" w:rsidRPr="00A96DC3" w:rsidTr="00E37733"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shd w:val="clear" w:color="auto" w:fill="auto"/>
          </w:tcPr>
          <w:p w:rsidR="00E37733" w:rsidRPr="002805A2" w:rsidRDefault="009D7D23" w:rsidP="00A96DC3">
            <w:pPr>
              <w:pStyle w:val="ListParagraph"/>
              <w:numPr>
                <w:ilvl w:val="0"/>
                <w:numId w:val="12"/>
              </w:numPr>
              <w:outlineLvl w:val="3"/>
              <w:rPr>
                <w:rFonts w:ascii="Arial" w:hAnsi="Arial" w:cs="Arial"/>
                <w:sz w:val="20"/>
                <w:szCs w:val="20"/>
                <w:lang w:val="fr-FR" w:eastAsia="en-US"/>
              </w:rPr>
            </w:pPr>
            <w:r w:rsidRPr="009D7D23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Diplôme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  <w:r w:rsidR="00E37733" w:rsidRPr="002805A2">
              <w:rPr>
                <w:rFonts w:ascii="Arial" w:hAnsi="Arial" w:cs="Arial"/>
                <w:sz w:val="20"/>
                <w:szCs w:val="20"/>
                <w:lang w:val="fr-FR" w:eastAsia="en-US"/>
              </w:rPr>
              <w:t xml:space="preserve"> </w:t>
            </w:r>
          </w:p>
        </w:tc>
      </w:tr>
      <w:tr w:rsidR="00E37733" w:rsidRPr="00264E4F" w:rsidTr="00E37733">
        <w:tc>
          <w:tcPr>
            <w:tcW w:w="162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E37733" w:rsidRPr="00A96DC3" w:rsidTr="00E37733"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shd w:val="clear" w:color="auto" w:fill="auto"/>
            <w:vAlign w:val="center"/>
          </w:tcPr>
          <w:p w:rsidR="00E37733" w:rsidRPr="00264E4F" w:rsidRDefault="00E37733" w:rsidP="00E377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Expérience de l'utilisation de la technologie (p. ex. logiciels de courrier électronique et de traitement de texte, Internet)</w:t>
            </w:r>
          </w:p>
          <w:p w:rsidR="00E37733" w:rsidRPr="00264E4F" w:rsidRDefault="00E37733" w:rsidP="00E377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de services ou de l'exécution de programmes à l'intention du grand public, notamment de l'obtention et de la communication de renseignements qui nécessitent des explications ou des éclaircissements</w:t>
            </w:r>
          </w:p>
          <w:p w:rsidR="00E37733" w:rsidRPr="00264E4F" w:rsidRDefault="00E37733" w:rsidP="009D7D2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Expérience de l'interprétation et de l'application de la législation ou des politiques</w:t>
            </w:r>
          </w:p>
        </w:tc>
      </w:tr>
      <w:tr w:rsidR="00E37733" w:rsidRPr="00264E4F" w:rsidTr="00E37733">
        <w:tc>
          <w:tcPr>
            <w:tcW w:w="1620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E37733" w:rsidRPr="00264E4F" w:rsidTr="00E37733"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E377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64E4F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orale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37733" w:rsidRPr="00264E4F" w:rsidRDefault="00E37733" w:rsidP="00E377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64E4F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écrite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37733" w:rsidRPr="00264E4F" w:rsidRDefault="00E37733" w:rsidP="00E377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Raisonnement</w:t>
            </w:r>
            <w:proofErr w:type="spellEnd"/>
          </w:p>
          <w:p w:rsidR="00E37733" w:rsidRPr="00264E4F" w:rsidRDefault="00E37733" w:rsidP="00E377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Collecte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données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diagnostiques</w:t>
            </w:r>
            <w:proofErr w:type="spellEnd"/>
          </w:p>
          <w:p w:rsidR="00E37733" w:rsidRPr="00264E4F" w:rsidRDefault="00E37733" w:rsidP="00E377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Attitude axée sur le client</w:t>
            </w:r>
          </w:p>
          <w:p w:rsidR="00E37733" w:rsidRPr="00264E4F" w:rsidRDefault="00E37733" w:rsidP="00E377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Ouverture aux autres</w:t>
            </w:r>
          </w:p>
          <w:p w:rsidR="00E37733" w:rsidRPr="00264E4F" w:rsidRDefault="00E37733" w:rsidP="00E377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E37733" w:rsidRPr="00264E4F" w:rsidRDefault="00E37733" w:rsidP="009D7D2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Esprit de décision</w:t>
            </w:r>
          </w:p>
        </w:tc>
      </w:tr>
      <w:tr w:rsidR="00E37733" w:rsidRPr="00A96DC3" w:rsidTr="00E37733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E37733" w:rsidRPr="00264E4F" w:rsidRDefault="00E37733" w:rsidP="00703677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E37733" w:rsidRPr="00264E4F" w:rsidTr="00E37733"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264E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shd w:val="clear" w:color="auto" w:fill="auto"/>
            <w:vAlign w:val="center"/>
          </w:tcPr>
          <w:p w:rsidR="00E37733" w:rsidRPr="00264E4F" w:rsidRDefault="00E37733" w:rsidP="00E3773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64E4F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E37733" w:rsidRPr="00264E4F" w:rsidRDefault="00E37733" w:rsidP="00E3773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E37733" w:rsidRPr="00264E4F" w:rsidRDefault="00E37733" w:rsidP="00E3773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64E4F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E37733" w:rsidRPr="00264E4F" w:rsidRDefault="00E37733" w:rsidP="00E3773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Bilingue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impératif</w:t>
            </w:r>
            <w:r w:rsidRPr="00264E4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Niveau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 xml:space="preserve"> : ____________________</w:t>
            </w:r>
          </w:p>
          <w:p w:rsidR="00E37733" w:rsidRPr="00264E4F" w:rsidRDefault="00E37733" w:rsidP="00A96DC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  <w:bookmarkStart w:id="0" w:name="_GoBack"/>
            <w:bookmarkEnd w:id="0"/>
          </w:p>
        </w:tc>
      </w:tr>
      <w:tr w:rsidR="00E37733" w:rsidRPr="00264E4F" w:rsidTr="00E37733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003478"/>
            <w:vAlign w:val="center"/>
          </w:tcPr>
          <w:p w:rsidR="00E37733" w:rsidRPr="00264E4F" w:rsidRDefault="00E3773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264E4F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constituant un atout</w:t>
            </w:r>
          </w:p>
        </w:tc>
      </w:tr>
      <w:tr w:rsidR="00E37733" w:rsidRPr="00264E4F" w:rsidTr="00E37733">
        <w:tc>
          <w:tcPr>
            <w:tcW w:w="160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E37733" w:rsidRPr="00A96DC3" w:rsidTr="00E37733">
        <w:tc>
          <w:tcPr>
            <w:tcW w:w="1607" w:type="dxa"/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264E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 xml:space="preserve">Réussite d'un programme postsecondaire de trois (3) ans dans un établissement d’enseignement reconnu </w:t>
            </w:r>
          </w:p>
          <w:p w:rsidR="00E37733" w:rsidRDefault="00E37733" w:rsidP="00E37733">
            <w:pPr>
              <w:numPr>
                <w:ilvl w:val="0"/>
                <w:numId w:val="10"/>
              </w:num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Un grade d'un établissement d'enseignement postsecondaire reconnu</w:t>
            </w:r>
          </w:p>
          <w:p w:rsidR="00E37733" w:rsidRPr="00264E4F" w:rsidRDefault="00E37733" w:rsidP="00E37733">
            <w:pPr>
              <w:numPr>
                <w:ilvl w:val="0"/>
                <w:numId w:val="10"/>
              </w:num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51969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2" w:anchor="Dipl" w:history="1">
              <w:r w:rsidRPr="00051969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051969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3" w:anchor="eepr" w:history="1">
              <w:r w:rsidRPr="00051969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051969">
              <w:rPr>
                <w:rFonts w:ascii="Arial" w:hAnsi="Arial" w:cs="Arial"/>
                <w:sz w:val="20"/>
                <w:szCs w:val="20"/>
                <w:lang w:val="fr-CA"/>
              </w:rPr>
              <w:t xml:space="preserve"> dans __________ </w:t>
            </w:r>
            <w:r w:rsidRPr="00051969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le programme)</w:t>
            </w:r>
          </w:p>
        </w:tc>
      </w:tr>
      <w:tr w:rsidR="00E37733" w:rsidRPr="00264E4F" w:rsidTr="00E37733">
        <w:tc>
          <w:tcPr>
            <w:tcW w:w="1607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E37733" w:rsidRPr="00A96DC3" w:rsidTr="00E37733">
        <w:tc>
          <w:tcPr>
            <w:tcW w:w="1607" w:type="dxa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9" w:type="dxa"/>
            <w:gridSpan w:val="2"/>
            <w:shd w:val="clear" w:color="auto" w:fill="C0C0C0"/>
            <w:vAlign w:val="center"/>
          </w:tcPr>
          <w:p w:rsidR="00E37733" w:rsidRPr="00264E4F" w:rsidRDefault="00E37733" w:rsidP="009D7D2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264E4F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264E4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64E4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264E4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64E4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264E4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64E4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264E4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64E4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264E4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64E4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264E4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64E4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264E4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64E4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264E4F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264E4F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264E4F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</w:tc>
      </w:tr>
      <w:tr w:rsidR="00E37733" w:rsidRPr="00A96DC3" w:rsidTr="00E37733">
        <w:tc>
          <w:tcPr>
            <w:tcW w:w="1607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264E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de la détermination de l'admissibilité et du droit à des prestations</w:t>
            </w:r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de la détermination de l'admissibilité et du droit à des services et/ou à des prestations du gouvernement</w:t>
            </w:r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de travail dans un environnement où des services sont offerts à un grand nombre de clients</w:t>
            </w:r>
          </w:p>
          <w:p w:rsidR="00E37733" w:rsidRPr="00264E4F" w:rsidRDefault="00E37733" w:rsidP="009D7D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de la réalisation d'entrevues auprès de clients</w:t>
            </w:r>
          </w:p>
        </w:tc>
      </w:tr>
      <w:tr w:rsidR="00E37733" w:rsidRPr="00264E4F" w:rsidTr="00E37733">
        <w:tc>
          <w:tcPr>
            <w:tcW w:w="160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  <w:proofErr w:type="spellEnd"/>
          </w:p>
        </w:tc>
      </w:tr>
      <w:tr w:rsidR="00E37733" w:rsidRPr="00A96DC3" w:rsidTr="00E37733">
        <w:tc>
          <w:tcPr>
            <w:tcW w:w="1607" w:type="dxa"/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264E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Connaissance des services offerts par Service Canada</w:t>
            </w:r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Connaissance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activités</w:t>
            </w:r>
            <w:proofErr w:type="spellEnd"/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 la prestation des services</w:t>
            </w:r>
          </w:p>
          <w:p w:rsidR="00E37733" w:rsidRPr="00264E4F" w:rsidRDefault="00E37733" w:rsidP="009D7D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</w:tc>
      </w:tr>
      <w:tr w:rsidR="00E37733" w:rsidRPr="00264E4F" w:rsidTr="00E37733">
        <w:tc>
          <w:tcPr>
            <w:tcW w:w="160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Capacités</w:t>
            </w:r>
            <w:proofErr w:type="spellEnd"/>
          </w:p>
        </w:tc>
      </w:tr>
      <w:tr w:rsidR="00E37733" w:rsidRPr="00264E4F" w:rsidTr="00E37733">
        <w:tc>
          <w:tcPr>
            <w:tcW w:w="1607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264E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64E4F">
              <w:rPr>
                <w:rFonts w:ascii="Arial" w:hAnsi="Arial" w:cs="Arial"/>
                <w:sz w:val="20"/>
                <w:szCs w:val="20"/>
              </w:rPr>
              <w:t xml:space="preserve">Utilisation de la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technologie</w:t>
            </w:r>
            <w:proofErr w:type="spellEnd"/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:rsidR="00E37733" w:rsidRPr="00264E4F" w:rsidRDefault="00E37733" w:rsidP="009D7D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64E4F">
              <w:rPr>
                <w:rFonts w:ascii="Arial" w:hAnsi="Arial" w:cs="Arial"/>
                <w:sz w:val="20"/>
                <w:szCs w:val="20"/>
              </w:rPr>
              <w:t>Souci du detail</w:t>
            </w:r>
          </w:p>
        </w:tc>
      </w:tr>
      <w:tr w:rsidR="00E37733" w:rsidRPr="00264E4F" w:rsidTr="00E37733">
        <w:tc>
          <w:tcPr>
            <w:tcW w:w="160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Qualités</w:t>
            </w:r>
            <w:proofErr w:type="spellEnd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personnelles</w:t>
            </w:r>
            <w:proofErr w:type="spellEnd"/>
          </w:p>
        </w:tc>
      </w:tr>
      <w:tr w:rsidR="00E37733" w:rsidRPr="00264E4F" w:rsidTr="00E37733">
        <w:tc>
          <w:tcPr>
            <w:tcW w:w="1607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264E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Évolution</w:t>
            </w:r>
            <w:proofErr w:type="spellEnd"/>
            <w:r w:rsidRPr="00264E4F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Apprentissage</w:t>
            </w:r>
            <w:proofErr w:type="spellEnd"/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64E4F">
              <w:rPr>
                <w:rFonts w:ascii="Arial" w:hAnsi="Arial" w:cs="Arial"/>
                <w:sz w:val="20"/>
                <w:szCs w:val="20"/>
              </w:rPr>
              <w:t xml:space="preserve">Sens de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l'initiative</w:t>
            </w:r>
            <w:proofErr w:type="spellEnd"/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64E4F">
              <w:rPr>
                <w:rFonts w:ascii="Arial" w:hAnsi="Arial" w:cs="Arial"/>
                <w:sz w:val="20"/>
                <w:szCs w:val="20"/>
              </w:rPr>
              <w:t>Attitude positive</w:t>
            </w:r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64E4F">
              <w:rPr>
                <w:rFonts w:ascii="Arial" w:hAnsi="Arial" w:cs="Arial"/>
                <w:sz w:val="20"/>
                <w:szCs w:val="20"/>
              </w:rPr>
              <w:t xml:space="preserve">Travail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d'équipe</w:t>
            </w:r>
            <w:proofErr w:type="spellEnd"/>
          </w:p>
          <w:p w:rsidR="00E37733" w:rsidRPr="00264E4F" w:rsidRDefault="00E37733" w:rsidP="009D7D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Jugement</w:t>
            </w:r>
            <w:proofErr w:type="spellEnd"/>
          </w:p>
        </w:tc>
      </w:tr>
      <w:tr w:rsidR="00E37733" w:rsidRPr="00264E4F" w:rsidTr="00E37733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</w:rPr>
            </w:pPr>
          </w:p>
        </w:tc>
        <w:tc>
          <w:tcPr>
            <w:tcW w:w="7609" w:type="dxa"/>
            <w:gridSpan w:val="2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E37733" w:rsidRPr="00264E4F" w:rsidRDefault="00E3773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264E4F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Exigences opérationnelles</w:t>
            </w:r>
          </w:p>
        </w:tc>
      </w:tr>
      <w:tr w:rsidR="00E37733" w:rsidRPr="00A96DC3" w:rsidTr="00E37733">
        <w:tc>
          <w:tcPr>
            <w:tcW w:w="1607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lastRenderedPageBreak/>
              <w:t>Choix</w:t>
            </w:r>
            <w:proofErr w:type="spellEnd"/>
            <w:r w:rsidRPr="00264E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 au besoin, et être en mesure de le faire</w:t>
            </w:r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 xml:space="preserve">Consentir à se rendre à différents endroits à l'intérieur de la zone de service _______________ </w:t>
            </w:r>
            <w:r w:rsidRPr="00264E4F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(nommer la zone)</w:t>
            </w: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, et être en mesure de le faire</w:t>
            </w:r>
          </w:p>
          <w:p w:rsidR="00E37733" w:rsidRPr="00264E4F" w:rsidRDefault="00E37733" w:rsidP="00703677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E37733" w:rsidRPr="00264E4F" w:rsidTr="00E37733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09" w:type="dxa"/>
            <w:gridSpan w:val="2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E37733" w:rsidRPr="00264E4F" w:rsidRDefault="00E3773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264E4F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Besoins de l'organisation</w:t>
            </w:r>
          </w:p>
        </w:tc>
      </w:tr>
      <w:tr w:rsidR="00E37733" w:rsidRPr="00264E4F" w:rsidTr="00E37733">
        <w:tc>
          <w:tcPr>
            <w:tcW w:w="1607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264E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E37733" w:rsidRPr="00264E4F" w:rsidRDefault="00E37733" w:rsidP="009D7D2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</w:tc>
      </w:tr>
      <w:tr w:rsidR="00E37733" w:rsidRPr="00264E4F" w:rsidTr="00E37733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</w:rPr>
            </w:pP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E37733" w:rsidRPr="00264E4F" w:rsidRDefault="00E3773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264E4F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Conditions d'emploi</w:t>
            </w:r>
          </w:p>
        </w:tc>
      </w:tr>
      <w:tr w:rsidR="00E37733" w:rsidRPr="00264E4F" w:rsidTr="00E37733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</w:rPr>
            </w:pP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Fiabilité</w:t>
            </w:r>
            <w:proofErr w:type="spellEnd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et </w:t>
            </w: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sécurité</w:t>
            </w:r>
            <w:proofErr w:type="spellEnd"/>
          </w:p>
        </w:tc>
      </w:tr>
      <w:tr w:rsidR="00E37733" w:rsidRPr="00264E4F" w:rsidTr="00E37733"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6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9D7D2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64E4F">
              <w:rPr>
                <w:rFonts w:ascii="Arial" w:hAnsi="Arial" w:cs="Arial"/>
                <w:sz w:val="20"/>
                <w:szCs w:val="20"/>
              </w:rPr>
              <w:t xml:space="preserve">Cote de </w:t>
            </w:r>
            <w:proofErr w:type="spellStart"/>
            <w:r w:rsidRPr="00264E4F">
              <w:rPr>
                <w:rFonts w:ascii="Arial" w:hAnsi="Arial" w:cs="Arial"/>
                <w:sz w:val="20"/>
                <w:szCs w:val="20"/>
              </w:rPr>
              <w:t>fiabilité</w:t>
            </w:r>
            <w:proofErr w:type="spellEnd"/>
          </w:p>
        </w:tc>
      </w:tr>
      <w:tr w:rsidR="00E37733" w:rsidRPr="00264E4F" w:rsidTr="00E37733">
        <w:tc>
          <w:tcPr>
            <w:tcW w:w="16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</w:rPr>
            </w:pPr>
          </w:p>
        </w:tc>
        <w:tc>
          <w:tcPr>
            <w:tcW w:w="7609" w:type="dxa"/>
            <w:gridSpan w:val="2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E37733" w:rsidRPr="00264E4F" w:rsidRDefault="00E37733" w:rsidP="00703677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Autres</w:t>
            </w:r>
            <w:proofErr w:type="spellEnd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conditions </w:t>
            </w:r>
            <w:proofErr w:type="spellStart"/>
            <w:r w:rsidRPr="00264E4F">
              <w:rPr>
                <w:rFonts w:ascii="Arial" w:hAnsi="Arial" w:cs="Arial"/>
                <w:b/>
                <w:color w:val="FFFFFF"/>
                <w:sz w:val="20"/>
                <w:szCs w:val="20"/>
              </w:rPr>
              <w:t>d'emploi</w:t>
            </w:r>
            <w:proofErr w:type="spellEnd"/>
          </w:p>
        </w:tc>
      </w:tr>
      <w:tr w:rsidR="00E37733" w:rsidRPr="00A96DC3" w:rsidTr="00E37733">
        <w:tc>
          <w:tcPr>
            <w:tcW w:w="1607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37733" w:rsidRPr="00264E4F" w:rsidRDefault="00E3773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264E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64E4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E37733" w:rsidRPr="00264E4F" w:rsidRDefault="00E37733" w:rsidP="00E3773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Consentir à voyager pour suivre des formations et être en mesure de le faire</w:t>
            </w:r>
          </w:p>
          <w:p w:rsidR="00E37733" w:rsidRPr="00264E4F" w:rsidRDefault="00E37733" w:rsidP="009D7D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64E4F">
              <w:rPr>
                <w:rFonts w:ascii="Arial" w:hAnsi="Arial" w:cs="Arial"/>
                <w:sz w:val="20"/>
                <w:szCs w:val="20"/>
                <w:lang w:val="fr-CA"/>
              </w:rPr>
              <w:t>Consentir à effectuer des quarts de travail et être en mesure de le faire</w:t>
            </w:r>
          </w:p>
        </w:tc>
      </w:tr>
    </w:tbl>
    <w:p w:rsidR="00E37733" w:rsidRPr="00A617B0" w:rsidRDefault="00E37733" w:rsidP="009D7D23">
      <w:pPr>
        <w:rPr>
          <w:rFonts w:ascii="Arial" w:hAnsi="Arial" w:cs="Arial"/>
          <w:lang w:val="fr-CA"/>
        </w:rPr>
      </w:pPr>
    </w:p>
    <w:sectPr w:rsidR="00E37733" w:rsidRPr="00A617B0" w:rsidSect="00F26C78">
      <w:headerReference w:type="default" r:id="rId14"/>
      <w:footerReference w:type="even" r:id="rId15"/>
      <w:footerReference w:type="default" r:id="rId16"/>
      <w:headerReference w:type="first" r:id="rId17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A4" w:rsidRDefault="00050BA4" w:rsidP="005A2022">
      <w:r>
        <w:separator/>
      </w:r>
    </w:p>
  </w:endnote>
  <w:endnote w:type="continuationSeparator" w:id="0">
    <w:p w:rsidR="00050BA4" w:rsidRDefault="00050BA4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A96DC3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637DB5" wp14:editId="1EDA5BA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A4" w:rsidRDefault="00050BA4" w:rsidP="005A2022">
      <w:r>
        <w:separator/>
      </w:r>
    </w:p>
  </w:footnote>
  <w:footnote w:type="continuationSeparator" w:id="0">
    <w:p w:rsidR="00050BA4" w:rsidRDefault="00050BA4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52734F" wp14:editId="3D1E886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F9DEEB" wp14:editId="41E9B66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C6553"/>
    <w:multiLevelType w:val="hybridMultilevel"/>
    <w:tmpl w:val="EAAC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C82977"/>
    <w:multiLevelType w:val="hybridMultilevel"/>
    <w:tmpl w:val="D48461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50BA4"/>
    <w:rsid w:val="00077DED"/>
    <w:rsid w:val="000809AD"/>
    <w:rsid w:val="000C3835"/>
    <w:rsid w:val="000F7F0D"/>
    <w:rsid w:val="00143D3F"/>
    <w:rsid w:val="00152758"/>
    <w:rsid w:val="00183D63"/>
    <w:rsid w:val="001C5300"/>
    <w:rsid w:val="001E58D2"/>
    <w:rsid w:val="002B7605"/>
    <w:rsid w:val="002D05E1"/>
    <w:rsid w:val="002D3038"/>
    <w:rsid w:val="00316BD9"/>
    <w:rsid w:val="003E79A1"/>
    <w:rsid w:val="00483066"/>
    <w:rsid w:val="00512027"/>
    <w:rsid w:val="005A2022"/>
    <w:rsid w:val="0060571B"/>
    <w:rsid w:val="00605BA4"/>
    <w:rsid w:val="0064101F"/>
    <w:rsid w:val="00853B14"/>
    <w:rsid w:val="00854628"/>
    <w:rsid w:val="008E3379"/>
    <w:rsid w:val="00925F1A"/>
    <w:rsid w:val="009A349C"/>
    <w:rsid w:val="009D40D1"/>
    <w:rsid w:val="009D7D23"/>
    <w:rsid w:val="00A83CB8"/>
    <w:rsid w:val="00A96DC3"/>
    <w:rsid w:val="00AE5F19"/>
    <w:rsid w:val="00B52A33"/>
    <w:rsid w:val="00B53320"/>
    <w:rsid w:val="00B87024"/>
    <w:rsid w:val="00BE7566"/>
    <w:rsid w:val="00C16FDE"/>
    <w:rsid w:val="00C50402"/>
    <w:rsid w:val="00D25F88"/>
    <w:rsid w:val="00D30184"/>
    <w:rsid w:val="00DA4383"/>
    <w:rsid w:val="00E37733"/>
    <w:rsid w:val="00E5778A"/>
    <w:rsid w:val="00F26C78"/>
    <w:rsid w:val="00F52E70"/>
    <w:rsid w:val="00F84B78"/>
    <w:rsid w:val="00F969D3"/>
    <w:rsid w:val="00FB00C1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paragraph" w:styleId="ListParagraph">
    <w:name w:val="List Paragraph"/>
    <w:basedOn w:val="Normal"/>
    <w:uiPriority w:val="34"/>
    <w:qFormat/>
    <w:rsid w:val="009D7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paragraph" w:styleId="ListParagraph">
    <w:name w:val="List Paragraph"/>
    <w:basedOn w:val="Normal"/>
    <w:uiPriority w:val="34"/>
    <w:qFormat/>
    <w:rsid w:val="009D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ada.ca/fr/secretariat-conseil-tresor/services/dotation/normes-qualification/central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anada.ca/fr/secretariat-conseil-tresor/services/dotation/normes-qualification/central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F81CC-8D12-409C-848F-6F80F98FDBC9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sharepoint/v4"/>
    <ds:schemaRef ds:uri="http://schemas.microsoft.com/office/infopath/2007/PartnerControls"/>
    <ds:schemaRef ds:uri="http://schemas.microsoft.com/office/2006/documentManagement/types"/>
    <ds:schemaRef ds:uri="aeabe285-28c2-4b4a-a8cd-631679229c94"/>
    <ds:schemaRef ds:uri="http://purl.org/dc/terms/"/>
    <ds:schemaRef ds:uri="4f810ac0-7940-4b47-8510-ccc18747f341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54F06-E7C7-494D-A6C9-098FA8F7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3</cp:revision>
  <dcterms:created xsi:type="dcterms:W3CDTF">2018-07-19T13:50:00Z</dcterms:created>
  <dcterms:modified xsi:type="dcterms:W3CDTF">2018-07-19T21:11:00Z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