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04" w:rsidRPr="006A7DB6" w:rsidRDefault="005D5B04" w:rsidP="00773AAF">
      <w:pPr>
        <w:rPr>
          <w:rFonts w:asciiTheme="minorHAnsi" w:hAnsiTheme="minorHAnsi" w:cs="Arial"/>
          <w:color w:val="0F243E" w:themeColor="text2" w:themeShade="80"/>
          <w:sz w:val="20"/>
          <w:szCs w:val="20"/>
        </w:rPr>
      </w:pPr>
      <w:r w:rsidRPr="006A7DB6">
        <w:rPr>
          <w:rFonts w:asciiTheme="minorHAnsi" w:hAnsiTheme="minorHAnsi"/>
          <w:b/>
          <w:smallCaps/>
          <w:noProof/>
          <w:color w:val="0F243E" w:themeColor="text2" w:themeShade="80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F394" wp14:editId="7B456CA6">
                <wp:simplePos x="0" y="0"/>
                <wp:positionH relativeFrom="column">
                  <wp:posOffset>16510</wp:posOffset>
                </wp:positionH>
                <wp:positionV relativeFrom="paragraph">
                  <wp:posOffset>-25704</wp:posOffset>
                </wp:positionV>
                <wp:extent cx="6805930" cy="397934"/>
                <wp:effectExtent l="0" t="0" r="13970" b="2159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979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DFC" w:rsidRPr="002E1E3E" w:rsidRDefault="006A7DB6" w:rsidP="00310DF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mallCaps/>
                                <w:sz w:val="32"/>
                                <w:szCs w:val="32"/>
                              </w:rPr>
                              <w:t>Entrevue</w:t>
                            </w:r>
                          </w:p>
                          <w:p w:rsidR="00310DFC" w:rsidRDefault="00310DFC" w:rsidP="00310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.3pt;margin-top:-2pt;width:535.9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fnsgIAACUGAAAOAAAAZHJzL2Uyb0RvYy54bWy0VNtOGzEQfa/Uf7D8XnYTwiURGxSBqCpR&#10;QEDFs+P1Zi3ZHtd2spt+Tf+FH+vYu1ko0Faq2jxsPPbMmZkzl5PTViuyEc5LMAUd7eWUCMOhlGZV&#10;0C/3Fx+OKfGBmZIpMKKgW+Hp6fz9u5PGzsQYalClcARBjJ81tqB1CHaWZZ7XQjO/B1YYfKzAaRZQ&#10;dKusdKxBdK2ycZ4fZg240jrgwnu8Pe8e6TzhV5Xg4bqqvAhEFRRjC+nr0ncZv9n8hM1Wjtla8j4M&#10;9hdRaCYNOh2gzllgZO3kKygtuQMPVdjjoDOoKslFygGzGeUvsrmrmRUpFyTH24Em/+9g+dXmxhFZ&#10;Yu0oMUxjiW6RNGZWSpDH74SDNJ4w58CU0pNRJKyxfoZ2d/bG9ZLHY8y+rZyO/5gXaRPJ24Fk0QbC&#10;8fLwOD+Y7mMtOL7tT4+m+5MImj1ZW+fDRwGaxENBHaxNGYNKBLPNpQ+d/k4vevSgZHkhlUpC7B5x&#10;phzZMKw741yYMErmaq0/Q9ndH+T4632nhosmKZKf0JT5rw4w8eghi6x2PKZT2CoR/SpzKyosEDI3&#10;ThkMkb5OztesFH/KLQFG5ArZGrA7dn6B3dHd60dTkSZrMM5/F1hnPFgkz2DCYKylAfcWgMKS9Z47&#10;/R1JHTWRpdAu2755UTPeLKHcYkM76CbdW34hsYsumQ83zOFoY+PhugrX+KkUNAWF/kRJDe7bW/dR&#10;HycOXylpcFUU1H9dMycoUZ8MzuJ0NJnE3ZKEycHRGAX3/GX5/MWs9RlgV+K8YXTpGPWD2h0rB/oB&#10;t9oiesUnZjj6LigPbiechW6F4V7kYrFIarhPLAuX5s7yCB55jgNy3z4wZ/tRCjiEV7BbK2z2Ypg6&#10;3WhpYLEOUMk0aU+89hXAXZTGpN+bcdk9l5PW03af/wAAAP//AwBQSwMEFAAGAAgAAAAhALsldJXd&#10;AAAACAEAAA8AAABkcnMvZG93bnJldi54bWxMj8FOwzAQRO9I/IO1SNxahyg0VcimikCVuCBo4QPc&#10;eJtE2OsodpPw97gnOI5mNPOm3C3WiIlG3ztGeFgnIIgbp3tuEb4+96stCB8Ua2UcE8IPedhVtzel&#10;KrSb+UDTMbQilrAvFEIXwlBI6ZuOrPJrNxBH7+xGq0KUYyv1qOZYbo1Mk2Qjreo5LnRqoOeOmu/j&#10;xSKca+kP/KamfTbNH/VrKvMX8454f7fUTyACLeEvDFf8iA5VZDq5C2svDEK6iUGEVRYfXe0kzzIQ&#10;J4THbQ6yKuX/A9UvAAAA//8DAFBLAQItABQABgAIAAAAIQC2gziS/gAAAOEBAAATAAAAAAAAAAAA&#10;AAAAAAAAAABbQ29udGVudF9UeXBlc10ueG1sUEsBAi0AFAAGAAgAAAAhADj9If/WAAAAlAEAAAsA&#10;AAAAAAAAAAAAAAAALwEAAF9yZWxzLy5yZWxzUEsBAi0AFAAGAAgAAAAhAPIE1+eyAgAAJQYAAA4A&#10;AAAAAAAAAAAAAAAALgIAAGRycy9lMm9Eb2MueG1sUEsBAi0AFAAGAAgAAAAhALsldJXdAAAACAEA&#10;AA8AAAAAAAAAAAAAAAAADAUAAGRycy9kb3ducmV2LnhtbFBLBQYAAAAABAAEAPMAAAAWBgAAAAA=&#10;" fillcolor="#243f60 [1604]" strokecolor="#243f60 [1604]" strokeweight="2pt">
                <v:textbox>
                  <w:txbxContent>
                    <w:p w:rsidR="00310DFC" w:rsidRPr="002E1E3E" w:rsidRDefault="006A7DB6" w:rsidP="00310DFC">
                      <w:pPr>
                        <w:jc w:val="center"/>
                        <w:rPr>
                          <w:rFonts w:asciiTheme="minorHAnsi" w:hAnsiTheme="minorHAnsi"/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mallCaps/>
                          <w:sz w:val="32"/>
                          <w:szCs w:val="32"/>
                        </w:rPr>
                        <w:t>Entrevue</w:t>
                      </w:r>
                    </w:p>
                    <w:p w:rsidR="00310DFC" w:rsidRDefault="00310DFC" w:rsidP="00310D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D5B04" w:rsidRPr="006A7DB6" w:rsidRDefault="005D5B04" w:rsidP="00773AAF">
      <w:pPr>
        <w:rPr>
          <w:rFonts w:asciiTheme="minorHAnsi" w:hAnsiTheme="minorHAnsi" w:cs="Arial"/>
          <w:color w:val="0F243E" w:themeColor="text2" w:themeShade="80"/>
          <w:sz w:val="20"/>
          <w:szCs w:val="20"/>
        </w:rPr>
      </w:pPr>
    </w:p>
    <w:tbl>
      <w:tblPr>
        <w:tblStyle w:val="TableGrid"/>
        <w:tblW w:w="10915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F4422" w:rsidRPr="0055104B" w:rsidTr="0015079B">
        <w:trPr>
          <w:jc w:val="center"/>
        </w:trPr>
        <w:tc>
          <w:tcPr>
            <w:tcW w:w="10915" w:type="dxa"/>
            <w:shd w:val="clear" w:color="auto" w:fill="FFFFFF" w:themeFill="background1"/>
          </w:tcPr>
          <w:p w:rsidR="009669C2" w:rsidRPr="006A7DB6" w:rsidRDefault="009669C2" w:rsidP="009669C2">
            <w:pPr>
              <w:rPr>
                <w:rFonts w:asciiTheme="minorHAnsi" w:hAnsiTheme="minorHAnsi" w:cs="Arial"/>
                <w:color w:val="0F243E" w:themeColor="text2" w:themeShade="80"/>
                <w:sz w:val="8"/>
                <w:szCs w:val="8"/>
              </w:rPr>
            </w:pPr>
          </w:p>
          <w:p w:rsidR="005D0A86" w:rsidRPr="005D0A86" w:rsidRDefault="005D0A86" w:rsidP="00EF7792">
            <w:pPr>
              <w:rPr>
                <w:rFonts w:asciiTheme="minorHAnsi" w:hAnsiTheme="minorHAnsi" w:cs="Arial"/>
                <w:color w:val="0F243E" w:themeColor="text2" w:themeShade="80"/>
                <w:sz w:val="8"/>
                <w:szCs w:val="8"/>
              </w:rPr>
            </w:pPr>
          </w:p>
          <w:p w:rsidR="006A7DB6" w:rsidRDefault="006A7DB6" w:rsidP="00EF7792">
            <w:pPr>
              <w:rPr>
                <w:rFonts w:asciiTheme="minorHAnsi" w:hAnsiTheme="minorHAnsi" w:cs="Arial"/>
                <w:color w:val="0F243E" w:themeColor="text2" w:themeShade="80"/>
                <w:sz w:val="20"/>
                <w:szCs w:val="20"/>
              </w:rPr>
            </w:pPr>
            <w:r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L’entrevue d’emploi est </w:t>
            </w:r>
            <w:r w:rsidR="0055104B"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l’une des </w:t>
            </w:r>
            <w:r w:rsidR="0055104B" w:rsidRPr="00805819">
              <w:rPr>
                <w:rFonts w:asciiTheme="minorHAnsi" w:hAnsiTheme="minorHAnsi" w:cs="Arial"/>
                <w:sz w:val="18"/>
                <w:szCs w:val="18"/>
              </w:rPr>
              <w:t>méthodes</w:t>
            </w:r>
            <w:r w:rsidRPr="00805819">
              <w:rPr>
                <w:rFonts w:asciiTheme="minorHAnsi" w:hAnsiTheme="minorHAnsi" w:cs="Arial"/>
                <w:sz w:val="18"/>
                <w:szCs w:val="18"/>
              </w:rPr>
              <w:t xml:space="preserve"> d’évaluation </w:t>
            </w:r>
            <w:r w:rsidR="00805819" w:rsidRPr="00805819">
              <w:rPr>
                <w:rFonts w:asciiTheme="minorHAnsi" w:hAnsiTheme="minorHAnsi" w:cs="Arial"/>
                <w:sz w:val="18"/>
                <w:szCs w:val="18"/>
              </w:rPr>
              <w:t>les</w:t>
            </w:r>
            <w:r w:rsidRPr="00805819">
              <w:rPr>
                <w:rFonts w:asciiTheme="minorHAnsi" w:hAnsiTheme="minorHAnsi" w:cs="Arial"/>
                <w:sz w:val="18"/>
                <w:szCs w:val="18"/>
              </w:rPr>
              <w:t xml:space="preserve"> plus utilisé</w:t>
            </w:r>
            <w:r w:rsidR="0055104B" w:rsidRPr="00805819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805819" w:rsidRPr="00805819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805819">
              <w:rPr>
                <w:rFonts w:asciiTheme="minorHAnsi" w:hAnsiTheme="minorHAnsi" w:cs="Arial"/>
                <w:sz w:val="18"/>
                <w:szCs w:val="18"/>
              </w:rPr>
              <w:t xml:space="preserve"> et </w:t>
            </w:r>
            <w:r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>influent</w:t>
            </w:r>
            <w:r w:rsidR="0055104B"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>e</w:t>
            </w:r>
            <w:r w:rsidR="0080581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>s</w:t>
            </w:r>
            <w:r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 dans le cadre du processus de nomination.</w:t>
            </w:r>
            <w:r w:rsidR="0055104B"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 Elle</w:t>
            </w:r>
            <w:r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="00274C42"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>est</w:t>
            </w:r>
            <w:r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 destiné</w:t>
            </w:r>
            <w:r w:rsidR="0055104B"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>e</w:t>
            </w:r>
            <w:r w:rsidRPr="00700579">
              <w:rPr>
                <w:rFonts w:asciiTheme="minorHAnsi" w:hAnsiTheme="minorHAnsi" w:cs="Arial"/>
                <w:color w:val="0F243E" w:themeColor="text2" w:themeShade="80"/>
                <w:sz w:val="18"/>
                <w:szCs w:val="18"/>
              </w:rPr>
              <w:t xml:space="preserve"> à recueillir des faits et des exemples de comportement afin d’établir une association entre la performance des candidats pendant l’entrevue et le rendement au travail</w:t>
            </w:r>
            <w:r>
              <w:rPr>
                <w:rFonts w:asciiTheme="minorHAnsi" w:hAnsiTheme="minorHAnsi" w:cs="Arial"/>
                <w:color w:val="0F243E" w:themeColor="text2" w:themeShade="80"/>
                <w:sz w:val="20"/>
                <w:szCs w:val="20"/>
              </w:rPr>
              <w:t>.</w:t>
            </w:r>
          </w:p>
          <w:p w:rsidR="009669C2" w:rsidRPr="0055104B" w:rsidRDefault="009669C2" w:rsidP="00E74E62">
            <w:pPr>
              <w:rPr>
                <w:rFonts w:asciiTheme="minorHAnsi" w:hAnsiTheme="minorHAnsi" w:cs="Arial"/>
                <w:color w:val="0F243E" w:themeColor="text2" w:themeShade="80"/>
                <w:sz w:val="8"/>
                <w:szCs w:val="8"/>
              </w:rPr>
            </w:pPr>
          </w:p>
        </w:tc>
      </w:tr>
      <w:tr w:rsidR="001F4422" w:rsidRPr="006A7DB6" w:rsidTr="0015079B">
        <w:trPr>
          <w:jc w:val="center"/>
        </w:trPr>
        <w:tc>
          <w:tcPr>
            <w:tcW w:w="10915" w:type="dxa"/>
            <w:shd w:val="clear" w:color="auto" w:fill="DBE5F1" w:themeFill="accent1" w:themeFillTint="33"/>
          </w:tcPr>
          <w:p w:rsidR="009669C2" w:rsidRPr="006A7DB6" w:rsidRDefault="00D47BB3" w:rsidP="00D008D9">
            <w:pPr>
              <w:jc w:val="center"/>
              <w:rPr>
                <w:rFonts w:asciiTheme="minorHAnsi" w:hAnsiTheme="minorHAnsi" w:cs="Arial"/>
                <w:b/>
                <w:smallCap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mallCaps/>
                <w:color w:val="0F243E" w:themeColor="text2" w:themeShade="80"/>
                <w:sz w:val="20"/>
                <w:szCs w:val="20"/>
              </w:rPr>
              <w:t>L’</w:t>
            </w:r>
            <w:r w:rsidR="00D84F02">
              <w:rPr>
                <w:rFonts w:asciiTheme="minorHAnsi" w:hAnsiTheme="minorHAnsi" w:cs="Arial"/>
                <w:b/>
                <w:smallCaps/>
                <w:color w:val="0F243E" w:themeColor="text2" w:themeShade="80"/>
                <w:sz w:val="20"/>
                <w:szCs w:val="20"/>
              </w:rPr>
              <w:t xml:space="preserve">entrevue </w:t>
            </w:r>
            <w:r w:rsidR="00D008D9" w:rsidRPr="00D008D9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devrait</w:t>
            </w:r>
            <w:r w:rsidR="00D84F02" w:rsidRPr="00D008D9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 xml:space="preserve"> </w:t>
            </w:r>
            <w:r w:rsidR="00D84F02">
              <w:rPr>
                <w:rFonts w:asciiTheme="minorHAnsi" w:hAnsiTheme="minorHAnsi" w:cs="Arial"/>
                <w:b/>
                <w:smallCaps/>
                <w:color w:val="0F243E" w:themeColor="text2" w:themeShade="80"/>
                <w:sz w:val="20"/>
                <w:szCs w:val="20"/>
              </w:rPr>
              <w:t>être</w:t>
            </w:r>
            <w:r w:rsidR="00211AAE" w:rsidRPr="006A7DB6">
              <w:rPr>
                <w:rFonts w:asciiTheme="minorHAnsi" w:hAnsiTheme="minorHAnsi" w:cs="Arial"/>
                <w:b/>
                <w:smallCaps/>
                <w:color w:val="0F243E" w:themeColor="text2" w:themeShade="80"/>
                <w:sz w:val="20"/>
                <w:szCs w:val="20"/>
              </w:rPr>
              <w:t>…</w:t>
            </w:r>
          </w:p>
        </w:tc>
      </w:tr>
      <w:tr w:rsidR="001F4422" w:rsidRPr="00F9635F" w:rsidTr="0015079B">
        <w:trPr>
          <w:jc w:val="center"/>
        </w:trPr>
        <w:tc>
          <w:tcPr>
            <w:tcW w:w="10915" w:type="dxa"/>
            <w:shd w:val="clear" w:color="auto" w:fill="FFFFFF" w:themeFill="background1"/>
          </w:tcPr>
          <w:p w:rsidR="009669C2" w:rsidRPr="0015079B" w:rsidRDefault="009669C2" w:rsidP="009669C2">
            <w:pPr>
              <w:rPr>
                <w:rStyle w:val="Strong"/>
                <w:rFonts w:asciiTheme="minorHAnsi" w:hAnsiTheme="minorHAnsi"/>
                <w:color w:val="0F243E" w:themeColor="text2" w:themeShade="80"/>
                <w:sz w:val="10"/>
                <w:szCs w:val="10"/>
              </w:rPr>
            </w:pPr>
          </w:p>
          <w:p w:rsidR="00D47BB3" w:rsidRPr="00700579" w:rsidRDefault="00D47BB3" w:rsidP="00D47BB3">
            <w:pPr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</w:pP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Lié</w:t>
            </w:r>
            <w:r w:rsidR="00484BA6"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e</w:t>
            </w: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à l’emploi</w:t>
            </w:r>
            <w:r w:rsidR="00EF7792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.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Les questions</w:t>
            </w:r>
            <w:r w:rsidR="00D008D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</w:t>
            </w:r>
            <w:r w:rsidR="00D008D9"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>devraient</w:t>
            </w:r>
            <w:r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 xml:space="preserve"> 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être fondées</w:t>
            </w:r>
            <w:r w:rsidR="006A78DC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sur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</w:t>
            </w:r>
            <w:r w:rsidR="00E16140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l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es qualifications essentielles liées à l’emploi </w:t>
            </w:r>
            <w:r w:rsidR="00DD127B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et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D008D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sur les qualifications constitua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nt un atout </w:t>
            </w:r>
            <w:r w:rsidR="00DD127B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affiché</w:t>
            </w:r>
            <w:r w:rsidR="00D008D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es</w:t>
            </w:r>
            <w:r w:rsidR="00DD127B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 dans l’É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noncé de critères de mérite, tel</w:t>
            </w:r>
            <w:r w:rsidR="00D008D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les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 que </w:t>
            </w:r>
            <w:r w:rsidR="00E16140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l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es compétences liées au travail </w:t>
            </w:r>
            <w:r w:rsidR="006A78DC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qui peuvent comprendre l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es connaissances, habiletés, capacités et </w:t>
            </w:r>
            <w:r w:rsidR="0024626A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qualités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 personnelles. </w:t>
            </w:r>
            <w:r w:rsidR="005970F7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Puisque les questions sont liées aux compétences pertinentes à l’emploi, l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es réponses d</w:t>
            </w:r>
            <w:r w:rsidR="002B1C86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es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 candidat</w:t>
            </w:r>
            <w:r w:rsidR="002B1C86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s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DD127B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 xml:space="preserve">permettront </w:t>
            </w:r>
            <w:r w:rsidR="002B1C86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</w:rPr>
              <w:t>de mieux prédire leur rendement au travail.</w:t>
            </w:r>
          </w:p>
          <w:p w:rsidR="00EF7792" w:rsidRPr="00F9635F" w:rsidRDefault="00EF7792" w:rsidP="00EF7792">
            <w:pPr>
              <w:rPr>
                <w:rFonts w:asciiTheme="minorHAnsi" w:hAnsiTheme="minorHAnsi"/>
                <w:b/>
                <w:bCs/>
                <w:color w:val="0F243E" w:themeColor="text2" w:themeShade="80"/>
                <w:sz w:val="8"/>
                <w:szCs w:val="8"/>
                <w:lang w:eastAsia="fr-CA"/>
              </w:rPr>
            </w:pPr>
          </w:p>
          <w:p w:rsidR="00EF7792" w:rsidRPr="00BC03E4" w:rsidRDefault="00EF7792" w:rsidP="00EF7792">
            <w:pPr>
              <w:rPr>
                <w:rFonts w:asciiTheme="minorHAnsi" w:hAnsiTheme="minorHAnsi"/>
                <w:b/>
                <w:bCs/>
                <w:color w:val="0F243E" w:themeColor="text2" w:themeShade="80"/>
                <w:sz w:val="8"/>
                <w:szCs w:val="8"/>
                <w:lang w:eastAsia="fr-CA"/>
              </w:rPr>
            </w:pP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Objecti</w:t>
            </w:r>
            <w:r w:rsidR="00484BA6"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ve</w:t>
            </w: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</w:t>
            </w:r>
            <w:r w:rsidR="00D84F02"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et offrir des opportunités égales</w:t>
            </w:r>
            <w:r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. </w:t>
            </w:r>
            <w:r w:rsidR="00F9635F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Les mêmes questions </w:t>
            </w:r>
            <w:r w:rsidR="00D008D9"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>devraient</w:t>
            </w:r>
            <w:r w:rsidR="00F9635F"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 xml:space="preserve"> </w:t>
            </w:r>
            <w:r w:rsidR="00F9635F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être posées à tous les candidats et leurs réponses </w:t>
            </w:r>
            <w:r w:rsidR="00D008D9"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>devraient</w:t>
            </w:r>
            <w:r w:rsidR="00F9635F"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 xml:space="preserve"> </w:t>
            </w:r>
            <w:r w:rsidR="00F9635F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être évaluées d’une manière standardisée en fonction des critères pertinents à l’emploi à l’aide d’une grille d’évaluation préétablie. Les candidats </w:t>
            </w:r>
            <w:r w:rsidR="00F9635F" w:rsidRPr="00D008D9">
              <w:rPr>
                <w:rFonts w:asciiTheme="minorHAnsi" w:hAnsiTheme="minorHAnsi"/>
                <w:sz w:val="18"/>
                <w:szCs w:val="18"/>
                <w:lang w:eastAsia="fr-CA"/>
              </w:rPr>
              <w:t xml:space="preserve">doivent </w:t>
            </w:r>
            <w:r w:rsidR="00F9635F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avoir une chance égale de démontrer leurs qualifications et être évalué</w:t>
            </w:r>
            <w:r w:rsidR="00230782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s</w:t>
            </w:r>
            <w:r w:rsidR="00F9635F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équitablement. De plus, le recours à un </w:t>
            </w:r>
            <w:r w:rsidR="00F9635F" w:rsidRPr="00574F21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jury plutôt qu’à une seule personne permet également d’accroître l’objectivité puisque </w:t>
            </w:r>
            <w:r w:rsidR="00574F21" w:rsidRPr="00574F21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un consensus est requis afin d’en arriver à un résultat </w:t>
            </w:r>
            <w:r w:rsidR="00F9635F" w:rsidRPr="00574F21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final</w:t>
            </w:r>
            <w:r w:rsidR="00574F21" w:rsidRPr="00574F21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. </w:t>
            </w:r>
            <w:r w:rsidR="00864394" w:rsidRPr="00574F21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Dans la mesure du possible, il est important de recourir aux mêmes membres du jury pour l’ensemble des candidats. Il est également important de</w:t>
            </w:r>
            <w:r w:rsidR="00864394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s’assurer que les membres du jury n’aient pas de conflits d’intérêt</w:t>
            </w:r>
            <w:r w:rsidR="00E874AC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>s</w:t>
            </w:r>
            <w:r w:rsidR="00864394" w:rsidRPr="00700579">
              <w:rPr>
                <w:rFonts w:asciiTheme="minorHAnsi" w:hAnsiTheme="minorHAnsi"/>
                <w:color w:val="0F243E" w:themeColor="text2" w:themeShade="80"/>
                <w:sz w:val="18"/>
                <w:szCs w:val="18"/>
                <w:lang w:eastAsia="fr-CA"/>
              </w:rPr>
              <w:t xml:space="preserve"> réels ou apparents qui pourraient changer l’issue du processus</w:t>
            </w:r>
            <w:r w:rsidR="00864394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eastAsia="fr-CA"/>
              </w:rPr>
              <w:t>.</w:t>
            </w:r>
          </w:p>
          <w:p w:rsidR="00F9635F" w:rsidRPr="00F9635F" w:rsidRDefault="00F9635F" w:rsidP="00DF7D47">
            <w:pPr>
              <w:rPr>
                <w:rFonts w:asciiTheme="minorHAnsi" w:hAnsiTheme="minorHAnsi"/>
                <w:color w:val="0F243E" w:themeColor="text2" w:themeShade="80"/>
                <w:sz w:val="8"/>
                <w:szCs w:val="8"/>
              </w:rPr>
            </w:pPr>
          </w:p>
        </w:tc>
      </w:tr>
      <w:tr w:rsidR="001F4422" w:rsidRPr="006A7DB6" w:rsidTr="0015079B">
        <w:trPr>
          <w:jc w:val="center"/>
        </w:trPr>
        <w:tc>
          <w:tcPr>
            <w:tcW w:w="10915" w:type="dxa"/>
            <w:shd w:val="clear" w:color="auto" w:fill="DBE5F1" w:themeFill="accent1" w:themeFillTint="33"/>
          </w:tcPr>
          <w:p w:rsidR="009669C2" w:rsidRPr="006A7DB6" w:rsidRDefault="00EF7792" w:rsidP="00921A2F">
            <w:pPr>
              <w:jc w:val="center"/>
              <w:rPr>
                <w:rFonts w:asciiTheme="minorHAnsi" w:hAnsiTheme="minorHAnsi" w:cs="Arial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6A7DB6">
              <w:rPr>
                <w:rFonts w:asciiTheme="minorHAnsi" w:hAnsiTheme="minorHAnsi"/>
                <w:b/>
                <w:smallCaps/>
                <w:color w:val="0F243E" w:themeColor="text2" w:themeShade="80"/>
                <w:sz w:val="20"/>
                <w:szCs w:val="20"/>
              </w:rPr>
              <w:t>Type</w:t>
            </w:r>
            <w:r w:rsidR="00921A2F">
              <w:rPr>
                <w:rFonts w:asciiTheme="minorHAnsi" w:hAnsiTheme="minorHAnsi"/>
                <w:b/>
                <w:smallCaps/>
                <w:color w:val="0F243E" w:themeColor="text2" w:themeShade="80"/>
                <w:sz w:val="20"/>
                <w:szCs w:val="20"/>
              </w:rPr>
              <w:t>s de questions d’entrevue</w:t>
            </w:r>
          </w:p>
        </w:tc>
      </w:tr>
      <w:tr w:rsidR="001F4422" w:rsidRPr="001A0B60" w:rsidTr="0015079B">
        <w:trPr>
          <w:jc w:val="center"/>
        </w:trPr>
        <w:tc>
          <w:tcPr>
            <w:tcW w:w="10915" w:type="dxa"/>
            <w:shd w:val="clear" w:color="auto" w:fill="FFFFFF" w:themeFill="background1"/>
          </w:tcPr>
          <w:p w:rsidR="00EF7792" w:rsidRPr="00921A2F" w:rsidRDefault="00EF7792" w:rsidP="00FD5E63">
            <w:pPr>
              <w:rPr>
                <w:rFonts w:asciiTheme="minorHAnsi" w:hAnsiTheme="minorHAnsi"/>
                <w:color w:val="0F243E" w:themeColor="text2" w:themeShade="80"/>
                <w:sz w:val="8"/>
                <w:szCs w:val="8"/>
              </w:rPr>
            </w:pPr>
          </w:p>
          <w:p w:rsidR="00EF7792" w:rsidRPr="00700579" w:rsidRDefault="001A0B60" w:rsidP="00EF7792">
            <w:pPr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</w:pP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Questions situationnelles </w:t>
            </w:r>
            <w:r w:rsidR="00EF7792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:</w:t>
            </w:r>
            <w:r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Dans le cadre des questions situationnelles, une situation hypothétique liée au poste est présentée aux candidats. Il s’agit d’une situation type à laquelle les candidats </w:t>
            </w:r>
            <w:r w:rsidR="00485B08" w:rsidRPr="00485B08">
              <w:rPr>
                <w:rFonts w:asciiTheme="minorHAnsi" w:hAnsiTheme="minorHAnsi"/>
                <w:bCs/>
                <w:sz w:val="18"/>
                <w:szCs w:val="18"/>
                <w:lang w:eastAsia="fr-CA"/>
              </w:rPr>
              <w:t>pourraient</w:t>
            </w:r>
            <w:r w:rsidRPr="00485B08">
              <w:rPr>
                <w:rFonts w:asciiTheme="minorHAnsi" w:hAnsiTheme="minorHAnsi"/>
                <w:bCs/>
                <w:sz w:val="18"/>
                <w:szCs w:val="18"/>
                <w:lang w:eastAsia="fr-CA"/>
              </w:rPr>
              <w:t xml:space="preserve"> </w:t>
            </w:r>
            <w:r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faire face dans l’exercice de leurs fonctions.</w:t>
            </w:r>
          </w:p>
          <w:p w:rsidR="00EF7792" w:rsidRPr="00921A2F" w:rsidRDefault="00EF7792" w:rsidP="00EF7792">
            <w:pPr>
              <w:rPr>
                <w:rFonts w:asciiTheme="minorHAnsi" w:hAnsiTheme="minorHAnsi"/>
                <w:bCs/>
                <w:color w:val="0F243E" w:themeColor="text2" w:themeShade="80"/>
                <w:sz w:val="8"/>
                <w:szCs w:val="8"/>
                <w:lang w:eastAsia="fr-CA"/>
              </w:rPr>
            </w:pPr>
          </w:p>
          <w:p w:rsidR="001A0B60" w:rsidRPr="001A0B60" w:rsidRDefault="001A0B60" w:rsidP="00EF7792">
            <w:pP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eastAsia="fr-CA"/>
              </w:rPr>
            </w:pP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Questions comportementales</w:t>
            </w:r>
            <w:r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 : Pour ces questions, les candidats </w:t>
            </w:r>
            <w:r w:rsidRPr="00485B08">
              <w:rPr>
                <w:rFonts w:asciiTheme="minorHAnsi" w:hAnsiTheme="minorHAnsi"/>
                <w:bCs/>
                <w:sz w:val="18"/>
                <w:szCs w:val="18"/>
                <w:lang w:eastAsia="fr-CA"/>
              </w:rPr>
              <w:t xml:space="preserve">doivent </w:t>
            </w:r>
            <w:r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décrire une expérience de vie ou de travail qui s’applique au poste en </w:t>
            </w:r>
            <w:r w:rsidR="0080581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question</w:t>
            </w:r>
            <w:r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. Cette expérience porte habituellement sur une situation au cours de laquelle les candidats ont dû démontrer une qualification particulière qui est importante pour le poste</w:t>
            </w:r>
            <w:r w:rsidR="000270A1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et qui a été </w:t>
            </w:r>
            <w:r w:rsidR="002738A5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définie</w:t>
            </w:r>
            <w:r w:rsidR="000270A1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dans l’énoncé de</w:t>
            </w:r>
            <w:r w:rsidR="00EC1FA8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s</w:t>
            </w:r>
            <w:r w:rsidR="000270A1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critère</w:t>
            </w:r>
            <w:r w:rsidR="00EC1FA8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s</w:t>
            </w:r>
            <w:r w:rsidR="000270A1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de mérite</w:t>
            </w:r>
            <w:r w:rsidRPr="001A0B60"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eastAsia="fr-CA"/>
              </w:rPr>
              <w:t>.</w:t>
            </w:r>
          </w:p>
          <w:p w:rsidR="001A0B60" w:rsidRPr="00921A2F" w:rsidRDefault="001A0B60" w:rsidP="00EF7792">
            <w:pPr>
              <w:rPr>
                <w:rFonts w:asciiTheme="minorHAnsi" w:hAnsiTheme="minorHAnsi"/>
                <w:bCs/>
                <w:color w:val="0F243E" w:themeColor="text2" w:themeShade="80"/>
                <w:sz w:val="8"/>
                <w:szCs w:val="8"/>
                <w:lang w:eastAsia="fr-CA"/>
              </w:rPr>
            </w:pPr>
            <w:bookmarkStart w:id="0" w:name="_GoBack"/>
            <w:bookmarkEnd w:id="0"/>
          </w:p>
          <w:p w:rsidR="00EF7792" w:rsidRPr="001A0B60" w:rsidRDefault="001A0B60" w:rsidP="00EF7792">
            <w:pP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eastAsia="fr-CA"/>
              </w:rPr>
            </w:pP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Questions sur les connaissances :</w:t>
            </w:r>
            <w:r w:rsidR="00EF7792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</w:t>
            </w:r>
            <w:r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Ces questions évaluent typiquement les connaissances techniques ou professionnelles requises pour assumer les fonctions du poste</w:t>
            </w:r>
            <w: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eastAsia="fr-CA"/>
              </w:rPr>
              <w:t>.</w:t>
            </w:r>
          </w:p>
          <w:p w:rsidR="00EF7792" w:rsidRPr="00921A2F" w:rsidRDefault="00EF7792" w:rsidP="00EF7792">
            <w:pPr>
              <w:rPr>
                <w:rFonts w:asciiTheme="minorHAnsi" w:hAnsiTheme="minorHAnsi"/>
                <w:bCs/>
                <w:color w:val="0F243E" w:themeColor="text2" w:themeShade="80"/>
                <w:sz w:val="8"/>
                <w:szCs w:val="8"/>
                <w:lang w:eastAsia="fr-CA"/>
              </w:rPr>
            </w:pPr>
          </w:p>
          <w:p w:rsidR="00150ACF" w:rsidRPr="00700579" w:rsidRDefault="00727D0C" w:rsidP="00727D0C">
            <w:pPr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</w:pPr>
            <w:r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>Simulation</w:t>
            </w:r>
            <w:r w:rsidR="001A0B60" w:rsidRPr="00700579">
              <w:rPr>
                <w:rFonts w:asciiTheme="minorHAnsi" w:hAnsiTheme="minorHAnsi"/>
                <w:b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</w:t>
            </w:r>
            <w:r w:rsidR="00EF7792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:</w:t>
            </w:r>
            <w:r w:rsidR="001A0B60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Dans le cadre de simulation, les candidats </w:t>
            </w:r>
            <w:r w:rsidR="001A0B60" w:rsidRPr="00485B08">
              <w:rPr>
                <w:rFonts w:asciiTheme="minorHAnsi" w:hAnsiTheme="minorHAnsi"/>
                <w:bCs/>
                <w:sz w:val="18"/>
                <w:szCs w:val="18"/>
                <w:lang w:eastAsia="fr-CA"/>
              </w:rPr>
              <w:t xml:space="preserve">doivent </w:t>
            </w:r>
            <w:r w:rsidR="001A0B60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effectuer une tâche qu’ils accomplir</w:t>
            </w:r>
            <w:r w:rsidR="00485B08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aient dans le contexte du</w:t>
            </w:r>
            <w:r w:rsidR="001A0B60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 xml:space="preserve"> travail</w:t>
            </w:r>
            <w:r w:rsidR="00EF7792" w:rsidRPr="00700579">
              <w:rPr>
                <w:rFonts w:asciiTheme="minorHAnsi" w:hAnsiTheme="minorHAnsi"/>
                <w:bCs/>
                <w:color w:val="0F243E" w:themeColor="text2" w:themeShade="80"/>
                <w:sz w:val="18"/>
                <w:szCs w:val="18"/>
                <w:lang w:eastAsia="fr-CA"/>
              </w:rPr>
              <w:t>.</w:t>
            </w:r>
          </w:p>
          <w:p w:rsidR="001A7966" w:rsidRPr="00700579" w:rsidRDefault="001A7966" w:rsidP="00727D0C">
            <w:pPr>
              <w:rPr>
                <w:rFonts w:asciiTheme="minorHAnsi" w:hAnsiTheme="minorHAnsi" w:cs="Arial"/>
                <w:color w:val="0F243E" w:themeColor="text2" w:themeShade="80"/>
                <w:sz w:val="8"/>
                <w:szCs w:val="8"/>
              </w:rPr>
            </w:pPr>
          </w:p>
        </w:tc>
      </w:tr>
      <w:tr w:rsidR="001A7966" w:rsidRPr="001A0B60" w:rsidTr="001A7966">
        <w:trPr>
          <w:jc w:val="center"/>
        </w:trPr>
        <w:tc>
          <w:tcPr>
            <w:tcW w:w="10915" w:type="dxa"/>
            <w:shd w:val="clear" w:color="auto" w:fill="DBE5F1" w:themeFill="accent1" w:themeFillTint="33"/>
          </w:tcPr>
          <w:p w:rsidR="001A7966" w:rsidRPr="001A7966" w:rsidRDefault="001A7966" w:rsidP="001A7966">
            <w:pPr>
              <w:jc w:val="center"/>
              <w:rPr>
                <w:rFonts w:asciiTheme="minorHAnsi" w:hAnsiTheme="minorHAnsi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1A7966">
              <w:rPr>
                <w:rFonts w:asciiTheme="minorHAnsi" w:hAnsiTheme="minorHAnsi"/>
                <w:b/>
                <w:smallCaps/>
                <w:color w:val="0F243E" w:themeColor="text2" w:themeShade="80"/>
                <w:sz w:val="20"/>
                <w:szCs w:val="20"/>
              </w:rPr>
              <w:t>Administration des entrevues</w:t>
            </w:r>
          </w:p>
        </w:tc>
      </w:tr>
      <w:tr w:rsidR="001A7966" w:rsidRPr="001A7966" w:rsidTr="0015079B">
        <w:trPr>
          <w:jc w:val="center"/>
        </w:trPr>
        <w:tc>
          <w:tcPr>
            <w:tcW w:w="10915" w:type="dxa"/>
            <w:shd w:val="clear" w:color="auto" w:fill="FFFFFF" w:themeFill="background1"/>
          </w:tcPr>
          <w:p w:rsidR="00700579" w:rsidRPr="00700579" w:rsidRDefault="00700579" w:rsidP="0070057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</w:pP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 xml:space="preserve">Les entrevues peuvent se faire en personne, par téléconférence et par vidéoconférence. La téléconférence et la vidéoconférence constituent </w:t>
            </w:r>
            <w:r w:rsidR="00965BFF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>des</w:t>
            </w: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 xml:space="preserve"> moyen</w:t>
            </w:r>
            <w:r w:rsidR="00965BFF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>s</w:t>
            </w: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 xml:space="preserve"> efficace</w:t>
            </w:r>
            <w:r w:rsidR="00965BFF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>s</w:t>
            </w: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 xml:space="preserve"> et rentable</w:t>
            </w:r>
            <w:r w:rsidR="00965BFF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>s</w:t>
            </w: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 xml:space="preserve"> d'évaluer les candidats situés à divers endroits. Communiquez avec votre </w:t>
            </w:r>
            <w:r w:rsidR="00F35BDA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>consultant</w:t>
            </w: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 xml:space="preserve"> en RH pour obtenir des avis et des conseils pour assurer la cohérence de l'utilisation de diverses méthodes pour mener des entrevues.</w:t>
            </w:r>
          </w:p>
          <w:p w:rsidR="00700579" w:rsidRPr="00D2358C" w:rsidRDefault="00700579" w:rsidP="0070057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La préparation </w:t>
            </w:r>
            <w:r w:rsidR="00965BFF"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>d’</w:t>
            </w:r>
            <w:r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instructions pour le comité d'évaluation et le candidat peut assurer que les entrevues sont administrées de façon cohérente. Les instructions peuvent inclure l'équipement et les outils qui seront mis à </w:t>
            </w:r>
            <w:r w:rsidR="00965BFF"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la </w:t>
            </w:r>
            <w:r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>disposition</w:t>
            </w:r>
            <w:r w:rsidR="00965BFF"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du candidat</w:t>
            </w:r>
            <w:r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(par exemple, l'utilisation d'Internet ou d'autres ressources), le calendrier, les demandes de </w:t>
            </w:r>
            <w:r w:rsidR="00965BFF"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>changements de dates</w:t>
            </w:r>
            <w:r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et les demande de mesure </w:t>
            </w:r>
            <w:r w:rsidR="00965BFF"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>d’adaptation</w:t>
            </w:r>
            <w:r w:rsidRPr="00D2358C">
              <w:rPr>
                <w:rFonts w:asciiTheme="minorHAnsi" w:hAnsiTheme="minorHAnsi" w:cs="Arial"/>
                <w:sz w:val="18"/>
                <w:szCs w:val="18"/>
                <w:lang w:val="fr-FR"/>
              </w:rPr>
              <w:t>, la sécurité et la confidentialité ainsi que les coordonnées (par téléphone ou par vidéoconférence).</w:t>
            </w:r>
          </w:p>
          <w:p w:rsidR="001A7966" w:rsidRPr="00700579" w:rsidRDefault="00700579" w:rsidP="0070057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 w:rsidRPr="00700579">
              <w:rPr>
                <w:rFonts w:asciiTheme="minorHAnsi" w:hAnsiTheme="minorHAnsi" w:cs="Arial"/>
                <w:color w:val="222222"/>
                <w:sz w:val="18"/>
                <w:szCs w:val="18"/>
                <w:lang w:val="fr-FR"/>
              </w:rPr>
              <w:t>Le comité d'évaluation peut également fournir aux candidats des questions avant le début de l’entrevue afin que les candidats puissent préparer des exemples plus détaillés et concrets.</w:t>
            </w:r>
          </w:p>
        </w:tc>
      </w:tr>
    </w:tbl>
    <w:p w:rsidR="005809A7" w:rsidRPr="00700579" w:rsidRDefault="00700579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  <w:r w:rsidRPr="006A7DB6">
        <w:rPr>
          <w:rFonts w:asciiTheme="minorHAnsi" w:hAnsiTheme="minorHAnsi"/>
          <w:b/>
          <w:smallCaps/>
          <w:noProof/>
          <w:color w:val="0F243E" w:themeColor="text2" w:themeShade="80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834C0" wp14:editId="60FC9366">
                <wp:simplePos x="0" y="0"/>
                <wp:positionH relativeFrom="column">
                  <wp:posOffset>-35781</wp:posOffset>
                </wp:positionH>
                <wp:positionV relativeFrom="paragraph">
                  <wp:posOffset>64550</wp:posOffset>
                </wp:positionV>
                <wp:extent cx="6934200" cy="2608028"/>
                <wp:effectExtent l="0" t="0" r="19050" b="2095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60802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D47" w:rsidRPr="00DF7D47" w:rsidRDefault="00DF7D47" w:rsidP="00574F21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F243E" w:themeColor="text2" w:themeShade="80"/>
                                <w:szCs w:val="20"/>
                                <w:lang w:eastAsia="fr-CA"/>
                              </w:rPr>
                            </w:pPr>
                            <w:r w:rsidRPr="00DF7D47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F243E" w:themeColor="text2" w:themeShade="80"/>
                                <w:szCs w:val="20"/>
                                <w:lang w:eastAsia="fr-CA"/>
                              </w:rPr>
                              <w:t>Quelques conseils!</w:t>
                            </w:r>
                          </w:p>
                          <w:p w:rsidR="005809A7" w:rsidRPr="005C5ECF" w:rsidRDefault="00DF7D47" w:rsidP="00C90AD7">
                            <w:pPr>
                              <w:spacing w:after="120"/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</w:pPr>
                            <w:r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L</w:t>
                            </w:r>
                            <w:r w:rsidR="00E16140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 xml:space="preserve">es </w:t>
                            </w:r>
                            <w:r w:rsidR="00255DE8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information</w:t>
                            </w:r>
                            <w:r w:rsidR="00E16140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s</w:t>
                            </w:r>
                            <w:r w:rsidR="00255DE8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 xml:space="preserve"> </w:t>
                            </w:r>
                            <w:r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suivante</w:t>
                            </w:r>
                            <w:r w:rsidR="00E16140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s</w:t>
                            </w:r>
                            <w:r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 xml:space="preserve"> pourrai</w:t>
                            </w:r>
                            <w:r w:rsidR="00E16140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ent</w:t>
                            </w:r>
                            <w:r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 xml:space="preserve"> être conservée</w:t>
                            </w:r>
                            <w:r w:rsidR="00E16140" w:rsidRPr="005C5ECF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s afin de mieux comprendre le processus d’entrevue, les résultats et comment les décisions ont été prises :</w:t>
                            </w:r>
                          </w:p>
                          <w:p w:rsidR="00255DE8" w:rsidRPr="005C5ECF" w:rsidRDefault="00255DE8" w:rsidP="00574F21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405"/>
                              </w:tabs>
                              <w:spacing w:after="120"/>
                              <w:ind w:left="357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Les critères de mérite, te</w:t>
                            </w:r>
                            <w:r w:rsidR="00257582"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ls qu’ils ont été évalués par les membres du comité d’évaluation</w:t>
                            </w: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, leurs définitions ainsi que leur importance relative, le cas échéant.</w:t>
                            </w:r>
                          </w:p>
                          <w:p w:rsidR="00255DE8" w:rsidRPr="005C5ECF" w:rsidRDefault="00255DE8" w:rsidP="00574F21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357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Toutes les questions de l’entrevue et les critères d’évaluation, tel</w:t>
                            </w:r>
                            <w:r w:rsidR="00E874AC"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le</w:t>
                            </w: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s que les indicateurs de comportement efficaces pour les questions comportementales ou situationnelles </w:t>
                            </w:r>
                            <w:r w:rsidR="00574F21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et</w:t>
                            </w: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les réponses appropriées aux questions sur les connaissances.</w:t>
                            </w:r>
                          </w:p>
                          <w:p w:rsidR="005809A7" w:rsidRPr="005C5ECF" w:rsidRDefault="00255DE8" w:rsidP="00574F21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357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L’échelle de cotation, y compris le pointage numérique et les descriptions narratives, le cas échéant.</w:t>
                            </w:r>
                          </w:p>
                          <w:p w:rsidR="00255DE8" w:rsidRPr="005C5ECF" w:rsidRDefault="00255DE8" w:rsidP="00574F21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357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Les notes détaillées </w:t>
                            </w:r>
                            <w:r w:rsidR="000328D3"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et factuelles de tous les </w:t>
                            </w:r>
                            <w:r w:rsidRPr="005C5EC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membres du jury relativement à chacune des réponses et pour tous les candidats.</w:t>
                            </w:r>
                          </w:p>
                          <w:p w:rsidR="005C5ECF" w:rsidRPr="00176467" w:rsidRDefault="00176467" w:rsidP="00574F21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357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176467">
                              <w:rPr>
                                <w:rFonts w:asciiTheme="minorHAnsi" w:hAnsiTheme="minorHAnsi"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Comment les résultats de l'entrevue ont été intégrés à d'autres sources d'information, afin de prendre une décision de nomination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-2.8pt;margin-top:5.1pt;width:546pt;height:20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3ewgIAAFQGAAAOAAAAZHJzL2Uyb0RvYy54bWzEVc1u2zAMvg/YOwi6r3bStEuNOkXQosOA&#10;rg3aDj0rshwLkEVNUuJkT7N32YuNkhy3688Ow4BdHIkiP5Iff3J6tm0V2QjrJOiSjg5ySoTmUEm9&#10;KunX+8sPU0qcZ7piCrQo6U44ejZ7/+60M4UYQwOqEpYgiHZFZ0raeG+KLHO8ES1zB2CExscabMs8&#10;Xu0qqyzrEL1V2TjPj7MObGUscOEcSi/SI51F/LoW3N/UtROeqJJibD5+bfwuwzebnbJiZZlpJO/D&#10;YH8RRcukRqcD1AXzjKytfAHVSm7BQe0POLQZ1LXkIuaA2YzyZ9ncNcyImAuS48xAk/t3sPx6s7BE&#10;ViU9pESzFkt0i6QxvVKC/PxBOEjtCLMWdCUdOQyEdcYVaHdnFra/OTyG7Le1bcMv5kW2keTdQLLY&#10;esJReHxyOMHKUcLxbXycT/PxNKBmj+bGOv9JQEvCoaQW1roKUUWG2ebK+aS/1wsuHShZXUql4iW0&#10;jzhXlmwYFp5xLrQfRXO1br9AleQYBgaCWKxAMTZKEk/3YgwpNmJAigH+5kTp/+EXYwqOs1CERHs8&#10;+Z0SMQ99K2qsJxI9jvkOCbykwjWsEkl89GbKKgAG5Bq5HbATl29gp+L0+sFUxEEcjPM/BZaMB4vo&#10;GbQfjFupwb4GoLDAveekvycpURNY8tvlNvZ61AySJVQ77H8LaTE4wy8l9twVc37BLG4C7FPcbv4G&#10;P7WCrqTQnyhpwH5/TR70cUDxlZION0tJ3bc1s4IS9Vnj6J6MJpOwiuJlcvRxjBf79GX59EWv23PA&#10;Hh7hHjU8HoO+V/tjbaF9wCU4D17xiWmOvkvKvd1fzn3aeLhGuZjPoxquH8P8lb4zPIAHnsM43W8f&#10;mDX94Hmc2WvYbyFWPBu9pBssNczXHmoZ5/KR174CuLri9PRrNuzGp/eo9fhnMPsFAAD//wMAUEsD&#10;BBQABgAIAAAAIQB9Sy/14gAAAAoBAAAPAAAAZHJzL2Rvd25yZXYueG1sTI9LT8MwEITvSPwHa5G4&#10;oNYmKlEIcSqelyocWhCC2zbZPES8DrHbBn497gmOszOa+TZbTqYXexpdZ1nD5VyBIC5t1XGj4fXl&#10;aZaAcB65wt4yafgmB8v89CTDtLIHXtN+4xsRStilqKH1fkildGVLBt3cDsTBq+1o0Ac5NrIa8RDK&#10;TS8jpWJpsOOw0OJA9y2Vn5ud0VDU9du7vysenk3y8bhaXXytix/U+vxsur0B4Wnyf2E44gd0yAPT&#10;1u64cqLXMLuKQzLcVQTi6KskXoDYalhE6hpknsn/L+S/AAAA//8DAFBLAQItABQABgAIAAAAIQC2&#10;gziS/gAAAOEBAAATAAAAAAAAAAAAAAAAAAAAAABbQ29udGVudF9UeXBlc10ueG1sUEsBAi0AFAAG&#10;AAgAAAAhADj9If/WAAAAlAEAAAsAAAAAAAAAAAAAAAAALwEAAF9yZWxzLy5yZWxzUEsBAi0AFAAG&#10;AAgAAAAhABG9Hd7CAgAAVAYAAA4AAAAAAAAAAAAAAAAALgIAAGRycy9lMm9Eb2MueG1sUEsBAi0A&#10;FAAGAAgAAAAhAH1LL/XiAAAACgEAAA8AAAAAAAAAAAAAAAAAHAUAAGRycy9kb3ducmV2LnhtbFBL&#10;BQYAAAAABAAEAPMAAAArBgAAAAA=&#10;" fillcolor="#dbe5f1 [660]" strokecolor="#dbe5f1 [660]" strokeweight="2pt">
                <v:textbox>
                  <w:txbxContent>
                    <w:p w:rsidR="00DF7D47" w:rsidRPr="00DF7D47" w:rsidRDefault="00DF7D47" w:rsidP="00574F21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b/>
                          <w:bCs/>
                          <w:smallCaps/>
                          <w:color w:val="0F243E" w:themeColor="text2" w:themeShade="80"/>
                          <w:szCs w:val="20"/>
                          <w:lang w:eastAsia="fr-CA"/>
                        </w:rPr>
                      </w:pPr>
                      <w:r w:rsidRPr="00DF7D47">
                        <w:rPr>
                          <w:rFonts w:asciiTheme="minorHAnsi" w:hAnsiTheme="minorHAnsi"/>
                          <w:b/>
                          <w:bCs/>
                          <w:smallCaps/>
                          <w:color w:val="0F243E" w:themeColor="text2" w:themeShade="80"/>
                          <w:szCs w:val="20"/>
                          <w:lang w:eastAsia="fr-CA"/>
                        </w:rPr>
                        <w:t>Quelques conseils!</w:t>
                      </w:r>
                    </w:p>
                    <w:p w:rsidR="005809A7" w:rsidRPr="005C5ECF" w:rsidRDefault="00DF7D47" w:rsidP="00C90AD7">
                      <w:pPr>
                        <w:spacing w:after="120"/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</w:pPr>
                      <w:r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L</w:t>
                      </w:r>
                      <w:r w:rsidR="00E16140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 xml:space="preserve">es </w:t>
                      </w:r>
                      <w:r w:rsidR="00255DE8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information</w:t>
                      </w:r>
                      <w:r w:rsidR="00E16140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s</w:t>
                      </w:r>
                      <w:r w:rsidR="00255DE8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 xml:space="preserve"> </w:t>
                      </w:r>
                      <w:r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suivante</w:t>
                      </w:r>
                      <w:r w:rsidR="00E16140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s</w:t>
                      </w:r>
                      <w:r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 xml:space="preserve"> pourrai</w:t>
                      </w:r>
                      <w:r w:rsidR="00E16140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ent</w:t>
                      </w:r>
                      <w:r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 xml:space="preserve"> être conservée</w:t>
                      </w:r>
                      <w:r w:rsidR="00E16140" w:rsidRPr="005C5ECF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s afin de mieux comprendre le processus d’entrevue, les résultats et comment les décisions ont été prises :</w:t>
                      </w:r>
                    </w:p>
                    <w:p w:rsidR="00255DE8" w:rsidRPr="005C5ECF" w:rsidRDefault="00255DE8" w:rsidP="00574F21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405"/>
                        </w:tabs>
                        <w:spacing w:after="120"/>
                        <w:ind w:left="357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Les critères de mérite, te</w:t>
                      </w:r>
                      <w:r w:rsidR="00257582"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ls qu’ils ont été évalués par les membres du comité d’évaluation</w:t>
                      </w: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, leurs définitions ainsi que leur importance relative, le cas échéant.</w:t>
                      </w:r>
                    </w:p>
                    <w:p w:rsidR="00255DE8" w:rsidRPr="005C5ECF" w:rsidRDefault="00255DE8" w:rsidP="00574F21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357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Toutes les questions de l’entrevue et les critères d’évaluation, tel</w:t>
                      </w:r>
                      <w:r w:rsidR="00E874AC"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le</w:t>
                      </w: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s que les indicateurs de comportement efficaces pour les questions comportementales ou situationnelles </w:t>
                      </w:r>
                      <w:r w:rsidR="00574F21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et</w:t>
                      </w: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les réponses appropriées aux questions sur les connaissances.</w:t>
                      </w:r>
                    </w:p>
                    <w:p w:rsidR="005809A7" w:rsidRPr="005C5ECF" w:rsidRDefault="00255DE8" w:rsidP="00574F21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357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L’échelle de cotation, y compris le pointage numérique et les descriptions narratives, le cas échéant.</w:t>
                      </w:r>
                    </w:p>
                    <w:p w:rsidR="00255DE8" w:rsidRPr="005C5ECF" w:rsidRDefault="00255DE8" w:rsidP="00574F21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357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Les notes détaillées </w:t>
                      </w:r>
                      <w:r w:rsidR="000328D3"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et factuelles de tous les </w:t>
                      </w:r>
                      <w:r w:rsidRPr="005C5ECF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membres du jury relativement à chacune des réponses et pour tous les candidats.</w:t>
                      </w:r>
                    </w:p>
                    <w:p w:rsidR="005C5ECF" w:rsidRPr="00176467" w:rsidRDefault="00176467" w:rsidP="00574F21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357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176467">
                        <w:rPr>
                          <w:rFonts w:asciiTheme="minorHAnsi" w:hAnsiTheme="minorHAnsi" w:cs="Arial"/>
                          <w:color w:val="222222"/>
                          <w:sz w:val="18"/>
                          <w:szCs w:val="18"/>
                          <w:lang w:val="fr-FR"/>
                        </w:rPr>
                        <w:t>Comment les résultats de l'entrevue ont été intégrés à d'autres sources d'information, afin de prendre une décision de nomination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1A7966" w:rsidRPr="00700579" w:rsidRDefault="00176467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  <w:r w:rsidRPr="006A7DB6">
        <w:rPr>
          <w:rFonts w:asciiTheme="minorHAnsi" w:hAnsiTheme="minorHAnsi" w:cs="Arial"/>
          <w:noProof/>
          <w:color w:val="0F243E" w:themeColor="text2" w:themeShade="80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60C53" wp14:editId="4633B7D3">
                <wp:simplePos x="0" y="0"/>
                <wp:positionH relativeFrom="column">
                  <wp:posOffset>34925</wp:posOffset>
                </wp:positionH>
                <wp:positionV relativeFrom="paragraph">
                  <wp:posOffset>132411</wp:posOffset>
                </wp:positionV>
                <wp:extent cx="6805930" cy="675640"/>
                <wp:effectExtent l="0" t="0" r="13970" b="101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675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A86" w:rsidRDefault="005D0A86" w:rsidP="00682F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mallCaps/>
                                <w:color w:val="0F243E" w:themeColor="text2" w:themeShade="80"/>
                              </w:rPr>
                              <w:t>Vous avez besoin de renseignements supplémentaires?</w:t>
                            </w:r>
                          </w:p>
                          <w:p w:rsidR="00B31622" w:rsidRPr="00DF7D47" w:rsidRDefault="00DF7D47" w:rsidP="005D0A86">
                            <w:pPr>
                              <w:jc w:val="center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DF7D4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>G</w:t>
                            </w:r>
                            <w:r w:rsidR="005D0A86" w:rsidRPr="00DF7D4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>uide</w:t>
                            </w:r>
                            <w:r w:rsidR="00A71311" w:rsidRPr="00DF7D4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de l’</w:t>
                            </w:r>
                            <w:hyperlink r:id="rId8" w:history="1">
                              <w:r w:rsidR="008E3470" w:rsidRPr="00DF7D47">
                                <w:rPr>
                                  <w:rStyle w:val="Hyperlink"/>
                                  <w:rFonts w:asciiTheme="minorHAnsi" w:hAnsiTheme="minorHAnsi"/>
                                  <w:i/>
                                  <w:sz w:val="20"/>
                                  <w:szCs w:val="20"/>
                                </w:rPr>
                                <w:t>Entrevue structurée</w:t>
                              </w:r>
                            </w:hyperlink>
                            <w:r w:rsidR="005D0A86" w:rsidRPr="00DF7D4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de la CFP</w:t>
                            </w:r>
                          </w:p>
                          <w:p w:rsidR="00DF7D47" w:rsidRPr="00DF7D47" w:rsidRDefault="00DF7D47" w:rsidP="005D0A86">
                            <w:pPr>
                              <w:jc w:val="center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DF7D4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Communiquer avec votre </w:t>
                            </w:r>
                            <w:r w:rsidR="00F71159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>consultant</w:t>
                            </w:r>
                            <w:r w:rsidRPr="00DF7D4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en RH  en soumettant une demande dans le  </w:t>
                            </w:r>
                            <w:hyperlink r:id="rId9" w:history="1">
                              <w:r w:rsidRPr="00DF7D47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Centre de service en RH (CSRH)</w:t>
                              </w:r>
                            </w:hyperlink>
                          </w:p>
                          <w:p w:rsidR="00DF7D47" w:rsidRPr="005D0A86" w:rsidRDefault="00DF7D47" w:rsidP="005D0A86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8" style="position:absolute;margin-left:2.75pt;margin-top:10.45pt;width:535.9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pVwAIAAOwFAAAOAAAAZHJzL2Uyb0RvYy54bWysVM1u2zAMvg/YOwi6r3ayJk2DOkXQosOA&#10;ri3aDj0rshwLkERNUmJnT7N32YuNkh036M8Owy62xJ+P5CeSZ+etVmQrnJdgCjo6yikRhkMpzbqg&#10;3x+vPs0o8YGZkikwoqA74en54uOHs8bOxRhqUKVwBEGMnze2oHUIdp5lntdCM38EVhhUVuA0C3h1&#10;66x0rEF0rbJxnk+zBlxpHXDhPUovOyVdJPyqEjzcVpUXgaiCYm4hfV36ruI3W5yx+doxW0vep8H+&#10;IQvNpMGgA9QlC4xsnHwFpSV34KEKRxx0BlUluUg1YDWj/EU1DzWzItWC5Hg70OT/Hyy/2d45IsuC&#10;jikxTOMT3SNpzKyVIL9/EQ7SeMKcA1NKT8aRsMb6Ofo92DvX3zweY/Vt5XT8Y12kTSTvBpJFGwhH&#10;4XSWT04/41tw1E1PJtPj9ArZs7d1PnwRoEk8FNTBxpQxqUQw2177gGHRfm8XIxq4kkql11QmCjwo&#10;WUZZusR2EhfKkS3DRmCcCxNGCU9t9DcoOzk2VN63BIqxcTrxbC/GmKkxI1LK4CAI6mLgLJLT0ZFO&#10;YadEzECZe1Ehz0jAOMUdgF6n5GtWik48eTd0AozIFdY4YHc1vYPdsdbbR1eRBmRwzv+WWOc8eKTI&#10;YMLgrKUB9xaAQqL7yJ39nqSOmshSaFdt34NoGSUrKHfYlw66gfWWX0lshmvmwx1zOKHYP7h1wi1+&#10;KgVNQaE/UVKD+/mWPNrj4KCWkgYnvqD+x4Y5QYn6anCkTkfH2IokpMvx5GSMF3eoWR1qzEZfAPbS&#10;CPeb5ekY7YPaHysH+gmX0zJGRRUzHGMXlAe3v1yEbhPheuNiuUxmuBYsC9fmwfIIHnmOff7YPjFn&#10;+4kIOEs3sN8ObP5iJjrb6GlguQlQyTQwz7z2L4ArJXVxv/7izjq8J6vnJb34AwAA//8DAFBLAwQU&#10;AAYACAAAACEA+WgvTt4AAAAJAQAADwAAAGRycy9kb3ducmV2LnhtbEyPwU7DMBBE70j8g7VI3KhN&#10;UGgb4lS0qFIlDoXQD3BjE0e111HsNuHv2Z7gNqsZzb4pV5N37GKG2AWU8DgTwAw2QXfYSjh8bR8W&#10;wGJSqJULaCT8mAir6vamVIUOI36aS51aRiUYCyXBptQXnMfGGq/iLPQGyfsOg1eJzqHlelAjlXvH&#10;MyGeuVcd0gererOxpjnVZy/hY+HiZp/v3k82jbu3rl7vt2kt5f3d9PoCLJkp/YXhik/oUBHTMZxR&#10;R+Yk5DkFJWRiCexqi/n8CdiRVEaCVyX/v6D6BQAA//8DAFBLAQItABQABgAIAAAAIQC2gziS/gAA&#10;AOEBAAATAAAAAAAAAAAAAAAAAAAAAABbQ29udGVudF9UeXBlc10ueG1sUEsBAi0AFAAGAAgAAAAh&#10;ADj9If/WAAAAlAEAAAsAAAAAAAAAAAAAAAAALwEAAF9yZWxzLy5yZWxzUEsBAi0AFAAGAAgAAAAh&#10;ABur2lXAAgAA7AUAAA4AAAAAAAAAAAAAAAAALgIAAGRycy9lMm9Eb2MueG1sUEsBAi0AFAAGAAgA&#10;AAAhAPloL07eAAAACQEAAA8AAAAAAAAAAAAAAAAAGgUAAGRycy9kb3ducmV2LnhtbFBLBQYAAAAA&#10;BAAEAPMAAAAlBgAAAAA=&#10;" filled="f" strokecolor="#dbe5f1 [660]" strokeweight="2pt">
                <v:textbox>
                  <w:txbxContent>
                    <w:p w:rsidR="005D0A86" w:rsidRDefault="005D0A86" w:rsidP="00682F25">
                      <w:pPr>
                        <w:jc w:val="center"/>
                        <w:rPr>
                          <w:rFonts w:asciiTheme="minorHAnsi" w:hAnsiTheme="minorHAnsi"/>
                          <w:b/>
                          <w:smallCaps/>
                          <w:color w:val="0F243E" w:themeColor="text2" w:themeShade="8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mallCaps/>
                          <w:color w:val="0F243E" w:themeColor="text2" w:themeShade="80"/>
                        </w:rPr>
                        <w:t>Vous avez besoin de renseignements supplémentaires?</w:t>
                      </w:r>
                    </w:p>
                    <w:p w:rsidR="00B31622" w:rsidRPr="00DF7D47" w:rsidRDefault="00DF7D47" w:rsidP="005D0A86">
                      <w:pPr>
                        <w:jc w:val="center"/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DF7D47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>G</w:t>
                      </w:r>
                      <w:r w:rsidR="005D0A86" w:rsidRPr="00DF7D47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>uide</w:t>
                      </w:r>
                      <w:r w:rsidR="00A71311" w:rsidRPr="00DF7D47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 de l’</w:t>
                      </w:r>
                      <w:hyperlink r:id="rId10" w:history="1">
                        <w:r w:rsidR="008E3470" w:rsidRPr="00DF7D47">
                          <w:rPr>
                            <w:rStyle w:val="Hyperlink"/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Entrevue structurée</w:t>
                        </w:r>
                      </w:hyperlink>
                      <w:r w:rsidR="005D0A86" w:rsidRPr="00DF7D47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 de la CFP</w:t>
                      </w:r>
                    </w:p>
                    <w:p w:rsidR="00DF7D47" w:rsidRPr="00DF7D47" w:rsidRDefault="00DF7D47" w:rsidP="005D0A86">
                      <w:pPr>
                        <w:jc w:val="center"/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DF7D47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Communiquer avec votre </w:t>
                      </w:r>
                      <w:r w:rsidR="00F71159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>consultant</w:t>
                      </w:r>
                      <w:bookmarkStart w:id="1" w:name="_GoBack"/>
                      <w:bookmarkEnd w:id="1"/>
                      <w:r w:rsidRPr="00DF7D47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 en RH  en soumettant une demande dans le  </w:t>
                      </w:r>
                      <w:hyperlink r:id="rId11" w:history="1">
                        <w:r w:rsidRPr="00DF7D47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Centre de service en RH (CSRH)</w:t>
                        </w:r>
                      </w:hyperlink>
                    </w:p>
                    <w:p w:rsidR="00DF7D47" w:rsidRPr="005D0A86" w:rsidRDefault="00DF7D47" w:rsidP="005D0A86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A7966" w:rsidRPr="00700579" w:rsidRDefault="001A7966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5809A7" w:rsidRPr="00700579" w:rsidRDefault="005809A7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p w:rsidR="00310DFC" w:rsidRPr="006A7DB6" w:rsidRDefault="00310DFC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</w:p>
    <w:sectPr w:rsidR="00310DFC" w:rsidRPr="006A7DB6" w:rsidSect="005D5B04">
      <w:pgSz w:w="12240" w:h="15840"/>
      <w:pgMar w:top="720" w:right="720" w:bottom="720" w:left="720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DC" w:rsidRDefault="006A78DC" w:rsidP="006A78DC">
      <w:r>
        <w:separator/>
      </w:r>
    </w:p>
  </w:endnote>
  <w:endnote w:type="continuationSeparator" w:id="0">
    <w:p w:rsidR="006A78DC" w:rsidRDefault="006A78DC" w:rsidP="006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DC" w:rsidRDefault="006A78DC" w:rsidP="006A78DC">
      <w:r>
        <w:separator/>
      </w:r>
    </w:p>
  </w:footnote>
  <w:footnote w:type="continuationSeparator" w:id="0">
    <w:p w:rsidR="006A78DC" w:rsidRDefault="006A78DC" w:rsidP="006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5F"/>
    <w:multiLevelType w:val="multilevel"/>
    <w:tmpl w:val="B9604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A4D75"/>
    <w:multiLevelType w:val="hybridMultilevel"/>
    <w:tmpl w:val="68BA08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C37D4"/>
    <w:multiLevelType w:val="hybridMultilevel"/>
    <w:tmpl w:val="E88CDE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30EB"/>
    <w:multiLevelType w:val="hybridMultilevel"/>
    <w:tmpl w:val="B52007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4D4C"/>
    <w:multiLevelType w:val="multilevel"/>
    <w:tmpl w:val="2C7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779AA"/>
    <w:multiLevelType w:val="multilevel"/>
    <w:tmpl w:val="74B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D0F8E"/>
    <w:multiLevelType w:val="multilevel"/>
    <w:tmpl w:val="DD3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82998"/>
    <w:multiLevelType w:val="multilevel"/>
    <w:tmpl w:val="B1A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75C14"/>
    <w:multiLevelType w:val="multilevel"/>
    <w:tmpl w:val="5D3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87196"/>
    <w:multiLevelType w:val="multilevel"/>
    <w:tmpl w:val="C75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74490"/>
    <w:multiLevelType w:val="multilevel"/>
    <w:tmpl w:val="372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58"/>
    <w:rsid w:val="000200E0"/>
    <w:rsid w:val="000270A1"/>
    <w:rsid w:val="000328D3"/>
    <w:rsid w:val="000477CE"/>
    <w:rsid w:val="00077E26"/>
    <w:rsid w:val="000B3B8C"/>
    <w:rsid w:val="000D1E01"/>
    <w:rsid w:val="0015079B"/>
    <w:rsid w:val="00150ACF"/>
    <w:rsid w:val="00166EC8"/>
    <w:rsid w:val="00176467"/>
    <w:rsid w:val="001A0B60"/>
    <w:rsid w:val="001A7966"/>
    <w:rsid w:val="001F4422"/>
    <w:rsid w:val="002048ED"/>
    <w:rsid w:val="00211AAE"/>
    <w:rsid w:val="00222ECA"/>
    <w:rsid w:val="00230782"/>
    <w:rsid w:val="002419ED"/>
    <w:rsid w:val="0024626A"/>
    <w:rsid w:val="00255DE8"/>
    <w:rsid w:val="00257582"/>
    <w:rsid w:val="002575AE"/>
    <w:rsid w:val="002738A5"/>
    <w:rsid w:val="00274C42"/>
    <w:rsid w:val="002804B0"/>
    <w:rsid w:val="002B1C86"/>
    <w:rsid w:val="002C153A"/>
    <w:rsid w:val="002E1E3E"/>
    <w:rsid w:val="002F1AD2"/>
    <w:rsid w:val="00310DFC"/>
    <w:rsid w:val="003273D6"/>
    <w:rsid w:val="00327A22"/>
    <w:rsid w:val="00345CBC"/>
    <w:rsid w:val="003723EE"/>
    <w:rsid w:val="003F65EF"/>
    <w:rsid w:val="00422247"/>
    <w:rsid w:val="00431726"/>
    <w:rsid w:val="0043325A"/>
    <w:rsid w:val="00441D13"/>
    <w:rsid w:val="004636AF"/>
    <w:rsid w:val="00484BA6"/>
    <w:rsid w:val="00485B08"/>
    <w:rsid w:val="00497DD4"/>
    <w:rsid w:val="00506CCE"/>
    <w:rsid w:val="0055104B"/>
    <w:rsid w:val="00574F21"/>
    <w:rsid w:val="00575F7D"/>
    <w:rsid w:val="005809A7"/>
    <w:rsid w:val="005970F7"/>
    <w:rsid w:val="005B5B6A"/>
    <w:rsid w:val="005C5ECF"/>
    <w:rsid w:val="005C6739"/>
    <w:rsid w:val="005D0A86"/>
    <w:rsid w:val="005D5B04"/>
    <w:rsid w:val="00611F11"/>
    <w:rsid w:val="00612337"/>
    <w:rsid w:val="00630919"/>
    <w:rsid w:val="00644D39"/>
    <w:rsid w:val="00682F25"/>
    <w:rsid w:val="006A6C2C"/>
    <w:rsid w:val="006A78DC"/>
    <w:rsid w:val="006A7DB6"/>
    <w:rsid w:val="006D5C96"/>
    <w:rsid w:val="006E4B74"/>
    <w:rsid w:val="00700579"/>
    <w:rsid w:val="00706D94"/>
    <w:rsid w:val="00727D0C"/>
    <w:rsid w:val="00764C58"/>
    <w:rsid w:val="00773AAF"/>
    <w:rsid w:val="007912ED"/>
    <w:rsid w:val="007D4036"/>
    <w:rsid w:val="00805819"/>
    <w:rsid w:val="00807700"/>
    <w:rsid w:val="008154CD"/>
    <w:rsid w:val="00863753"/>
    <w:rsid w:val="00864394"/>
    <w:rsid w:val="008A7A7C"/>
    <w:rsid w:val="008E3470"/>
    <w:rsid w:val="00921A2F"/>
    <w:rsid w:val="00924D5B"/>
    <w:rsid w:val="00965BFF"/>
    <w:rsid w:val="009669C2"/>
    <w:rsid w:val="00A15179"/>
    <w:rsid w:val="00A45057"/>
    <w:rsid w:val="00A63680"/>
    <w:rsid w:val="00A6796F"/>
    <w:rsid w:val="00A71311"/>
    <w:rsid w:val="00AA7547"/>
    <w:rsid w:val="00AF71B5"/>
    <w:rsid w:val="00B02F2C"/>
    <w:rsid w:val="00B31622"/>
    <w:rsid w:val="00B444CA"/>
    <w:rsid w:val="00B86001"/>
    <w:rsid w:val="00BC03E4"/>
    <w:rsid w:val="00C12CE8"/>
    <w:rsid w:val="00C17640"/>
    <w:rsid w:val="00C70D68"/>
    <w:rsid w:val="00C7100F"/>
    <w:rsid w:val="00C90AD7"/>
    <w:rsid w:val="00C9301D"/>
    <w:rsid w:val="00CD4DA1"/>
    <w:rsid w:val="00CE477F"/>
    <w:rsid w:val="00CF33B8"/>
    <w:rsid w:val="00D008D9"/>
    <w:rsid w:val="00D022CB"/>
    <w:rsid w:val="00D2358C"/>
    <w:rsid w:val="00D3534F"/>
    <w:rsid w:val="00D46195"/>
    <w:rsid w:val="00D47BB3"/>
    <w:rsid w:val="00D53093"/>
    <w:rsid w:val="00D84F02"/>
    <w:rsid w:val="00D90F22"/>
    <w:rsid w:val="00DA433F"/>
    <w:rsid w:val="00DB7E72"/>
    <w:rsid w:val="00DC46C5"/>
    <w:rsid w:val="00DD127B"/>
    <w:rsid w:val="00DF1969"/>
    <w:rsid w:val="00DF7D47"/>
    <w:rsid w:val="00E11845"/>
    <w:rsid w:val="00E16140"/>
    <w:rsid w:val="00E74E62"/>
    <w:rsid w:val="00E874AC"/>
    <w:rsid w:val="00E91571"/>
    <w:rsid w:val="00EA3D45"/>
    <w:rsid w:val="00EC1FA8"/>
    <w:rsid w:val="00EF7792"/>
    <w:rsid w:val="00F07D3F"/>
    <w:rsid w:val="00F115CD"/>
    <w:rsid w:val="00F12C4C"/>
    <w:rsid w:val="00F26CC7"/>
    <w:rsid w:val="00F35BDA"/>
    <w:rsid w:val="00F71159"/>
    <w:rsid w:val="00F85194"/>
    <w:rsid w:val="00F85646"/>
    <w:rsid w:val="00F9635F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773AAF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E3E"/>
    <w:pPr>
      <w:ind w:left="720"/>
      <w:contextualSpacing/>
    </w:pPr>
  </w:style>
  <w:style w:type="table" w:styleId="TableGrid">
    <w:name w:val="Table Grid"/>
    <w:basedOn w:val="TableNormal"/>
    <w:uiPriority w:val="59"/>
    <w:rsid w:val="005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4F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4F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4F"/>
    <w:rPr>
      <w:rFonts w:ascii="Tahoma" w:eastAsia="Times New Roman" w:hAnsi="Tahoma" w:cs="Tahoma"/>
      <w:sz w:val="16"/>
      <w:szCs w:val="16"/>
      <w:lang w:val="en-CA" w:eastAsia="en-CA"/>
    </w:rPr>
  </w:style>
  <w:style w:type="character" w:styleId="Emphasis">
    <w:name w:val="Emphasis"/>
    <w:basedOn w:val="DefaultParagraphFont"/>
    <w:uiPriority w:val="20"/>
    <w:qFormat/>
    <w:rsid w:val="00C17640"/>
    <w:rPr>
      <w:i/>
      <w:iCs/>
    </w:rPr>
  </w:style>
  <w:style w:type="character" w:styleId="Strong">
    <w:name w:val="Strong"/>
    <w:basedOn w:val="DefaultParagraphFont"/>
    <w:uiPriority w:val="22"/>
    <w:qFormat/>
    <w:rsid w:val="005B5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179"/>
    <w:pPr>
      <w:spacing w:before="100" w:beforeAutospacing="1" w:after="100" w:afterAutospacing="1"/>
    </w:pPr>
    <w:rPr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73AA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gc">
    <w:name w:val="_tgc"/>
    <w:basedOn w:val="DefaultParagraphFont"/>
    <w:rsid w:val="007D4036"/>
  </w:style>
  <w:style w:type="character" w:styleId="Hyperlink">
    <w:name w:val="Hyperlink"/>
    <w:basedOn w:val="DefaultParagraphFont"/>
    <w:uiPriority w:val="99"/>
    <w:unhideWhenUsed/>
    <w:rsid w:val="007D40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8D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A7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8DC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A79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773AAF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E3E"/>
    <w:pPr>
      <w:ind w:left="720"/>
      <w:contextualSpacing/>
    </w:pPr>
  </w:style>
  <w:style w:type="table" w:styleId="TableGrid">
    <w:name w:val="Table Grid"/>
    <w:basedOn w:val="TableNormal"/>
    <w:uiPriority w:val="59"/>
    <w:rsid w:val="005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4F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4F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4F"/>
    <w:rPr>
      <w:rFonts w:ascii="Tahoma" w:eastAsia="Times New Roman" w:hAnsi="Tahoma" w:cs="Tahoma"/>
      <w:sz w:val="16"/>
      <w:szCs w:val="16"/>
      <w:lang w:val="en-CA" w:eastAsia="en-CA"/>
    </w:rPr>
  </w:style>
  <w:style w:type="character" w:styleId="Emphasis">
    <w:name w:val="Emphasis"/>
    <w:basedOn w:val="DefaultParagraphFont"/>
    <w:uiPriority w:val="20"/>
    <w:qFormat/>
    <w:rsid w:val="00C17640"/>
    <w:rPr>
      <w:i/>
      <w:iCs/>
    </w:rPr>
  </w:style>
  <w:style w:type="character" w:styleId="Strong">
    <w:name w:val="Strong"/>
    <w:basedOn w:val="DefaultParagraphFont"/>
    <w:uiPriority w:val="22"/>
    <w:qFormat/>
    <w:rsid w:val="005B5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179"/>
    <w:pPr>
      <w:spacing w:before="100" w:beforeAutospacing="1" w:after="100" w:afterAutospacing="1"/>
    </w:pPr>
    <w:rPr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73AA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gc">
    <w:name w:val="_tgc"/>
    <w:basedOn w:val="DefaultParagraphFont"/>
    <w:rsid w:val="007D4036"/>
  </w:style>
  <w:style w:type="character" w:styleId="Hyperlink">
    <w:name w:val="Hyperlink"/>
    <w:basedOn w:val="DefaultParagraphFont"/>
    <w:uiPriority w:val="99"/>
    <w:unhideWhenUsed/>
    <w:rsid w:val="007D40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8D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A7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8DC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A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commission-fonction-publique/services/outils-ressources-dotation-evaluation/specialistes-ressources-humaines-gestionnaires-embaucheurs/boite-outils-gestion-rh/evaluation-competences/entrevue-selection-structure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rsc-csrh.pr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nada.ca/fr/commission-fonction-publique/services/outils-ressources-dotation-evaluation/specialistes-ressources-humaines-gestionnaires-embaucheurs/boite-outils-gestion-rh/evaluation-competences/entrevue-selection-structure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sc-csrh.pr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Madore, Stéphane</cp:lastModifiedBy>
  <cp:revision>19</cp:revision>
  <cp:lastPrinted>2015-11-25T14:13:00Z</cp:lastPrinted>
  <dcterms:created xsi:type="dcterms:W3CDTF">2016-02-24T19:24:00Z</dcterms:created>
  <dcterms:modified xsi:type="dcterms:W3CDTF">2018-03-02T20:14:00Z</dcterms:modified>
</cp:coreProperties>
</file>