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51" w:rsidRDefault="00932A51" w:rsidP="00060F7C">
      <w:pPr>
        <w:spacing w:after="0" w:line="240" w:lineRule="auto"/>
        <w:rPr>
          <w:rFonts w:ascii="Arial" w:hAnsi="Arial" w:cs="Arial"/>
          <w:lang w:val="fr-FR"/>
        </w:rPr>
      </w:pPr>
    </w:p>
    <w:p w:rsidR="007F4725" w:rsidRPr="00AE0957" w:rsidRDefault="002D2E2D" w:rsidP="00060F7C">
      <w:pPr>
        <w:spacing w:after="0" w:line="240" w:lineRule="auto"/>
        <w:rPr>
          <w:rFonts w:ascii="Arial" w:hAnsi="Arial" w:cs="Arial"/>
          <w:lang w:val="fr-FR"/>
        </w:rPr>
      </w:pPr>
      <w:r w:rsidRPr="002D2E2D">
        <w:rPr>
          <w:rFonts w:ascii="Arial" w:hAnsi="Arial" w:cs="Arial"/>
          <w:lang w:val="fr-FR"/>
        </w:rPr>
        <w:t xml:space="preserve">Voilà des endroits où les </w:t>
      </w:r>
      <w:r w:rsidR="00AE0957">
        <w:rPr>
          <w:rFonts w:ascii="Arial" w:hAnsi="Arial" w:cs="Arial"/>
          <w:lang w:val="fr-FR"/>
        </w:rPr>
        <w:t>employés EX et les gestionnaires</w:t>
      </w:r>
      <w:r w:rsidRPr="002D2E2D">
        <w:rPr>
          <w:rFonts w:ascii="Arial" w:hAnsi="Arial" w:cs="Arial"/>
          <w:lang w:val="fr-FR"/>
        </w:rPr>
        <w:t xml:space="preserve"> sont souvent coincés. </w:t>
      </w:r>
      <w:r w:rsidR="00BD7626">
        <w:rPr>
          <w:rFonts w:ascii="Arial" w:hAnsi="Arial" w:cs="Arial"/>
          <w:lang w:val="fr-FR"/>
        </w:rPr>
        <w:t>Veuillez consulter</w:t>
      </w:r>
      <w:r w:rsidRPr="00AE0957">
        <w:rPr>
          <w:rFonts w:ascii="Arial" w:hAnsi="Arial" w:cs="Arial"/>
          <w:lang w:val="fr-FR"/>
        </w:rPr>
        <w:t xml:space="preserve"> cet</w:t>
      </w:r>
      <w:r w:rsidR="00BD7626">
        <w:rPr>
          <w:rFonts w:ascii="Arial" w:hAnsi="Arial" w:cs="Arial"/>
          <w:lang w:val="fr-FR"/>
        </w:rPr>
        <w:t>te fiche de conseils pour des solutions</w:t>
      </w:r>
      <w:r w:rsidRPr="00AE0957">
        <w:rPr>
          <w:rFonts w:ascii="Arial" w:hAnsi="Arial" w:cs="Arial"/>
          <w:lang w:val="fr-FR"/>
        </w:rPr>
        <w:t>.</w:t>
      </w:r>
    </w:p>
    <w:p w:rsidR="002D2E2D" w:rsidRPr="00AE0957" w:rsidRDefault="002D2E2D" w:rsidP="00060F7C">
      <w:pPr>
        <w:spacing w:after="0" w:line="240" w:lineRule="auto"/>
        <w:rPr>
          <w:rFonts w:ascii="Arial" w:hAnsi="Arial" w:cs="Arial"/>
          <w:lang w:val="fr-FR"/>
        </w:rPr>
      </w:pPr>
    </w:p>
    <w:p w:rsidR="002D2E2D" w:rsidRPr="002D2E2D" w:rsidRDefault="002D2E2D" w:rsidP="00060F7C">
      <w:pPr>
        <w:spacing w:after="0" w:line="240" w:lineRule="auto"/>
        <w:rPr>
          <w:rFonts w:ascii="Arial" w:hAnsi="Arial" w:cs="Arial"/>
          <w:lang w:val="fr-FR"/>
        </w:rPr>
      </w:pPr>
      <w:r w:rsidRPr="002D2E2D">
        <w:rPr>
          <w:rFonts w:ascii="Arial" w:hAnsi="Arial" w:cs="Arial"/>
          <w:color w:val="FF0000"/>
          <w:u w:val="single"/>
          <w:lang w:val="fr-FR"/>
        </w:rPr>
        <w:t>Problème numéro 1</w:t>
      </w:r>
      <w:r w:rsidRPr="002D2E2D">
        <w:rPr>
          <w:rFonts w:ascii="Arial" w:hAnsi="Arial" w:cs="Arial"/>
          <w:color w:val="FF0000"/>
          <w:lang w:val="fr-FR"/>
        </w:rPr>
        <w:t xml:space="preserve"> </w:t>
      </w:r>
      <w:r w:rsidRPr="002D2E2D">
        <w:rPr>
          <w:rFonts w:ascii="Arial" w:hAnsi="Arial" w:cs="Arial"/>
          <w:lang w:val="fr-FR"/>
        </w:rPr>
        <w:t>: Les engagements et les mesures du rendement sont incomplets</w:t>
      </w:r>
    </w:p>
    <w:p w:rsidR="007F4725" w:rsidRPr="002D2E2D" w:rsidRDefault="007F4725" w:rsidP="00060F7C">
      <w:pPr>
        <w:spacing w:after="0" w:line="240" w:lineRule="auto"/>
        <w:rPr>
          <w:rFonts w:ascii="Arial" w:hAnsi="Arial" w:cs="Arial"/>
          <w:lang w:val="fr-FR"/>
        </w:rPr>
      </w:pPr>
    </w:p>
    <w:p w:rsidR="007F4725" w:rsidRPr="002D2E2D" w:rsidRDefault="002D2E2D" w:rsidP="00060F7C">
      <w:pPr>
        <w:spacing w:after="0" w:line="240" w:lineRule="auto"/>
        <w:rPr>
          <w:rFonts w:ascii="Arial" w:hAnsi="Arial" w:cs="Arial"/>
          <w:lang w:val="fr-FR"/>
        </w:rPr>
      </w:pPr>
      <w:r w:rsidRPr="002D2E2D">
        <w:rPr>
          <w:rFonts w:ascii="Arial" w:hAnsi="Arial" w:cs="Arial"/>
          <w:lang w:val="fr-FR"/>
        </w:rPr>
        <w:t>Le cadre EX a entré tous ses engagements et mesures de rendement, mais le système continue de les q</w:t>
      </w:r>
      <w:r w:rsidR="00A57ED3">
        <w:rPr>
          <w:rFonts w:ascii="Arial" w:hAnsi="Arial" w:cs="Arial"/>
          <w:lang w:val="fr-FR"/>
        </w:rPr>
        <w:t>ualifier d'incomplets. À l'aide</w:t>
      </w:r>
      <w:r w:rsidRPr="002D2E2D">
        <w:rPr>
          <w:rFonts w:ascii="Arial" w:hAnsi="Arial" w:cs="Arial"/>
          <w:lang w:val="fr-FR"/>
        </w:rPr>
        <w:t>!</w:t>
      </w:r>
    </w:p>
    <w:p w:rsidR="007F4725" w:rsidRDefault="007F4725" w:rsidP="00060F7C">
      <w:pPr>
        <w:spacing w:after="0" w:line="240" w:lineRule="auto"/>
        <w:rPr>
          <w:rFonts w:ascii="Arial" w:hAnsi="Arial" w:cs="Arial"/>
        </w:rPr>
      </w:pPr>
      <w:r>
        <w:rPr>
          <w:noProof/>
          <w:lang w:eastAsia="en-CA"/>
        </w:rPr>
        <w:drawing>
          <wp:inline distT="0" distB="0" distL="0" distR="0" wp14:anchorId="1C959970" wp14:editId="26F4ECDA">
            <wp:extent cx="6858000" cy="16186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ED3" w:rsidRDefault="00A57ED3" w:rsidP="002D2E2D">
      <w:pPr>
        <w:spacing w:after="0" w:line="240" w:lineRule="auto"/>
        <w:rPr>
          <w:rFonts w:ascii="Arial" w:hAnsi="Arial" w:cs="Arial"/>
          <w:color w:val="00B050"/>
          <w:u w:val="single"/>
          <w:lang w:val="fr-FR"/>
        </w:rPr>
      </w:pPr>
    </w:p>
    <w:p w:rsidR="00C45594" w:rsidRDefault="002D2E2D" w:rsidP="002D2E2D">
      <w:pPr>
        <w:spacing w:after="0" w:line="240" w:lineRule="auto"/>
        <w:rPr>
          <w:rFonts w:ascii="Arial" w:hAnsi="Arial" w:cs="Arial"/>
          <w:lang w:val="fr-FR"/>
        </w:rPr>
      </w:pPr>
      <w:r w:rsidRPr="00FE0639">
        <w:rPr>
          <w:rFonts w:ascii="Arial" w:hAnsi="Arial" w:cs="Arial"/>
          <w:color w:val="00B050"/>
          <w:u w:val="single"/>
          <w:lang w:val="fr-FR"/>
        </w:rPr>
        <w:t>Solution</w:t>
      </w:r>
      <w:r w:rsidR="00A57ED3" w:rsidRPr="00A57ED3">
        <w:rPr>
          <w:rFonts w:ascii="Arial" w:hAnsi="Arial" w:cs="Arial"/>
          <w:lang w:val="fr-FR"/>
        </w:rPr>
        <w:t xml:space="preserve"> </w:t>
      </w:r>
      <w:r w:rsidRPr="00A57ED3">
        <w:rPr>
          <w:rFonts w:ascii="Arial" w:hAnsi="Arial" w:cs="Arial"/>
          <w:lang w:val="fr-FR"/>
        </w:rPr>
        <w:t xml:space="preserve">: </w:t>
      </w:r>
      <w:r w:rsidR="007504FA">
        <w:rPr>
          <w:rFonts w:ascii="Arial" w:hAnsi="Arial" w:cs="Arial"/>
          <w:lang w:val="fr-FR"/>
        </w:rPr>
        <w:t>les e</w:t>
      </w:r>
      <w:r w:rsidR="00BD7626">
        <w:rPr>
          <w:rFonts w:ascii="Arial" w:hAnsi="Arial" w:cs="Arial"/>
          <w:lang w:val="fr-FR"/>
        </w:rPr>
        <w:t>ngagements ministériels</w:t>
      </w:r>
      <w:r w:rsidR="00B4436F">
        <w:rPr>
          <w:rFonts w:ascii="Arial" w:hAnsi="Arial" w:cs="Arial"/>
          <w:lang w:val="fr-FR"/>
        </w:rPr>
        <w:t xml:space="preserve"> </w:t>
      </w:r>
      <w:r w:rsidR="00BD7626">
        <w:rPr>
          <w:rFonts w:ascii="Arial" w:hAnsi="Arial" w:cs="Arial"/>
          <w:lang w:val="fr-FR"/>
        </w:rPr>
        <w:t>par défaut</w:t>
      </w:r>
      <w:r w:rsidR="00B4436F">
        <w:rPr>
          <w:rFonts w:ascii="Arial" w:hAnsi="Arial" w:cs="Arial"/>
          <w:lang w:val="fr-FR"/>
        </w:rPr>
        <w:t xml:space="preserve"> </w:t>
      </w:r>
      <w:r w:rsidR="00A61AB4">
        <w:rPr>
          <w:rFonts w:ascii="Arial" w:hAnsi="Arial" w:cs="Arial"/>
          <w:lang w:val="fr-FR"/>
        </w:rPr>
        <w:t>entrés</w:t>
      </w:r>
      <w:r w:rsidRPr="00401B58">
        <w:rPr>
          <w:rFonts w:ascii="Arial" w:hAnsi="Arial" w:cs="Arial"/>
          <w:lang w:val="fr-FR"/>
        </w:rPr>
        <w:t xml:space="preserve"> par</w:t>
      </w:r>
      <w:r w:rsidR="00A57ED3">
        <w:rPr>
          <w:rFonts w:ascii="Arial" w:hAnsi="Arial" w:cs="Arial"/>
          <w:lang w:val="fr-FR"/>
        </w:rPr>
        <w:t xml:space="preserve"> le SCT n'ont pas été modifiées</w:t>
      </w:r>
      <w:r w:rsidRPr="00401B58">
        <w:rPr>
          <w:rFonts w:ascii="Arial" w:hAnsi="Arial" w:cs="Arial"/>
          <w:lang w:val="fr-FR"/>
        </w:rPr>
        <w:t>; veuillez ajo</w:t>
      </w:r>
      <w:r w:rsidR="00A57ED3">
        <w:rPr>
          <w:rFonts w:ascii="Arial" w:hAnsi="Arial" w:cs="Arial"/>
          <w:lang w:val="fr-FR"/>
        </w:rPr>
        <w:t>uter le texte supplémentaire d’</w:t>
      </w:r>
      <w:r w:rsidRPr="00401B58">
        <w:rPr>
          <w:rFonts w:ascii="Arial" w:hAnsi="Arial" w:cs="Arial"/>
          <w:lang w:val="fr-FR"/>
        </w:rPr>
        <w:t>EDSC qui se trouve dans le</w:t>
      </w:r>
      <w:r w:rsidR="00A61AB4">
        <w:rPr>
          <w:rFonts w:ascii="Arial" w:hAnsi="Arial" w:cs="Arial"/>
          <w:lang w:val="fr-FR"/>
        </w:rPr>
        <w:t xml:space="preserve"> </w:t>
      </w:r>
      <w:hyperlink r:id="rId9" w:history="1">
        <w:r w:rsidR="00A61AB4" w:rsidRPr="00A61AB4">
          <w:rPr>
            <w:rStyle w:val="Hyperlink"/>
            <w:rFonts w:ascii="Arial" w:hAnsi="Arial" w:cs="Arial"/>
            <w:lang w:val="fr-FR"/>
          </w:rPr>
          <w:t xml:space="preserve">guide des </w:t>
        </w:r>
        <w:r w:rsidR="00A61AB4" w:rsidRPr="00A61AB4">
          <w:rPr>
            <w:rStyle w:val="Hyperlink"/>
            <w:rFonts w:ascii="Helvetica" w:hAnsi="Helvetica" w:cs="Helvetica"/>
            <w:lang w:val="fr-FR"/>
          </w:rPr>
          <w:t>Engagements des cadres supérieurs (ex) en matière de rendement et mesures de rendeme</w:t>
        </w:r>
        <w:r w:rsidR="00A61AB4" w:rsidRPr="00A61AB4">
          <w:rPr>
            <w:rStyle w:val="Hyperlink"/>
            <w:rFonts w:ascii="Helvetica" w:hAnsi="Helvetica" w:cs="Helvetica"/>
            <w:lang w:val="fr-FR"/>
          </w:rPr>
          <w:t>n</w:t>
        </w:r>
        <w:r w:rsidR="00A61AB4" w:rsidRPr="00A61AB4">
          <w:rPr>
            <w:rStyle w:val="Hyperlink"/>
            <w:rFonts w:ascii="Helvetica" w:hAnsi="Helvetica" w:cs="Helvetica"/>
            <w:lang w:val="fr-FR"/>
          </w:rPr>
          <w:t>t connexes p</w:t>
        </w:r>
        <w:r w:rsidR="00A61AB4" w:rsidRPr="00A61AB4">
          <w:rPr>
            <w:rStyle w:val="Hyperlink"/>
            <w:rFonts w:ascii="Helvetica" w:hAnsi="Helvetica" w:cs="Helvetica"/>
            <w:lang w:val="fr-FR"/>
          </w:rPr>
          <w:t>o</w:t>
        </w:r>
        <w:r w:rsidR="00A61AB4" w:rsidRPr="00A61AB4">
          <w:rPr>
            <w:rStyle w:val="Hyperlink"/>
            <w:rFonts w:ascii="Helvetica" w:hAnsi="Helvetica" w:cs="Helvetica"/>
            <w:lang w:val="fr-FR"/>
          </w:rPr>
          <w:t>ur 2020-2021</w:t>
        </w:r>
      </w:hyperlink>
      <w:r w:rsidRPr="00401B58">
        <w:rPr>
          <w:rFonts w:ascii="Arial" w:hAnsi="Arial" w:cs="Arial"/>
          <w:lang w:val="fr-FR"/>
        </w:rPr>
        <w:t>.</w:t>
      </w:r>
    </w:p>
    <w:p w:rsidR="00AD7FBF" w:rsidRPr="00AD7FBF" w:rsidRDefault="00AD7FBF" w:rsidP="002D2E2D">
      <w:pPr>
        <w:spacing w:after="0" w:line="240" w:lineRule="auto"/>
        <w:rPr>
          <w:rFonts w:ascii="Arial" w:hAnsi="Arial" w:cs="Arial"/>
          <w:lang w:val="fr-FR"/>
        </w:rPr>
      </w:pPr>
    </w:p>
    <w:p w:rsidR="00DA0ADC" w:rsidRDefault="00AD7FBF" w:rsidP="00A61AB4">
      <w:pPr>
        <w:spacing w:after="0" w:line="240" w:lineRule="auto"/>
        <w:rPr>
          <w:rFonts w:ascii="Arial" w:hAnsi="Arial" w:cs="Arial"/>
          <w:i/>
          <w:sz w:val="20"/>
          <w:szCs w:val="20"/>
          <w:lang w:val="fr-CA"/>
        </w:rPr>
      </w:pPr>
      <w:r w:rsidRPr="00AD7FBF">
        <w:rPr>
          <w:rFonts w:ascii="Arial" w:hAnsi="Arial" w:cs="Arial"/>
          <w:lang w:val="fr-FR"/>
        </w:rPr>
        <w:t xml:space="preserve">Dans l'exemple ci-dessous, </w:t>
      </w:r>
      <w:r w:rsidR="00A61AB4">
        <w:rPr>
          <w:rFonts w:ascii="Arial" w:hAnsi="Arial" w:cs="Arial"/>
          <w:lang w:val="fr-FR"/>
        </w:rPr>
        <w:t xml:space="preserve">l’engagement ministériel #2 a besoin d’avoir </w:t>
      </w:r>
      <w:r w:rsidRPr="00AD7FBF">
        <w:rPr>
          <w:rFonts w:ascii="Arial" w:hAnsi="Arial" w:cs="Arial"/>
          <w:lang w:val="fr-FR"/>
        </w:rPr>
        <w:t xml:space="preserve">le texte </w:t>
      </w:r>
      <w:r w:rsidR="00A61AB4">
        <w:rPr>
          <w:rFonts w:ascii="Arial" w:hAnsi="Arial" w:cs="Arial"/>
          <w:lang w:val="fr-FR"/>
        </w:rPr>
        <w:t xml:space="preserve">supplémentaire d’EDSC ajouté à « Favoriser la diversité et l’inclusion » plutôt que la mention « Insérer le texte ici ».  </w:t>
      </w:r>
    </w:p>
    <w:p w:rsidR="00932A51" w:rsidRDefault="00932A51" w:rsidP="00AD7FBF">
      <w:pPr>
        <w:spacing w:after="0" w:line="240" w:lineRule="auto"/>
        <w:rPr>
          <w:rFonts w:ascii="Arial" w:hAnsi="Arial" w:cs="Arial"/>
          <w:i/>
          <w:sz w:val="20"/>
          <w:szCs w:val="20"/>
          <w:lang w:val="fr-CA"/>
        </w:rPr>
      </w:pPr>
    </w:p>
    <w:p w:rsidR="00A61AB4" w:rsidRPr="00A57ED3" w:rsidRDefault="00A61AB4" w:rsidP="00AD7FBF">
      <w:pPr>
        <w:spacing w:after="0" w:line="240" w:lineRule="auto"/>
        <w:rPr>
          <w:rFonts w:ascii="Arial" w:hAnsi="Arial" w:cs="Arial"/>
          <w:lang w:val="fr-CA"/>
        </w:rPr>
      </w:pPr>
      <w:r w:rsidRPr="00A57ED3">
        <w:rPr>
          <w:rFonts w:ascii="Arial" w:hAnsi="Arial" w:cs="Arial"/>
          <w:lang w:val="fr-CA"/>
        </w:rPr>
        <w:t>Avant :</w:t>
      </w:r>
    </w:p>
    <w:p w:rsidR="00932A51" w:rsidRPr="00FE0639" w:rsidRDefault="00FE0639" w:rsidP="00AD7FBF">
      <w:pPr>
        <w:spacing w:after="0" w:line="240" w:lineRule="auto"/>
        <w:rPr>
          <w:rFonts w:ascii="Arial" w:hAnsi="Arial" w:cs="Arial"/>
          <w:i/>
          <w:sz w:val="20"/>
          <w:szCs w:val="20"/>
          <w:lang w:val="fr-CA"/>
        </w:rPr>
      </w:pPr>
      <w:r>
        <w:rPr>
          <w:noProof/>
          <w:lang w:eastAsia="en-CA"/>
        </w:rPr>
        <w:drawing>
          <wp:inline distT="0" distB="0" distL="0" distR="0" wp14:anchorId="029D75F0" wp14:editId="1761C621">
            <wp:extent cx="6858000" cy="2868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A51" w:rsidRDefault="00932A51" w:rsidP="00AD7FBF">
      <w:pPr>
        <w:spacing w:after="0" w:line="240" w:lineRule="auto"/>
        <w:rPr>
          <w:rFonts w:ascii="Arial" w:hAnsi="Arial" w:cs="Arial"/>
          <w:i/>
          <w:sz w:val="20"/>
          <w:szCs w:val="20"/>
          <w:lang w:val="fr-CA"/>
        </w:rPr>
      </w:pPr>
    </w:p>
    <w:p w:rsidR="00932A51" w:rsidRPr="00A57ED3" w:rsidRDefault="00A61AB4" w:rsidP="00AD7FBF">
      <w:pPr>
        <w:spacing w:after="0" w:line="240" w:lineRule="auto"/>
        <w:rPr>
          <w:rFonts w:ascii="Arial" w:hAnsi="Arial" w:cs="Arial"/>
          <w:lang w:val="fr-CA"/>
        </w:rPr>
      </w:pPr>
      <w:r w:rsidRPr="00A57ED3">
        <w:rPr>
          <w:rFonts w:ascii="Arial" w:hAnsi="Arial" w:cs="Arial"/>
          <w:lang w:val="fr-CA"/>
        </w:rPr>
        <w:t>Après :</w:t>
      </w:r>
    </w:p>
    <w:p w:rsidR="00932A51" w:rsidRDefault="00FE0639" w:rsidP="00AD7FBF">
      <w:pPr>
        <w:spacing w:after="0" w:line="240" w:lineRule="auto"/>
        <w:rPr>
          <w:rFonts w:ascii="Arial" w:hAnsi="Arial" w:cs="Arial"/>
          <w:i/>
          <w:sz w:val="20"/>
          <w:szCs w:val="20"/>
          <w:lang w:val="fr-CA"/>
        </w:rPr>
      </w:pPr>
      <w:r>
        <w:rPr>
          <w:noProof/>
          <w:lang w:eastAsia="en-CA"/>
        </w:rPr>
        <w:lastRenderedPageBreak/>
        <w:drawing>
          <wp:inline distT="0" distB="0" distL="0" distR="0" wp14:anchorId="037948C3" wp14:editId="3012159A">
            <wp:extent cx="6858000" cy="31324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A51" w:rsidRDefault="00932A51" w:rsidP="00AD7FBF">
      <w:pPr>
        <w:spacing w:after="0" w:line="240" w:lineRule="auto"/>
        <w:rPr>
          <w:rFonts w:ascii="Arial" w:hAnsi="Arial" w:cs="Arial"/>
          <w:i/>
          <w:sz w:val="20"/>
          <w:szCs w:val="20"/>
          <w:lang w:val="fr-CA"/>
        </w:rPr>
      </w:pPr>
    </w:p>
    <w:p w:rsidR="00932A51" w:rsidRDefault="00932A51" w:rsidP="00AD7FBF">
      <w:pPr>
        <w:spacing w:after="0" w:line="240" w:lineRule="auto"/>
        <w:rPr>
          <w:rFonts w:ascii="Arial" w:hAnsi="Arial" w:cs="Arial"/>
          <w:i/>
          <w:sz w:val="20"/>
          <w:szCs w:val="20"/>
          <w:lang w:val="fr-CA"/>
        </w:rPr>
      </w:pPr>
    </w:p>
    <w:p w:rsidR="00932A51" w:rsidRDefault="00932A51" w:rsidP="00AD7FBF">
      <w:pPr>
        <w:spacing w:after="0" w:line="240" w:lineRule="auto"/>
        <w:rPr>
          <w:rFonts w:ascii="Arial" w:hAnsi="Arial" w:cs="Arial"/>
          <w:i/>
          <w:sz w:val="20"/>
          <w:szCs w:val="20"/>
          <w:lang w:val="fr-CA"/>
        </w:rPr>
      </w:pPr>
    </w:p>
    <w:p w:rsidR="00AE0957" w:rsidRDefault="00AE0957" w:rsidP="00060F7C">
      <w:pPr>
        <w:spacing w:after="0" w:line="240" w:lineRule="auto"/>
        <w:rPr>
          <w:rFonts w:ascii="Arial" w:hAnsi="Arial" w:cs="Arial"/>
          <w:lang w:val="fr-FR"/>
        </w:rPr>
      </w:pPr>
      <w:r w:rsidRPr="00AE0957">
        <w:rPr>
          <w:rFonts w:ascii="Arial" w:hAnsi="Arial" w:cs="Arial"/>
          <w:color w:val="FF0000"/>
          <w:u w:val="single"/>
          <w:lang w:val="fr-FR"/>
        </w:rPr>
        <w:t>Problème numéro 2</w:t>
      </w:r>
      <w:r w:rsidR="00A57ED3" w:rsidRPr="00A57ED3">
        <w:rPr>
          <w:rFonts w:ascii="Arial" w:hAnsi="Arial" w:cs="Arial"/>
          <w:lang w:val="fr-FR"/>
        </w:rPr>
        <w:t xml:space="preserve"> </w:t>
      </w:r>
      <w:r w:rsidRPr="00A57ED3">
        <w:rPr>
          <w:rFonts w:ascii="Arial" w:hAnsi="Arial" w:cs="Arial"/>
          <w:lang w:val="fr-FR"/>
        </w:rPr>
        <w:t xml:space="preserve">: </w:t>
      </w:r>
      <w:r w:rsidRPr="00AE0957">
        <w:rPr>
          <w:rFonts w:ascii="Arial" w:hAnsi="Arial" w:cs="Arial"/>
          <w:lang w:val="fr-FR"/>
        </w:rPr>
        <w:t>L'employé EX ne peut pas modifier ses engagements et ses mesures</w:t>
      </w:r>
      <w:r w:rsidR="00A57ED3">
        <w:rPr>
          <w:rFonts w:ascii="Arial" w:hAnsi="Arial" w:cs="Arial"/>
          <w:lang w:val="fr-FR"/>
        </w:rPr>
        <w:t xml:space="preserve"> de rendement</w:t>
      </w:r>
      <w:r w:rsidRPr="00AE0957">
        <w:rPr>
          <w:rFonts w:ascii="Arial" w:hAnsi="Arial" w:cs="Arial"/>
          <w:lang w:val="fr-FR"/>
        </w:rPr>
        <w:t>; tous les boutons ajouter/modifier sont en gris.</w:t>
      </w:r>
    </w:p>
    <w:p w:rsidR="00AE0957" w:rsidRDefault="00AE0957" w:rsidP="00060F7C">
      <w:pPr>
        <w:spacing w:after="0" w:line="240" w:lineRule="auto"/>
        <w:rPr>
          <w:rFonts w:ascii="Arial" w:hAnsi="Arial" w:cs="Arial"/>
          <w:lang w:val="fr-FR"/>
        </w:rPr>
      </w:pPr>
    </w:p>
    <w:p w:rsidR="00AE0957" w:rsidRDefault="00AE0957" w:rsidP="00060F7C">
      <w:pPr>
        <w:spacing w:after="0" w:line="240" w:lineRule="auto"/>
        <w:rPr>
          <w:rFonts w:ascii="Arial" w:hAnsi="Arial" w:cs="Arial"/>
          <w:lang w:val="fr-FR"/>
        </w:rPr>
      </w:pPr>
      <w:r w:rsidRPr="00FE0639">
        <w:rPr>
          <w:rFonts w:ascii="Arial" w:hAnsi="Arial" w:cs="Arial"/>
          <w:color w:val="00B050"/>
          <w:u w:val="single"/>
          <w:lang w:val="fr-FR"/>
        </w:rPr>
        <w:t>Solution</w:t>
      </w:r>
      <w:r w:rsidRPr="00A57ED3">
        <w:rPr>
          <w:rFonts w:ascii="Arial" w:hAnsi="Arial" w:cs="Arial"/>
          <w:lang w:val="fr-FR"/>
        </w:rPr>
        <w:t xml:space="preserve"> : </w:t>
      </w:r>
      <w:r w:rsidRPr="00AE0957">
        <w:rPr>
          <w:rFonts w:ascii="Arial" w:hAnsi="Arial" w:cs="Arial"/>
          <w:lang w:val="fr-FR"/>
        </w:rPr>
        <w:t xml:space="preserve">L'employé EX ou le gestionnaire a signé l'entente initiale qui empêche l'employé de modifier ses données. Pour pouvoir modifier à nouveau les engagements et les mesures de rendement, veuillez appliquer la signature manquante (soit l'employé EX ou le gestionnaire) et une fois qu'il aura </w:t>
      </w:r>
      <w:r w:rsidR="007504FA">
        <w:rPr>
          <w:rFonts w:ascii="Arial" w:hAnsi="Arial" w:cs="Arial"/>
          <w:lang w:val="fr-FR"/>
        </w:rPr>
        <w:t>rouvert</w:t>
      </w:r>
      <w:r w:rsidRPr="00AE0957">
        <w:rPr>
          <w:rFonts w:ascii="Arial" w:hAnsi="Arial" w:cs="Arial"/>
          <w:lang w:val="fr-FR"/>
        </w:rPr>
        <w:t xml:space="preserve"> l'entente et cliqué sur le lien engagements et mesures de rendement dans l'index, les engagements et mesures de rendement pourront de nouveau être modifiés.</w:t>
      </w:r>
    </w:p>
    <w:p w:rsidR="00735AA8" w:rsidRPr="00932A51" w:rsidRDefault="00735AA8" w:rsidP="00932A51">
      <w:pPr>
        <w:rPr>
          <w:rFonts w:ascii="Arial" w:hAnsi="Arial" w:cs="Arial"/>
          <w:lang w:val="fr-FR"/>
        </w:rPr>
      </w:pPr>
      <w:bookmarkStart w:id="0" w:name="_GoBack"/>
      <w:bookmarkEnd w:id="0"/>
    </w:p>
    <w:sectPr w:rsidR="00735AA8" w:rsidRPr="00932A51" w:rsidSect="0090718A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31" w:rsidRDefault="000E4631" w:rsidP="004D0EB1">
      <w:pPr>
        <w:spacing w:after="0" w:line="240" w:lineRule="auto"/>
      </w:pPr>
      <w:r>
        <w:separator/>
      </w:r>
    </w:p>
  </w:endnote>
  <w:endnote w:type="continuationSeparator" w:id="0">
    <w:p w:rsidR="000E4631" w:rsidRDefault="000E4631" w:rsidP="004D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31" w:rsidRDefault="000E4631" w:rsidP="004D0EB1">
      <w:pPr>
        <w:spacing w:after="0" w:line="240" w:lineRule="auto"/>
      </w:pPr>
      <w:r>
        <w:separator/>
      </w:r>
    </w:p>
  </w:footnote>
  <w:footnote w:type="continuationSeparator" w:id="0">
    <w:p w:rsidR="000E4631" w:rsidRDefault="000E4631" w:rsidP="004D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B1" w:rsidRPr="00932A51" w:rsidRDefault="00BF40F2" w:rsidP="00932A51">
    <w:pPr>
      <w:spacing w:after="0" w:line="240" w:lineRule="auto"/>
      <w:jc w:val="center"/>
      <w:rPr>
        <w:lang w:val="fr-FR"/>
      </w:rPr>
    </w:pPr>
    <w:r w:rsidRPr="00644554">
      <w:rPr>
        <w:rFonts w:ascii="Arial Black" w:hAnsi="Arial Black" w:cs="Arial"/>
        <w:lang w:val="fr-FR"/>
      </w:rPr>
      <w:t>SG</w:t>
    </w:r>
    <w:r w:rsidR="00B4436F">
      <w:rPr>
        <w:rFonts w:ascii="Arial Black" w:hAnsi="Arial Black" w:cs="Arial"/>
        <w:lang w:val="fr-FR"/>
      </w:rPr>
      <w:t>T</w:t>
    </w:r>
    <w:r w:rsidRPr="00644554">
      <w:rPr>
        <w:rFonts w:ascii="Arial Black" w:hAnsi="Arial Black" w:cs="Arial"/>
        <w:lang w:val="fr-FR"/>
      </w:rPr>
      <w:t>CS 101 – Problèmes et solutions courantes au début de l’année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515E4"/>
    <w:multiLevelType w:val="hybridMultilevel"/>
    <w:tmpl w:val="23CC8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8A"/>
    <w:rsid w:val="000318E5"/>
    <w:rsid w:val="00060F7C"/>
    <w:rsid w:val="00085AB0"/>
    <w:rsid w:val="000E4631"/>
    <w:rsid w:val="002743F6"/>
    <w:rsid w:val="002D2E2D"/>
    <w:rsid w:val="00375672"/>
    <w:rsid w:val="0038602D"/>
    <w:rsid w:val="003F5C0C"/>
    <w:rsid w:val="00401B58"/>
    <w:rsid w:val="004703BB"/>
    <w:rsid w:val="004D0EB1"/>
    <w:rsid w:val="005B5BAE"/>
    <w:rsid w:val="00644554"/>
    <w:rsid w:val="00697862"/>
    <w:rsid w:val="006A6B5E"/>
    <w:rsid w:val="00735AA8"/>
    <w:rsid w:val="0075016B"/>
    <w:rsid w:val="007504FA"/>
    <w:rsid w:val="007F1AA5"/>
    <w:rsid w:val="007F4725"/>
    <w:rsid w:val="0090718A"/>
    <w:rsid w:val="00916681"/>
    <w:rsid w:val="00932A51"/>
    <w:rsid w:val="00A57ED3"/>
    <w:rsid w:val="00A61AB4"/>
    <w:rsid w:val="00AD7FBF"/>
    <w:rsid w:val="00AE0957"/>
    <w:rsid w:val="00B25A36"/>
    <w:rsid w:val="00B36AEA"/>
    <w:rsid w:val="00B4436F"/>
    <w:rsid w:val="00B65613"/>
    <w:rsid w:val="00BD7626"/>
    <w:rsid w:val="00BF40F2"/>
    <w:rsid w:val="00C45594"/>
    <w:rsid w:val="00CF648A"/>
    <w:rsid w:val="00DA0ADC"/>
    <w:rsid w:val="00E635C6"/>
    <w:rsid w:val="00EA3E3D"/>
    <w:rsid w:val="00F71682"/>
    <w:rsid w:val="00F77C7E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7CB2DD"/>
  <w15:chartTrackingRefBased/>
  <w15:docId w15:val="{274342F7-FCC6-4CBD-BF89-6DDF296E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1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B1"/>
  </w:style>
  <w:style w:type="paragraph" w:styleId="Footer">
    <w:name w:val="footer"/>
    <w:basedOn w:val="Normal"/>
    <w:link w:val="FooterChar"/>
    <w:uiPriority w:val="99"/>
    <w:unhideWhenUsed/>
    <w:rsid w:val="004D0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B1"/>
  </w:style>
  <w:style w:type="character" w:styleId="CommentReference">
    <w:name w:val="annotation reference"/>
    <w:basedOn w:val="DefaultParagraphFont"/>
    <w:uiPriority w:val="99"/>
    <w:semiHidden/>
    <w:unhideWhenUsed/>
    <w:rsid w:val="00085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A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A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5C0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iservice.prv/fra/rh/cadres_directions/sujets/prog_gest_rend_cadre_sup/engagements-cadres-superieurs-matiere-mesures-rendement-connexes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38002-6E3C-475D-B9BD-6936D5BE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Martine</dc:creator>
  <cp:keywords/>
  <dc:description/>
  <cp:lastModifiedBy>Lapierre, Julie JL [NC]</cp:lastModifiedBy>
  <cp:revision>4</cp:revision>
  <dcterms:created xsi:type="dcterms:W3CDTF">2019-08-07T20:22:00Z</dcterms:created>
  <dcterms:modified xsi:type="dcterms:W3CDTF">2020-10-15T19:03:00Z</dcterms:modified>
</cp:coreProperties>
</file>