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98B46" w14:textId="77777777" w:rsidR="003F63CD" w:rsidRDefault="003F63CD" w:rsidP="003F63CD">
      <w:pPr>
        <w:jc w:val="center"/>
        <w:rPr>
          <w:b/>
          <w:sz w:val="40"/>
          <w:szCs w:val="40"/>
          <w:lang w:val="fr-CA"/>
        </w:rPr>
      </w:pPr>
      <w:bookmarkStart w:id="0" w:name="_GoBack"/>
      <w:bookmarkEnd w:id="0"/>
    </w:p>
    <w:p w14:paraId="1E00F956" w14:textId="77777777" w:rsidR="003F63CD" w:rsidRDefault="003F63CD" w:rsidP="003F63CD">
      <w:pPr>
        <w:jc w:val="center"/>
        <w:rPr>
          <w:b/>
          <w:sz w:val="40"/>
          <w:szCs w:val="40"/>
          <w:lang w:val="fr-CA"/>
        </w:rPr>
      </w:pPr>
    </w:p>
    <w:p w14:paraId="266A2A4A" w14:textId="77777777" w:rsidR="003F63CD" w:rsidRDefault="003F63CD" w:rsidP="003F63CD">
      <w:pPr>
        <w:jc w:val="center"/>
        <w:rPr>
          <w:b/>
          <w:sz w:val="40"/>
          <w:szCs w:val="40"/>
          <w:lang w:val="fr-CA"/>
        </w:rPr>
      </w:pPr>
    </w:p>
    <w:p w14:paraId="51E52EC0" w14:textId="77777777" w:rsidR="003F63CD" w:rsidRDefault="003F63CD" w:rsidP="003F63CD">
      <w:pPr>
        <w:jc w:val="center"/>
        <w:rPr>
          <w:b/>
          <w:sz w:val="40"/>
          <w:szCs w:val="40"/>
          <w:lang w:val="fr-CA"/>
        </w:rPr>
      </w:pPr>
    </w:p>
    <w:p w14:paraId="603F5BBB" w14:textId="77777777" w:rsidR="003F63CD" w:rsidRPr="003F63CD" w:rsidRDefault="003F63CD" w:rsidP="003F63CD">
      <w:pPr>
        <w:jc w:val="center"/>
        <w:rPr>
          <w:rFonts w:asciiTheme="minorHAnsi" w:hAnsiTheme="minorHAnsi" w:cstheme="minorHAnsi"/>
          <w:b/>
          <w:sz w:val="40"/>
          <w:szCs w:val="40"/>
          <w:lang w:val="fr-CA"/>
        </w:rPr>
      </w:pPr>
    </w:p>
    <w:p w14:paraId="79AF08EB" w14:textId="77777777" w:rsidR="003F63CD" w:rsidRPr="003F63CD" w:rsidRDefault="003F63CD" w:rsidP="003F63CD">
      <w:pPr>
        <w:jc w:val="center"/>
        <w:rPr>
          <w:rFonts w:asciiTheme="minorHAnsi" w:hAnsiTheme="minorHAnsi" w:cstheme="minorHAnsi"/>
          <w:b/>
          <w:sz w:val="40"/>
          <w:szCs w:val="40"/>
          <w:lang w:val="fr-CA"/>
        </w:rPr>
      </w:pPr>
      <w:r w:rsidRPr="003F63CD">
        <w:rPr>
          <w:rFonts w:asciiTheme="minorHAnsi" w:hAnsiTheme="minorHAnsi" w:cstheme="minorHAnsi"/>
          <w:b/>
          <w:sz w:val="40"/>
          <w:szCs w:val="40"/>
          <w:lang w:val="fr-CA"/>
        </w:rPr>
        <w:t>Emploi et Développement social Canada</w:t>
      </w:r>
    </w:p>
    <w:p w14:paraId="4AF62677" w14:textId="77777777" w:rsidR="003F63CD" w:rsidRPr="003F63CD" w:rsidRDefault="003F63CD" w:rsidP="003F63CD">
      <w:pPr>
        <w:autoSpaceDE w:val="0"/>
        <w:autoSpaceDN w:val="0"/>
        <w:adjustRightInd w:val="0"/>
        <w:spacing w:before="100" w:beforeAutospacing="1" w:after="100" w:afterAutospacing="1"/>
        <w:jc w:val="center"/>
        <w:rPr>
          <w:rFonts w:asciiTheme="minorHAnsi" w:hAnsiTheme="minorHAnsi" w:cstheme="minorHAnsi"/>
          <w:b/>
          <w:bCs/>
          <w:sz w:val="48"/>
          <w:szCs w:val="48"/>
          <w:lang w:val="fr-CA"/>
        </w:rPr>
      </w:pPr>
    </w:p>
    <w:p w14:paraId="602E9040" w14:textId="77777777" w:rsidR="003F63CD" w:rsidRPr="003F63CD" w:rsidRDefault="003F63CD" w:rsidP="003F63CD">
      <w:pPr>
        <w:autoSpaceDE w:val="0"/>
        <w:autoSpaceDN w:val="0"/>
        <w:adjustRightInd w:val="0"/>
        <w:spacing w:before="100" w:beforeAutospacing="1" w:after="100" w:afterAutospacing="1"/>
        <w:jc w:val="center"/>
        <w:rPr>
          <w:rFonts w:asciiTheme="minorHAnsi" w:hAnsiTheme="minorHAnsi" w:cstheme="minorHAnsi"/>
          <w:b/>
          <w:bCs/>
          <w:sz w:val="48"/>
          <w:szCs w:val="48"/>
          <w:lang w:val="fr-CA"/>
        </w:rPr>
      </w:pPr>
    </w:p>
    <w:p w14:paraId="7560CC1A" w14:textId="74A44F0D" w:rsidR="003F63CD" w:rsidRPr="003F63CD" w:rsidRDefault="00E66A86" w:rsidP="003F63CD">
      <w:pPr>
        <w:autoSpaceDE w:val="0"/>
        <w:autoSpaceDN w:val="0"/>
        <w:adjustRightInd w:val="0"/>
        <w:spacing w:before="100" w:beforeAutospacing="1" w:after="100" w:afterAutospacing="1"/>
        <w:jc w:val="center"/>
        <w:rPr>
          <w:rFonts w:asciiTheme="minorHAnsi" w:hAnsiTheme="minorHAnsi" w:cstheme="minorHAnsi"/>
          <w:b/>
          <w:bCs/>
          <w:sz w:val="48"/>
          <w:szCs w:val="48"/>
          <w:lang w:val="fr-CA"/>
        </w:rPr>
      </w:pPr>
      <w:r>
        <w:rPr>
          <w:rFonts w:asciiTheme="minorHAnsi" w:hAnsiTheme="minorHAnsi" w:cstheme="minorHAnsi"/>
          <w:b/>
          <w:bCs/>
          <w:sz w:val="48"/>
          <w:szCs w:val="48"/>
          <w:lang w:val="fr-CA"/>
        </w:rPr>
        <w:t>20</w:t>
      </w:r>
      <w:r w:rsidR="00152B92">
        <w:rPr>
          <w:rFonts w:asciiTheme="minorHAnsi" w:hAnsiTheme="minorHAnsi" w:cstheme="minorHAnsi"/>
          <w:b/>
          <w:bCs/>
          <w:sz w:val="48"/>
          <w:szCs w:val="48"/>
          <w:lang w:val="fr-CA"/>
        </w:rPr>
        <w:t>2</w:t>
      </w:r>
      <w:r w:rsidR="006D1CAF">
        <w:rPr>
          <w:rFonts w:asciiTheme="minorHAnsi" w:hAnsiTheme="minorHAnsi" w:cstheme="minorHAnsi"/>
          <w:b/>
          <w:bCs/>
          <w:sz w:val="48"/>
          <w:szCs w:val="48"/>
          <w:lang w:val="fr-CA"/>
        </w:rPr>
        <w:t>1</w:t>
      </w:r>
      <w:r>
        <w:rPr>
          <w:rFonts w:asciiTheme="minorHAnsi" w:hAnsiTheme="minorHAnsi" w:cstheme="minorHAnsi"/>
          <w:b/>
          <w:bCs/>
          <w:sz w:val="48"/>
          <w:szCs w:val="48"/>
          <w:lang w:val="fr-CA"/>
        </w:rPr>
        <w:t>-20</w:t>
      </w:r>
      <w:r w:rsidR="00152B92">
        <w:rPr>
          <w:rFonts w:asciiTheme="minorHAnsi" w:hAnsiTheme="minorHAnsi" w:cstheme="minorHAnsi"/>
          <w:b/>
          <w:bCs/>
          <w:sz w:val="48"/>
          <w:szCs w:val="48"/>
          <w:lang w:val="fr-CA"/>
        </w:rPr>
        <w:t>2</w:t>
      </w:r>
      <w:r w:rsidR="006D1CAF">
        <w:rPr>
          <w:rFonts w:asciiTheme="minorHAnsi" w:hAnsiTheme="minorHAnsi" w:cstheme="minorHAnsi"/>
          <w:b/>
          <w:bCs/>
          <w:sz w:val="48"/>
          <w:szCs w:val="48"/>
          <w:lang w:val="fr-CA"/>
        </w:rPr>
        <w:t>2</w:t>
      </w:r>
    </w:p>
    <w:p w14:paraId="1D82EE05" w14:textId="77777777" w:rsidR="003F63CD" w:rsidRPr="003F63CD" w:rsidRDefault="003F63CD" w:rsidP="003F63CD">
      <w:pPr>
        <w:autoSpaceDE w:val="0"/>
        <w:autoSpaceDN w:val="0"/>
        <w:adjustRightInd w:val="0"/>
        <w:spacing w:before="100" w:beforeAutospacing="1" w:after="100" w:afterAutospacing="1"/>
        <w:jc w:val="center"/>
        <w:rPr>
          <w:rFonts w:asciiTheme="minorHAnsi" w:hAnsiTheme="minorHAnsi" w:cstheme="minorHAnsi"/>
          <w:b/>
          <w:bCs/>
          <w:sz w:val="48"/>
          <w:szCs w:val="48"/>
          <w:u w:val="single"/>
          <w:lang w:val="fr-CA"/>
        </w:rPr>
      </w:pPr>
      <w:r w:rsidRPr="003F63CD">
        <w:rPr>
          <w:rFonts w:asciiTheme="minorHAnsi" w:hAnsiTheme="minorHAnsi" w:cstheme="minorHAnsi"/>
          <w:b/>
          <w:bCs/>
          <w:sz w:val="48"/>
          <w:szCs w:val="48"/>
          <w:u w:val="single"/>
          <w:lang w:val="fr-CA"/>
        </w:rPr>
        <w:t xml:space="preserve">Lignes directrices sur les </w:t>
      </w:r>
    </w:p>
    <w:p w14:paraId="42F1F0EF" w14:textId="77777777" w:rsidR="003F63CD" w:rsidRPr="003F63CD" w:rsidRDefault="003F63CD" w:rsidP="003F63CD">
      <w:pPr>
        <w:autoSpaceDE w:val="0"/>
        <w:autoSpaceDN w:val="0"/>
        <w:adjustRightInd w:val="0"/>
        <w:spacing w:before="100" w:beforeAutospacing="1" w:after="100" w:afterAutospacing="1"/>
        <w:jc w:val="center"/>
        <w:rPr>
          <w:rFonts w:asciiTheme="minorHAnsi" w:hAnsiTheme="minorHAnsi" w:cstheme="minorHAnsi"/>
          <w:b/>
          <w:bCs/>
          <w:sz w:val="48"/>
          <w:szCs w:val="48"/>
          <w:u w:val="single"/>
          <w:lang w:val="fr-CA"/>
        </w:rPr>
      </w:pPr>
      <w:r w:rsidRPr="003F63CD">
        <w:rPr>
          <w:rFonts w:asciiTheme="minorHAnsi" w:hAnsiTheme="minorHAnsi" w:cstheme="minorHAnsi"/>
          <w:b/>
          <w:bCs/>
          <w:sz w:val="48"/>
          <w:szCs w:val="48"/>
          <w:u w:val="single"/>
          <w:lang w:val="fr-CA"/>
        </w:rPr>
        <w:t xml:space="preserve">prévisions financières </w:t>
      </w:r>
    </w:p>
    <w:p w14:paraId="56B4E6BA" w14:textId="77777777" w:rsidR="003F63CD" w:rsidRPr="003F63CD" w:rsidRDefault="003F63CD" w:rsidP="003F63CD">
      <w:pPr>
        <w:autoSpaceDE w:val="0"/>
        <w:autoSpaceDN w:val="0"/>
        <w:adjustRightInd w:val="0"/>
        <w:spacing w:before="100" w:beforeAutospacing="1" w:after="100" w:afterAutospacing="1"/>
        <w:jc w:val="center"/>
        <w:rPr>
          <w:rFonts w:asciiTheme="minorHAnsi" w:hAnsiTheme="minorHAnsi" w:cstheme="minorHAnsi"/>
          <w:b/>
          <w:bCs/>
          <w:sz w:val="48"/>
          <w:szCs w:val="48"/>
          <w:lang w:val="fr-CA"/>
        </w:rPr>
      </w:pPr>
    </w:p>
    <w:p w14:paraId="7504489B" w14:textId="77777777" w:rsidR="003F63CD" w:rsidRPr="003F63CD" w:rsidRDefault="003F63CD" w:rsidP="003F63CD">
      <w:pPr>
        <w:autoSpaceDE w:val="0"/>
        <w:autoSpaceDN w:val="0"/>
        <w:adjustRightInd w:val="0"/>
        <w:spacing w:before="100" w:beforeAutospacing="1" w:after="100" w:afterAutospacing="1"/>
        <w:jc w:val="center"/>
        <w:rPr>
          <w:rFonts w:asciiTheme="minorHAnsi" w:hAnsiTheme="minorHAnsi" w:cstheme="minorHAnsi"/>
          <w:b/>
          <w:bCs/>
          <w:sz w:val="48"/>
          <w:szCs w:val="48"/>
          <w:lang w:val="fr-CA"/>
        </w:rPr>
      </w:pPr>
    </w:p>
    <w:p w14:paraId="406256BF" w14:textId="77777777" w:rsidR="003F63CD" w:rsidRPr="003F63CD" w:rsidRDefault="003F63CD" w:rsidP="003F63CD">
      <w:pPr>
        <w:rPr>
          <w:rFonts w:asciiTheme="minorHAnsi" w:hAnsiTheme="minorHAnsi" w:cstheme="minorHAnsi"/>
          <w:lang w:val="fr-CA"/>
        </w:rPr>
      </w:pPr>
    </w:p>
    <w:p w14:paraId="17A6C1B8" w14:textId="77777777" w:rsidR="003F63CD" w:rsidRPr="003F63CD" w:rsidRDefault="003F63CD" w:rsidP="003F63CD">
      <w:pPr>
        <w:rPr>
          <w:rFonts w:asciiTheme="minorHAnsi" w:hAnsiTheme="minorHAnsi" w:cstheme="minorHAnsi"/>
          <w:lang w:val="fr-CA"/>
        </w:rPr>
      </w:pPr>
    </w:p>
    <w:p w14:paraId="73626BA2" w14:textId="77777777" w:rsidR="003F63CD" w:rsidRPr="003F63CD" w:rsidRDefault="003F63CD" w:rsidP="003F63CD">
      <w:pPr>
        <w:rPr>
          <w:rFonts w:asciiTheme="minorHAnsi" w:hAnsiTheme="minorHAnsi" w:cstheme="minorHAnsi"/>
          <w:lang w:val="fr-CA"/>
        </w:rPr>
      </w:pPr>
    </w:p>
    <w:p w14:paraId="21C8241C" w14:textId="77777777" w:rsidR="003F63CD" w:rsidRPr="003F63CD" w:rsidRDefault="003F63CD" w:rsidP="003F63CD">
      <w:pPr>
        <w:rPr>
          <w:rFonts w:asciiTheme="minorHAnsi" w:hAnsiTheme="minorHAnsi" w:cstheme="minorHAnsi"/>
          <w:lang w:val="fr-CA"/>
        </w:rPr>
      </w:pPr>
    </w:p>
    <w:p w14:paraId="161DFC33" w14:textId="77777777" w:rsidR="003F63CD" w:rsidRPr="003F63CD" w:rsidRDefault="003F63CD" w:rsidP="003F63CD">
      <w:pPr>
        <w:rPr>
          <w:rFonts w:asciiTheme="minorHAnsi" w:hAnsiTheme="minorHAnsi" w:cstheme="minorHAnsi"/>
          <w:lang w:val="fr-CA"/>
        </w:rPr>
      </w:pPr>
    </w:p>
    <w:p w14:paraId="1760E295" w14:textId="77777777" w:rsidR="003F63CD" w:rsidRPr="003F63CD" w:rsidRDefault="003F63CD" w:rsidP="003F63CD">
      <w:pPr>
        <w:rPr>
          <w:rFonts w:asciiTheme="minorHAnsi" w:hAnsiTheme="minorHAnsi" w:cstheme="minorHAnsi"/>
          <w:lang w:val="fr-CA"/>
        </w:rPr>
      </w:pPr>
    </w:p>
    <w:p w14:paraId="7AE12E7D" w14:textId="77777777" w:rsidR="003F63CD" w:rsidRPr="003F63CD" w:rsidRDefault="003F63CD" w:rsidP="003F63CD">
      <w:pPr>
        <w:rPr>
          <w:rFonts w:asciiTheme="minorHAnsi" w:hAnsiTheme="minorHAnsi" w:cstheme="minorHAnsi"/>
          <w:lang w:val="fr-CA"/>
        </w:rPr>
      </w:pPr>
    </w:p>
    <w:p w14:paraId="2BC172BD" w14:textId="77777777" w:rsidR="003F63CD" w:rsidRPr="003F63CD" w:rsidRDefault="003F63CD" w:rsidP="003F63CD">
      <w:pPr>
        <w:rPr>
          <w:rFonts w:asciiTheme="minorHAnsi" w:hAnsiTheme="minorHAnsi" w:cstheme="minorHAnsi"/>
          <w:lang w:val="fr-CA"/>
        </w:rPr>
      </w:pPr>
    </w:p>
    <w:p w14:paraId="375B83EB" w14:textId="77777777" w:rsidR="003F63CD" w:rsidRPr="003F63CD" w:rsidRDefault="00FD2DAB" w:rsidP="003F63CD">
      <w:pPr>
        <w:rPr>
          <w:rFonts w:asciiTheme="minorHAnsi" w:hAnsiTheme="minorHAnsi" w:cstheme="minorHAnsi"/>
          <w:sz w:val="22"/>
          <w:szCs w:val="22"/>
          <w:lang w:val="fr-CA"/>
        </w:rPr>
      </w:pPr>
      <w:r>
        <w:rPr>
          <w:rFonts w:asciiTheme="minorHAnsi" w:hAnsiTheme="minorHAnsi" w:cstheme="minorHAnsi"/>
          <w:sz w:val="22"/>
          <w:szCs w:val="22"/>
          <w:lang w:val="fr-CA"/>
        </w:rPr>
        <w:t xml:space="preserve">Document préparé par :  </w:t>
      </w:r>
      <w:r w:rsidR="003F63CD" w:rsidRPr="003F63CD">
        <w:rPr>
          <w:rFonts w:asciiTheme="minorHAnsi" w:hAnsiTheme="minorHAnsi" w:cstheme="minorHAnsi"/>
          <w:sz w:val="22"/>
          <w:szCs w:val="22"/>
          <w:lang w:val="fr-CA"/>
        </w:rPr>
        <w:t>Gestion des ressources ministérielles (GRM)</w:t>
      </w:r>
    </w:p>
    <w:p w14:paraId="4CE09E3F" w14:textId="77777777" w:rsidR="003F63CD" w:rsidRPr="003F63CD" w:rsidRDefault="00FD2DAB" w:rsidP="003F63CD">
      <w:pPr>
        <w:rPr>
          <w:rFonts w:asciiTheme="minorHAnsi" w:hAnsiTheme="minorHAnsi" w:cstheme="minorHAnsi"/>
          <w:sz w:val="22"/>
          <w:szCs w:val="22"/>
          <w:lang w:val="fr-CA"/>
        </w:rPr>
      </w:pPr>
      <w:r>
        <w:rPr>
          <w:rFonts w:asciiTheme="minorHAnsi" w:hAnsiTheme="minorHAnsi" w:cstheme="minorHAnsi"/>
          <w:sz w:val="22"/>
          <w:szCs w:val="22"/>
          <w:lang w:val="fr-CA"/>
        </w:rPr>
        <w:tab/>
      </w:r>
      <w:r>
        <w:rPr>
          <w:rFonts w:asciiTheme="minorHAnsi" w:hAnsiTheme="minorHAnsi" w:cstheme="minorHAnsi"/>
          <w:sz w:val="22"/>
          <w:szCs w:val="22"/>
          <w:lang w:val="fr-CA"/>
        </w:rPr>
        <w:tab/>
      </w:r>
      <w:r>
        <w:rPr>
          <w:rFonts w:asciiTheme="minorHAnsi" w:hAnsiTheme="minorHAnsi" w:cstheme="minorHAnsi"/>
          <w:sz w:val="22"/>
          <w:szCs w:val="22"/>
          <w:lang w:val="fr-CA"/>
        </w:rPr>
        <w:tab/>
        <w:t xml:space="preserve">     </w:t>
      </w:r>
      <w:r w:rsidR="003F63CD" w:rsidRPr="003F63CD">
        <w:rPr>
          <w:rFonts w:asciiTheme="minorHAnsi" w:hAnsiTheme="minorHAnsi" w:cstheme="minorHAnsi"/>
          <w:sz w:val="22"/>
          <w:szCs w:val="22"/>
          <w:lang w:val="fr-CA"/>
        </w:rPr>
        <w:t>Direction générale du dirigeant principal des finances (DGDPF)</w:t>
      </w:r>
    </w:p>
    <w:p w14:paraId="6023A27D" w14:textId="77777777" w:rsidR="003F63CD" w:rsidRPr="003F63CD" w:rsidRDefault="003F63CD" w:rsidP="003F63CD">
      <w:pPr>
        <w:rPr>
          <w:rFonts w:asciiTheme="minorHAnsi" w:hAnsiTheme="minorHAnsi" w:cstheme="minorHAnsi"/>
          <w:sz w:val="22"/>
          <w:szCs w:val="22"/>
          <w:lang w:val="fr-CA"/>
        </w:rPr>
      </w:pPr>
    </w:p>
    <w:p w14:paraId="521D79D0" w14:textId="344FFBF7" w:rsidR="003F63CD" w:rsidRPr="003F63CD" w:rsidRDefault="003F63CD" w:rsidP="003F63CD">
      <w:pPr>
        <w:rPr>
          <w:rFonts w:asciiTheme="minorHAnsi" w:hAnsiTheme="minorHAnsi" w:cstheme="minorHAnsi"/>
          <w:sz w:val="22"/>
          <w:szCs w:val="22"/>
          <w:lang w:val="fr-CA"/>
        </w:rPr>
      </w:pPr>
      <w:r w:rsidRPr="00E66A86">
        <w:rPr>
          <w:rFonts w:asciiTheme="minorHAnsi" w:hAnsiTheme="minorHAnsi" w:cstheme="minorHAnsi"/>
          <w:sz w:val="22"/>
          <w:szCs w:val="22"/>
          <w:lang w:val="fr-CA"/>
        </w:rPr>
        <w:t>Der</w:t>
      </w:r>
      <w:r w:rsidR="00FD2DAB">
        <w:rPr>
          <w:rFonts w:asciiTheme="minorHAnsi" w:hAnsiTheme="minorHAnsi" w:cstheme="minorHAnsi"/>
          <w:sz w:val="22"/>
          <w:szCs w:val="22"/>
          <w:lang w:val="fr-CA"/>
        </w:rPr>
        <w:t xml:space="preserve">nière mise à jour :      </w:t>
      </w:r>
      <w:r w:rsidR="00EC46B3">
        <w:rPr>
          <w:rFonts w:asciiTheme="minorHAnsi" w:hAnsiTheme="minorHAnsi" w:cstheme="minorHAnsi"/>
          <w:sz w:val="22"/>
          <w:szCs w:val="22"/>
          <w:lang w:val="fr-CA"/>
        </w:rPr>
        <w:t>Mai</w:t>
      </w:r>
      <w:r w:rsidR="002557F7" w:rsidRPr="002557F7">
        <w:rPr>
          <w:rFonts w:asciiTheme="minorHAnsi" w:hAnsiTheme="minorHAnsi" w:cstheme="minorHAnsi"/>
          <w:sz w:val="22"/>
          <w:szCs w:val="22"/>
          <w:lang w:val="fr-CA"/>
        </w:rPr>
        <w:t xml:space="preserve"> 2021</w:t>
      </w:r>
      <w:r w:rsidR="00152B92" w:rsidRPr="00E66A86">
        <w:rPr>
          <w:rFonts w:asciiTheme="minorHAnsi" w:hAnsiTheme="minorHAnsi" w:cstheme="minorHAnsi"/>
          <w:sz w:val="22"/>
          <w:szCs w:val="22"/>
          <w:lang w:val="fr-CA"/>
        </w:rPr>
        <w:t xml:space="preserve"> </w:t>
      </w:r>
    </w:p>
    <w:p w14:paraId="4FFEAF43" w14:textId="77777777" w:rsidR="005E7BB2" w:rsidRDefault="005E7BB2">
      <w:pPr>
        <w:rPr>
          <w:lang w:val="fr-CA"/>
        </w:rPr>
      </w:pPr>
      <w:bookmarkStart w:id="1" w:name="_Toc513716487"/>
    </w:p>
    <w:p w14:paraId="779E240E" w14:textId="0570D305" w:rsidR="005E7BB2" w:rsidRDefault="005E7BB2">
      <w:pPr>
        <w:rPr>
          <w:rFonts w:asciiTheme="majorHAnsi" w:eastAsiaTheme="majorEastAsia" w:hAnsiTheme="majorHAnsi" w:cstheme="majorBidi"/>
          <w:b/>
          <w:bCs/>
          <w:color w:val="8E0022" w:themeColor="accent1" w:themeShade="B5"/>
          <w:sz w:val="32"/>
          <w:szCs w:val="32"/>
          <w:lang w:val="fr-CA"/>
        </w:rPr>
      </w:pPr>
      <w:r>
        <w:rPr>
          <w:rFonts w:asciiTheme="majorHAnsi" w:eastAsiaTheme="majorEastAsia" w:hAnsiTheme="majorHAnsi" w:cstheme="majorBidi"/>
          <w:b/>
          <w:bCs/>
          <w:color w:val="8E0022" w:themeColor="accent1" w:themeShade="B5"/>
          <w:sz w:val="32"/>
          <w:szCs w:val="32"/>
          <w:lang w:val="fr-CA"/>
        </w:rPr>
        <w:lastRenderedPageBreak/>
        <w:t>Table des matières</w:t>
      </w:r>
    </w:p>
    <w:p w14:paraId="185809B9" w14:textId="3F0D8E1E" w:rsidR="005E7BB2" w:rsidRDefault="005E7BB2">
      <w:pPr>
        <w:pStyle w:val="TOC1"/>
        <w:tabs>
          <w:tab w:val="left" w:pos="480"/>
          <w:tab w:val="right" w:leader="dot" w:pos="8990"/>
        </w:tabs>
        <w:rPr>
          <w:rFonts w:eastAsiaTheme="minorEastAsia" w:cstheme="minorBidi"/>
          <w:b w:val="0"/>
          <w:bCs w:val="0"/>
          <w:noProof/>
          <w:sz w:val="22"/>
          <w:szCs w:val="22"/>
        </w:rPr>
      </w:pPr>
      <w:r>
        <w:rPr>
          <w:lang w:val="fr-CA"/>
        </w:rPr>
        <w:fldChar w:fldCharType="begin"/>
      </w:r>
      <w:r>
        <w:rPr>
          <w:lang w:val="fr-CA"/>
        </w:rPr>
        <w:instrText xml:space="preserve"> TOC \o "1-3" \h \z \u </w:instrText>
      </w:r>
      <w:r>
        <w:rPr>
          <w:lang w:val="fr-CA"/>
        </w:rPr>
        <w:fldChar w:fldCharType="separate"/>
      </w:r>
      <w:hyperlink w:anchor="_Toc72402498" w:history="1">
        <w:r w:rsidRPr="00783671">
          <w:rPr>
            <w:rStyle w:val="Hyperlink"/>
            <w:rFonts w:eastAsiaTheme="majorEastAsia"/>
            <w:noProof/>
          </w:rPr>
          <w:t>1</w:t>
        </w:r>
        <w:r>
          <w:rPr>
            <w:rFonts w:eastAsiaTheme="minorEastAsia" w:cstheme="minorBidi"/>
            <w:b w:val="0"/>
            <w:bCs w:val="0"/>
            <w:noProof/>
            <w:sz w:val="22"/>
            <w:szCs w:val="22"/>
          </w:rPr>
          <w:tab/>
        </w:r>
        <w:r w:rsidRPr="00783671">
          <w:rPr>
            <w:rStyle w:val="Hyperlink"/>
            <w:rFonts w:eastAsiaTheme="majorEastAsia"/>
            <w:noProof/>
          </w:rPr>
          <w:t>Lignes directrices générales</w:t>
        </w:r>
        <w:r>
          <w:rPr>
            <w:noProof/>
            <w:webHidden/>
          </w:rPr>
          <w:tab/>
        </w:r>
        <w:r>
          <w:rPr>
            <w:noProof/>
            <w:webHidden/>
          </w:rPr>
          <w:fldChar w:fldCharType="begin"/>
        </w:r>
        <w:r>
          <w:rPr>
            <w:noProof/>
            <w:webHidden/>
          </w:rPr>
          <w:instrText xml:space="preserve"> PAGEREF _Toc72402498 \h </w:instrText>
        </w:r>
        <w:r>
          <w:rPr>
            <w:noProof/>
            <w:webHidden/>
          </w:rPr>
        </w:r>
        <w:r>
          <w:rPr>
            <w:noProof/>
            <w:webHidden/>
          </w:rPr>
          <w:fldChar w:fldCharType="separate"/>
        </w:r>
        <w:r>
          <w:rPr>
            <w:noProof/>
            <w:webHidden/>
          </w:rPr>
          <w:t>4</w:t>
        </w:r>
        <w:r>
          <w:rPr>
            <w:noProof/>
            <w:webHidden/>
          </w:rPr>
          <w:fldChar w:fldCharType="end"/>
        </w:r>
      </w:hyperlink>
    </w:p>
    <w:p w14:paraId="0479C3E5" w14:textId="0A94D11B" w:rsidR="005E7BB2" w:rsidRDefault="00D45BCF">
      <w:pPr>
        <w:pStyle w:val="TOC2"/>
        <w:tabs>
          <w:tab w:val="left" w:pos="720"/>
          <w:tab w:val="right" w:leader="dot" w:pos="8990"/>
        </w:tabs>
        <w:rPr>
          <w:rFonts w:eastAsiaTheme="minorEastAsia" w:cstheme="minorBidi"/>
          <w:i w:val="0"/>
          <w:iCs w:val="0"/>
          <w:noProof/>
          <w:sz w:val="22"/>
          <w:szCs w:val="22"/>
        </w:rPr>
      </w:pPr>
      <w:hyperlink w:anchor="_Toc72402499" w:history="1">
        <w:r w:rsidR="005E7BB2" w:rsidRPr="00783671">
          <w:rPr>
            <w:rStyle w:val="Hyperlink"/>
            <w:rFonts w:eastAsiaTheme="majorEastAsia"/>
            <w:noProof/>
            <w:lang w:val="fr-CA"/>
          </w:rPr>
          <w:t>1.1</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Principes ministériels sur la gestion des ressources financières</w:t>
        </w:r>
        <w:r w:rsidR="005E7BB2">
          <w:rPr>
            <w:noProof/>
            <w:webHidden/>
          </w:rPr>
          <w:tab/>
        </w:r>
        <w:r w:rsidR="005E7BB2">
          <w:rPr>
            <w:noProof/>
            <w:webHidden/>
          </w:rPr>
          <w:fldChar w:fldCharType="begin"/>
        </w:r>
        <w:r w:rsidR="005E7BB2">
          <w:rPr>
            <w:noProof/>
            <w:webHidden/>
          </w:rPr>
          <w:instrText xml:space="preserve"> PAGEREF _Toc72402499 \h </w:instrText>
        </w:r>
        <w:r w:rsidR="005E7BB2">
          <w:rPr>
            <w:noProof/>
            <w:webHidden/>
          </w:rPr>
        </w:r>
        <w:r w:rsidR="005E7BB2">
          <w:rPr>
            <w:noProof/>
            <w:webHidden/>
          </w:rPr>
          <w:fldChar w:fldCharType="separate"/>
        </w:r>
        <w:r w:rsidR="005E7BB2">
          <w:rPr>
            <w:noProof/>
            <w:webHidden/>
          </w:rPr>
          <w:t>4</w:t>
        </w:r>
        <w:r w:rsidR="005E7BB2">
          <w:rPr>
            <w:noProof/>
            <w:webHidden/>
          </w:rPr>
          <w:fldChar w:fldCharType="end"/>
        </w:r>
      </w:hyperlink>
    </w:p>
    <w:p w14:paraId="4E5CD8D2" w14:textId="187A1BF8" w:rsidR="005E7BB2" w:rsidRDefault="00D45BCF">
      <w:pPr>
        <w:pStyle w:val="TOC2"/>
        <w:tabs>
          <w:tab w:val="left" w:pos="720"/>
          <w:tab w:val="right" w:leader="dot" w:pos="8990"/>
        </w:tabs>
        <w:rPr>
          <w:rFonts w:eastAsiaTheme="minorEastAsia" w:cstheme="minorBidi"/>
          <w:i w:val="0"/>
          <w:iCs w:val="0"/>
          <w:noProof/>
          <w:sz w:val="22"/>
          <w:szCs w:val="22"/>
        </w:rPr>
      </w:pPr>
      <w:hyperlink w:anchor="_Toc72402500" w:history="1">
        <w:r w:rsidR="005E7BB2" w:rsidRPr="00783671">
          <w:rPr>
            <w:rStyle w:val="Hyperlink"/>
            <w:rFonts w:eastAsiaTheme="majorEastAsia"/>
            <w:noProof/>
            <w:lang w:val="fr-CA"/>
          </w:rPr>
          <w:t>1.2</w:t>
        </w:r>
        <w:r w:rsidR="005E7BB2">
          <w:rPr>
            <w:rFonts w:eastAsiaTheme="minorEastAsia" w:cstheme="minorBidi"/>
            <w:i w:val="0"/>
            <w:iCs w:val="0"/>
            <w:noProof/>
            <w:sz w:val="22"/>
            <w:szCs w:val="22"/>
          </w:rPr>
          <w:tab/>
        </w:r>
        <w:r w:rsidR="005E7BB2" w:rsidRPr="00783671">
          <w:rPr>
            <w:rStyle w:val="Hyperlink"/>
            <w:rFonts w:eastAsiaTheme="majorEastAsia"/>
            <w:noProof/>
            <w:lang w:val="fr-CA"/>
          </w:rPr>
          <w:t>Responsabilisation</w:t>
        </w:r>
        <w:r w:rsidR="005E7BB2">
          <w:rPr>
            <w:noProof/>
            <w:webHidden/>
          </w:rPr>
          <w:tab/>
        </w:r>
        <w:r w:rsidR="005E7BB2">
          <w:rPr>
            <w:noProof/>
            <w:webHidden/>
          </w:rPr>
          <w:fldChar w:fldCharType="begin"/>
        </w:r>
        <w:r w:rsidR="005E7BB2">
          <w:rPr>
            <w:noProof/>
            <w:webHidden/>
          </w:rPr>
          <w:instrText xml:space="preserve"> PAGEREF _Toc72402500 \h </w:instrText>
        </w:r>
        <w:r w:rsidR="005E7BB2">
          <w:rPr>
            <w:noProof/>
            <w:webHidden/>
          </w:rPr>
        </w:r>
        <w:r w:rsidR="005E7BB2">
          <w:rPr>
            <w:noProof/>
            <w:webHidden/>
          </w:rPr>
          <w:fldChar w:fldCharType="separate"/>
        </w:r>
        <w:r w:rsidR="005E7BB2">
          <w:rPr>
            <w:noProof/>
            <w:webHidden/>
          </w:rPr>
          <w:t>5</w:t>
        </w:r>
        <w:r w:rsidR="005E7BB2">
          <w:rPr>
            <w:noProof/>
            <w:webHidden/>
          </w:rPr>
          <w:fldChar w:fldCharType="end"/>
        </w:r>
      </w:hyperlink>
    </w:p>
    <w:p w14:paraId="5AF6C5B5" w14:textId="48055713" w:rsidR="005E7BB2" w:rsidRDefault="00D45BCF">
      <w:pPr>
        <w:pStyle w:val="TOC2"/>
        <w:tabs>
          <w:tab w:val="left" w:pos="720"/>
          <w:tab w:val="right" w:leader="dot" w:pos="8990"/>
        </w:tabs>
        <w:rPr>
          <w:rFonts w:eastAsiaTheme="minorEastAsia" w:cstheme="minorBidi"/>
          <w:i w:val="0"/>
          <w:iCs w:val="0"/>
          <w:noProof/>
          <w:sz w:val="22"/>
          <w:szCs w:val="22"/>
        </w:rPr>
      </w:pPr>
      <w:hyperlink w:anchor="_Toc72402501" w:history="1">
        <w:r w:rsidR="005E7BB2" w:rsidRPr="00783671">
          <w:rPr>
            <w:rStyle w:val="Hyperlink"/>
            <w:rFonts w:eastAsiaTheme="majorEastAsia"/>
            <w:noProof/>
            <w:lang w:val="fr-CA"/>
          </w:rPr>
          <w:t>1.3</w:t>
        </w:r>
        <w:r w:rsidR="005E7BB2">
          <w:rPr>
            <w:rFonts w:eastAsiaTheme="minorEastAsia" w:cstheme="minorBidi"/>
            <w:i w:val="0"/>
            <w:iCs w:val="0"/>
            <w:noProof/>
            <w:sz w:val="22"/>
            <w:szCs w:val="22"/>
          </w:rPr>
          <w:tab/>
        </w:r>
        <w:r w:rsidR="005E7BB2" w:rsidRPr="00783671">
          <w:rPr>
            <w:rStyle w:val="Hyperlink"/>
            <w:rFonts w:eastAsiaTheme="majorEastAsia"/>
            <w:noProof/>
            <w:lang w:val="fr-CA"/>
          </w:rPr>
          <w:t>Calendrier des prévisions du ministère</w:t>
        </w:r>
        <w:r w:rsidR="005E7BB2">
          <w:rPr>
            <w:noProof/>
            <w:webHidden/>
          </w:rPr>
          <w:tab/>
        </w:r>
        <w:r w:rsidR="005E7BB2">
          <w:rPr>
            <w:noProof/>
            <w:webHidden/>
          </w:rPr>
          <w:fldChar w:fldCharType="begin"/>
        </w:r>
        <w:r w:rsidR="005E7BB2">
          <w:rPr>
            <w:noProof/>
            <w:webHidden/>
          </w:rPr>
          <w:instrText xml:space="preserve"> PAGEREF _Toc72402501 \h </w:instrText>
        </w:r>
        <w:r w:rsidR="005E7BB2">
          <w:rPr>
            <w:noProof/>
            <w:webHidden/>
          </w:rPr>
        </w:r>
        <w:r w:rsidR="005E7BB2">
          <w:rPr>
            <w:noProof/>
            <w:webHidden/>
          </w:rPr>
          <w:fldChar w:fldCharType="separate"/>
        </w:r>
        <w:r w:rsidR="005E7BB2">
          <w:rPr>
            <w:noProof/>
            <w:webHidden/>
          </w:rPr>
          <w:t>5</w:t>
        </w:r>
        <w:r w:rsidR="005E7BB2">
          <w:rPr>
            <w:noProof/>
            <w:webHidden/>
          </w:rPr>
          <w:fldChar w:fldCharType="end"/>
        </w:r>
      </w:hyperlink>
    </w:p>
    <w:p w14:paraId="480B8D4A" w14:textId="41F45D75" w:rsidR="005E7BB2" w:rsidRDefault="00D45BCF">
      <w:pPr>
        <w:pStyle w:val="TOC2"/>
        <w:tabs>
          <w:tab w:val="left" w:pos="720"/>
          <w:tab w:val="right" w:leader="dot" w:pos="8990"/>
        </w:tabs>
        <w:rPr>
          <w:rFonts w:eastAsiaTheme="minorEastAsia" w:cstheme="minorBidi"/>
          <w:i w:val="0"/>
          <w:iCs w:val="0"/>
          <w:noProof/>
          <w:sz w:val="22"/>
          <w:szCs w:val="22"/>
        </w:rPr>
      </w:pPr>
      <w:hyperlink w:anchor="_Toc72402502" w:history="1">
        <w:r w:rsidR="005E7BB2" w:rsidRPr="00783671">
          <w:rPr>
            <w:rStyle w:val="Hyperlink"/>
            <w:rFonts w:eastAsiaTheme="majorEastAsia"/>
            <w:noProof/>
            <w:lang w:val="fr-CA"/>
          </w:rPr>
          <w:t>1.4</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Prévisions relatives aux frais administratifs du Régime de pensions du Canada</w:t>
        </w:r>
        <w:r w:rsidR="005E7BB2">
          <w:rPr>
            <w:noProof/>
            <w:webHidden/>
          </w:rPr>
          <w:tab/>
        </w:r>
        <w:r w:rsidR="005E7BB2">
          <w:rPr>
            <w:noProof/>
            <w:webHidden/>
          </w:rPr>
          <w:fldChar w:fldCharType="begin"/>
        </w:r>
        <w:r w:rsidR="005E7BB2">
          <w:rPr>
            <w:noProof/>
            <w:webHidden/>
          </w:rPr>
          <w:instrText xml:space="preserve"> PAGEREF _Toc72402502 \h </w:instrText>
        </w:r>
        <w:r w:rsidR="005E7BB2">
          <w:rPr>
            <w:noProof/>
            <w:webHidden/>
          </w:rPr>
        </w:r>
        <w:r w:rsidR="005E7BB2">
          <w:rPr>
            <w:noProof/>
            <w:webHidden/>
          </w:rPr>
          <w:fldChar w:fldCharType="separate"/>
        </w:r>
        <w:r w:rsidR="005E7BB2">
          <w:rPr>
            <w:noProof/>
            <w:webHidden/>
          </w:rPr>
          <w:t>5</w:t>
        </w:r>
        <w:r w:rsidR="005E7BB2">
          <w:rPr>
            <w:noProof/>
            <w:webHidden/>
          </w:rPr>
          <w:fldChar w:fldCharType="end"/>
        </w:r>
      </w:hyperlink>
    </w:p>
    <w:p w14:paraId="7E38363B" w14:textId="0ACD7B03" w:rsidR="005E7BB2" w:rsidRDefault="00D45BCF">
      <w:pPr>
        <w:pStyle w:val="TOC1"/>
        <w:tabs>
          <w:tab w:val="left" w:pos="480"/>
          <w:tab w:val="right" w:leader="dot" w:pos="8990"/>
        </w:tabs>
        <w:rPr>
          <w:rFonts w:eastAsiaTheme="minorEastAsia" w:cstheme="minorBidi"/>
          <w:b w:val="0"/>
          <w:bCs w:val="0"/>
          <w:noProof/>
          <w:sz w:val="22"/>
          <w:szCs w:val="22"/>
        </w:rPr>
      </w:pPr>
      <w:hyperlink w:anchor="_Toc72402503" w:history="1">
        <w:r w:rsidR="005E7BB2" w:rsidRPr="00783671">
          <w:rPr>
            <w:rStyle w:val="Hyperlink"/>
            <w:rFonts w:eastAsiaTheme="majorEastAsia"/>
            <w:noProof/>
            <w:lang w:val="fr-CA"/>
          </w:rPr>
          <w:t>2</w:t>
        </w:r>
        <w:r w:rsidR="005E7BB2">
          <w:rPr>
            <w:rFonts w:eastAsiaTheme="minorEastAsia" w:cstheme="minorBidi"/>
            <w:b w:val="0"/>
            <w:bCs w:val="0"/>
            <w:noProof/>
            <w:sz w:val="22"/>
            <w:szCs w:val="22"/>
          </w:rPr>
          <w:tab/>
        </w:r>
        <w:r w:rsidR="005E7BB2" w:rsidRPr="00783671">
          <w:rPr>
            <w:rStyle w:val="Hyperlink"/>
            <w:rFonts w:eastAsiaTheme="majorEastAsia"/>
            <w:noProof/>
            <w:lang w:val="fr-CA"/>
          </w:rPr>
          <w:t>Processus prévisionnel</w:t>
        </w:r>
        <w:r w:rsidR="005E7BB2">
          <w:rPr>
            <w:noProof/>
            <w:webHidden/>
          </w:rPr>
          <w:tab/>
        </w:r>
        <w:r w:rsidR="005E7BB2">
          <w:rPr>
            <w:noProof/>
            <w:webHidden/>
          </w:rPr>
          <w:fldChar w:fldCharType="begin"/>
        </w:r>
        <w:r w:rsidR="005E7BB2">
          <w:rPr>
            <w:noProof/>
            <w:webHidden/>
          </w:rPr>
          <w:instrText xml:space="preserve"> PAGEREF _Toc72402503 \h </w:instrText>
        </w:r>
        <w:r w:rsidR="005E7BB2">
          <w:rPr>
            <w:noProof/>
            <w:webHidden/>
          </w:rPr>
        </w:r>
        <w:r w:rsidR="005E7BB2">
          <w:rPr>
            <w:noProof/>
            <w:webHidden/>
          </w:rPr>
          <w:fldChar w:fldCharType="separate"/>
        </w:r>
        <w:r w:rsidR="005E7BB2">
          <w:rPr>
            <w:noProof/>
            <w:webHidden/>
          </w:rPr>
          <w:t>6</w:t>
        </w:r>
        <w:r w:rsidR="005E7BB2">
          <w:rPr>
            <w:noProof/>
            <w:webHidden/>
          </w:rPr>
          <w:fldChar w:fldCharType="end"/>
        </w:r>
      </w:hyperlink>
    </w:p>
    <w:p w14:paraId="4D857A48" w14:textId="29C0C384" w:rsidR="005E7BB2" w:rsidRDefault="00D45BCF">
      <w:pPr>
        <w:pStyle w:val="TOC2"/>
        <w:tabs>
          <w:tab w:val="left" w:pos="720"/>
          <w:tab w:val="right" w:leader="dot" w:pos="8990"/>
        </w:tabs>
        <w:rPr>
          <w:rFonts w:eastAsiaTheme="minorEastAsia" w:cstheme="minorBidi"/>
          <w:i w:val="0"/>
          <w:iCs w:val="0"/>
          <w:noProof/>
          <w:sz w:val="22"/>
          <w:szCs w:val="22"/>
        </w:rPr>
      </w:pPr>
      <w:hyperlink w:anchor="_Toc72402504" w:history="1">
        <w:r w:rsidR="005E7BB2" w:rsidRPr="00783671">
          <w:rPr>
            <w:rStyle w:val="Hyperlink"/>
            <w:rFonts w:eastAsiaTheme="majorEastAsia"/>
            <w:noProof/>
            <w:lang w:val="fr-CA"/>
          </w:rPr>
          <w:t>2.1</w:t>
        </w:r>
        <w:r w:rsidR="005E7BB2">
          <w:rPr>
            <w:rFonts w:eastAsiaTheme="minorEastAsia" w:cstheme="minorBidi"/>
            <w:i w:val="0"/>
            <w:iCs w:val="0"/>
            <w:noProof/>
            <w:sz w:val="22"/>
            <w:szCs w:val="22"/>
          </w:rPr>
          <w:tab/>
        </w:r>
        <w:r w:rsidR="005E7BB2" w:rsidRPr="00783671">
          <w:rPr>
            <w:rStyle w:val="Hyperlink"/>
            <w:rFonts w:eastAsiaTheme="majorEastAsia"/>
            <w:noProof/>
            <w:lang w:val="fr-CA"/>
          </w:rPr>
          <w:t>Lancement du processus de prévision</w:t>
        </w:r>
        <w:r w:rsidR="005E7BB2">
          <w:rPr>
            <w:noProof/>
            <w:webHidden/>
          </w:rPr>
          <w:tab/>
        </w:r>
        <w:r w:rsidR="005E7BB2">
          <w:rPr>
            <w:noProof/>
            <w:webHidden/>
          </w:rPr>
          <w:fldChar w:fldCharType="begin"/>
        </w:r>
        <w:r w:rsidR="005E7BB2">
          <w:rPr>
            <w:noProof/>
            <w:webHidden/>
          </w:rPr>
          <w:instrText xml:space="preserve"> PAGEREF _Toc72402504 \h </w:instrText>
        </w:r>
        <w:r w:rsidR="005E7BB2">
          <w:rPr>
            <w:noProof/>
            <w:webHidden/>
          </w:rPr>
        </w:r>
        <w:r w:rsidR="005E7BB2">
          <w:rPr>
            <w:noProof/>
            <w:webHidden/>
          </w:rPr>
          <w:fldChar w:fldCharType="separate"/>
        </w:r>
        <w:r w:rsidR="005E7BB2">
          <w:rPr>
            <w:noProof/>
            <w:webHidden/>
          </w:rPr>
          <w:t>6</w:t>
        </w:r>
        <w:r w:rsidR="005E7BB2">
          <w:rPr>
            <w:noProof/>
            <w:webHidden/>
          </w:rPr>
          <w:fldChar w:fldCharType="end"/>
        </w:r>
      </w:hyperlink>
    </w:p>
    <w:p w14:paraId="14B0F7F2" w14:textId="38831A50" w:rsidR="005E7BB2" w:rsidRDefault="00D45BCF">
      <w:pPr>
        <w:pStyle w:val="TOC2"/>
        <w:tabs>
          <w:tab w:val="left" w:pos="720"/>
          <w:tab w:val="right" w:leader="dot" w:pos="8990"/>
        </w:tabs>
        <w:rPr>
          <w:rFonts w:eastAsiaTheme="minorEastAsia" w:cstheme="minorBidi"/>
          <w:i w:val="0"/>
          <w:iCs w:val="0"/>
          <w:noProof/>
          <w:sz w:val="22"/>
          <w:szCs w:val="22"/>
        </w:rPr>
      </w:pPr>
      <w:hyperlink w:anchor="_Toc72402505" w:history="1">
        <w:r w:rsidR="005E7BB2" w:rsidRPr="00783671">
          <w:rPr>
            <w:rStyle w:val="Hyperlink"/>
            <w:rFonts w:eastAsiaTheme="majorEastAsia"/>
            <w:noProof/>
            <w:lang w:val="fr-CA"/>
          </w:rPr>
          <w:t>2.2</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Préparation et consolidation des prévisions</w:t>
        </w:r>
        <w:r w:rsidR="005E7BB2">
          <w:rPr>
            <w:noProof/>
            <w:webHidden/>
          </w:rPr>
          <w:tab/>
        </w:r>
        <w:r w:rsidR="005E7BB2">
          <w:rPr>
            <w:noProof/>
            <w:webHidden/>
          </w:rPr>
          <w:fldChar w:fldCharType="begin"/>
        </w:r>
        <w:r w:rsidR="005E7BB2">
          <w:rPr>
            <w:noProof/>
            <w:webHidden/>
          </w:rPr>
          <w:instrText xml:space="preserve"> PAGEREF _Toc72402505 \h </w:instrText>
        </w:r>
        <w:r w:rsidR="005E7BB2">
          <w:rPr>
            <w:noProof/>
            <w:webHidden/>
          </w:rPr>
        </w:r>
        <w:r w:rsidR="005E7BB2">
          <w:rPr>
            <w:noProof/>
            <w:webHidden/>
          </w:rPr>
          <w:fldChar w:fldCharType="separate"/>
        </w:r>
        <w:r w:rsidR="005E7BB2">
          <w:rPr>
            <w:noProof/>
            <w:webHidden/>
          </w:rPr>
          <w:t>7</w:t>
        </w:r>
        <w:r w:rsidR="005E7BB2">
          <w:rPr>
            <w:noProof/>
            <w:webHidden/>
          </w:rPr>
          <w:fldChar w:fldCharType="end"/>
        </w:r>
      </w:hyperlink>
    </w:p>
    <w:p w14:paraId="6424C5F2" w14:textId="2FF07F3E" w:rsidR="005E7BB2" w:rsidRDefault="00D45BCF">
      <w:pPr>
        <w:pStyle w:val="TOC2"/>
        <w:tabs>
          <w:tab w:val="left" w:pos="720"/>
          <w:tab w:val="right" w:leader="dot" w:pos="8990"/>
        </w:tabs>
        <w:rPr>
          <w:rFonts w:eastAsiaTheme="minorEastAsia" w:cstheme="minorBidi"/>
          <w:i w:val="0"/>
          <w:iCs w:val="0"/>
          <w:noProof/>
          <w:sz w:val="22"/>
          <w:szCs w:val="22"/>
        </w:rPr>
      </w:pPr>
      <w:hyperlink w:anchor="_Toc72402506" w:history="1">
        <w:r w:rsidR="005E7BB2" w:rsidRPr="00783671">
          <w:rPr>
            <w:rStyle w:val="Hyperlink"/>
            <w:rFonts w:eastAsiaTheme="majorEastAsia"/>
            <w:noProof/>
            <w:lang w:val="fr-CA"/>
          </w:rPr>
          <w:t>2.3</w:t>
        </w:r>
        <w:r w:rsidR="005E7BB2">
          <w:rPr>
            <w:rFonts w:eastAsiaTheme="minorEastAsia" w:cstheme="minorBidi"/>
            <w:i w:val="0"/>
            <w:iCs w:val="0"/>
            <w:noProof/>
            <w:sz w:val="22"/>
            <w:szCs w:val="22"/>
          </w:rPr>
          <w:tab/>
        </w:r>
        <w:r w:rsidR="005E7BB2" w:rsidRPr="00783671">
          <w:rPr>
            <w:rStyle w:val="Hyperlink"/>
            <w:rFonts w:eastAsiaTheme="majorEastAsia"/>
            <w:noProof/>
            <w:lang w:val="fr-CA"/>
          </w:rPr>
          <w:t>Consolidation des prévisions ministérielles</w:t>
        </w:r>
        <w:r w:rsidR="005E7BB2">
          <w:rPr>
            <w:noProof/>
            <w:webHidden/>
          </w:rPr>
          <w:tab/>
        </w:r>
        <w:r w:rsidR="005E7BB2">
          <w:rPr>
            <w:noProof/>
            <w:webHidden/>
          </w:rPr>
          <w:fldChar w:fldCharType="begin"/>
        </w:r>
        <w:r w:rsidR="005E7BB2">
          <w:rPr>
            <w:noProof/>
            <w:webHidden/>
          </w:rPr>
          <w:instrText xml:space="preserve"> PAGEREF _Toc72402506 \h </w:instrText>
        </w:r>
        <w:r w:rsidR="005E7BB2">
          <w:rPr>
            <w:noProof/>
            <w:webHidden/>
          </w:rPr>
        </w:r>
        <w:r w:rsidR="005E7BB2">
          <w:rPr>
            <w:noProof/>
            <w:webHidden/>
          </w:rPr>
          <w:fldChar w:fldCharType="separate"/>
        </w:r>
        <w:r w:rsidR="005E7BB2">
          <w:rPr>
            <w:noProof/>
            <w:webHidden/>
          </w:rPr>
          <w:t>10</w:t>
        </w:r>
        <w:r w:rsidR="005E7BB2">
          <w:rPr>
            <w:noProof/>
            <w:webHidden/>
          </w:rPr>
          <w:fldChar w:fldCharType="end"/>
        </w:r>
      </w:hyperlink>
    </w:p>
    <w:p w14:paraId="71CAB63E" w14:textId="35F850A4" w:rsidR="005E7BB2" w:rsidRDefault="00D45BCF">
      <w:pPr>
        <w:pStyle w:val="TOC1"/>
        <w:tabs>
          <w:tab w:val="left" w:pos="480"/>
          <w:tab w:val="right" w:leader="dot" w:pos="8990"/>
        </w:tabs>
        <w:rPr>
          <w:rFonts w:eastAsiaTheme="minorEastAsia" w:cstheme="minorBidi"/>
          <w:b w:val="0"/>
          <w:bCs w:val="0"/>
          <w:noProof/>
          <w:sz w:val="22"/>
          <w:szCs w:val="22"/>
        </w:rPr>
      </w:pPr>
      <w:hyperlink w:anchor="_Toc72402507" w:history="1">
        <w:r w:rsidR="005E7BB2" w:rsidRPr="00783671">
          <w:rPr>
            <w:rStyle w:val="Hyperlink"/>
            <w:rFonts w:eastAsiaTheme="majorEastAsia"/>
            <w:noProof/>
            <w:lang w:val="fr-CA"/>
          </w:rPr>
          <w:t>3</w:t>
        </w:r>
        <w:r w:rsidR="005E7BB2">
          <w:rPr>
            <w:rFonts w:eastAsiaTheme="minorEastAsia" w:cstheme="minorBidi"/>
            <w:b w:val="0"/>
            <w:bCs w:val="0"/>
            <w:noProof/>
            <w:sz w:val="22"/>
            <w:szCs w:val="22"/>
          </w:rPr>
          <w:tab/>
        </w:r>
        <w:r w:rsidR="005E7BB2" w:rsidRPr="00783671">
          <w:rPr>
            <w:rStyle w:val="Hyperlink"/>
            <w:rFonts w:eastAsiaTheme="majorEastAsia"/>
            <w:noProof/>
            <w:lang w:val="fr-CA"/>
          </w:rPr>
          <w:t>Lignes directrices détaillées</w:t>
        </w:r>
        <w:r w:rsidR="005E7BB2">
          <w:rPr>
            <w:noProof/>
            <w:webHidden/>
          </w:rPr>
          <w:tab/>
        </w:r>
        <w:r w:rsidR="005E7BB2">
          <w:rPr>
            <w:noProof/>
            <w:webHidden/>
          </w:rPr>
          <w:fldChar w:fldCharType="begin"/>
        </w:r>
        <w:r w:rsidR="005E7BB2">
          <w:rPr>
            <w:noProof/>
            <w:webHidden/>
          </w:rPr>
          <w:instrText xml:space="preserve"> PAGEREF _Toc72402507 \h </w:instrText>
        </w:r>
        <w:r w:rsidR="005E7BB2">
          <w:rPr>
            <w:noProof/>
            <w:webHidden/>
          </w:rPr>
        </w:r>
        <w:r w:rsidR="005E7BB2">
          <w:rPr>
            <w:noProof/>
            <w:webHidden/>
          </w:rPr>
          <w:fldChar w:fldCharType="separate"/>
        </w:r>
        <w:r w:rsidR="005E7BB2">
          <w:rPr>
            <w:noProof/>
            <w:webHidden/>
          </w:rPr>
          <w:t>10</w:t>
        </w:r>
        <w:r w:rsidR="005E7BB2">
          <w:rPr>
            <w:noProof/>
            <w:webHidden/>
          </w:rPr>
          <w:fldChar w:fldCharType="end"/>
        </w:r>
      </w:hyperlink>
    </w:p>
    <w:p w14:paraId="08BE66DB" w14:textId="6899DCB7" w:rsidR="005E7BB2" w:rsidRDefault="00D45BCF">
      <w:pPr>
        <w:pStyle w:val="TOC2"/>
        <w:tabs>
          <w:tab w:val="left" w:pos="720"/>
          <w:tab w:val="right" w:leader="dot" w:pos="8990"/>
        </w:tabs>
        <w:rPr>
          <w:rFonts w:eastAsiaTheme="minorEastAsia" w:cstheme="minorBidi"/>
          <w:i w:val="0"/>
          <w:iCs w:val="0"/>
          <w:noProof/>
          <w:sz w:val="22"/>
          <w:szCs w:val="22"/>
        </w:rPr>
      </w:pPr>
      <w:hyperlink w:anchor="_Toc72402508" w:history="1">
        <w:r w:rsidR="005E7BB2" w:rsidRPr="00783671">
          <w:rPr>
            <w:rStyle w:val="Hyperlink"/>
            <w:rFonts w:eastAsiaTheme="majorEastAsia"/>
            <w:noProof/>
            <w:lang w:val="fr-CA"/>
          </w:rPr>
          <w:t>3.1</w:t>
        </w:r>
        <w:r w:rsidR="005E7BB2">
          <w:rPr>
            <w:rFonts w:eastAsiaTheme="minorEastAsia" w:cstheme="minorBidi"/>
            <w:i w:val="0"/>
            <w:iCs w:val="0"/>
            <w:noProof/>
            <w:sz w:val="22"/>
            <w:szCs w:val="22"/>
          </w:rPr>
          <w:tab/>
        </w:r>
        <w:r w:rsidR="005E7BB2" w:rsidRPr="00783671">
          <w:rPr>
            <w:rStyle w:val="Hyperlink"/>
            <w:rFonts w:eastAsiaTheme="majorEastAsia"/>
            <w:noProof/>
            <w:lang w:val="fr-CA"/>
          </w:rPr>
          <w:t>Budget du Financement potentiel approuvé pour fin de planification (FPAFP)</w:t>
        </w:r>
        <w:r w:rsidR="005E7BB2">
          <w:rPr>
            <w:noProof/>
            <w:webHidden/>
          </w:rPr>
          <w:tab/>
        </w:r>
        <w:r w:rsidR="005E7BB2">
          <w:rPr>
            <w:noProof/>
            <w:webHidden/>
          </w:rPr>
          <w:fldChar w:fldCharType="begin"/>
        </w:r>
        <w:r w:rsidR="005E7BB2">
          <w:rPr>
            <w:noProof/>
            <w:webHidden/>
          </w:rPr>
          <w:instrText xml:space="preserve"> PAGEREF _Toc72402508 \h </w:instrText>
        </w:r>
        <w:r w:rsidR="005E7BB2">
          <w:rPr>
            <w:noProof/>
            <w:webHidden/>
          </w:rPr>
        </w:r>
        <w:r w:rsidR="005E7BB2">
          <w:rPr>
            <w:noProof/>
            <w:webHidden/>
          </w:rPr>
          <w:fldChar w:fldCharType="separate"/>
        </w:r>
        <w:r w:rsidR="005E7BB2">
          <w:rPr>
            <w:noProof/>
            <w:webHidden/>
          </w:rPr>
          <w:t>10</w:t>
        </w:r>
        <w:r w:rsidR="005E7BB2">
          <w:rPr>
            <w:noProof/>
            <w:webHidden/>
          </w:rPr>
          <w:fldChar w:fldCharType="end"/>
        </w:r>
      </w:hyperlink>
    </w:p>
    <w:p w14:paraId="0B7C9CA1" w14:textId="51407FB2" w:rsidR="005E7BB2" w:rsidRDefault="00D45BCF">
      <w:pPr>
        <w:pStyle w:val="TOC2"/>
        <w:tabs>
          <w:tab w:val="left" w:pos="720"/>
          <w:tab w:val="right" w:leader="dot" w:pos="8990"/>
        </w:tabs>
        <w:rPr>
          <w:rFonts w:eastAsiaTheme="minorEastAsia" w:cstheme="minorBidi"/>
          <w:i w:val="0"/>
          <w:iCs w:val="0"/>
          <w:noProof/>
          <w:sz w:val="22"/>
          <w:szCs w:val="22"/>
        </w:rPr>
      </w:pPr>
      <w:hyperlink w:anchor="_Toc72402509" w:history="1">
        <w:r w:rsidR="005E7BB2" w:rsidRPr="00783671">
          <w:rPr>
            <w:rStyle w:val="Hyperlink"/>
            <w:rFonts w:eastAsiaTheme="majorEastAsia"/>
            <w:noProof/>
            <w:lang w:val="fr-CA"/>
          </w:rPr>
          <w:t>3.2</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Prévisions liées au personnel</w:t>
        </w:r>
        <w:r w:rsidR="005E7BB2">
          <w:rPr>
            <w:noProof/>
            <w:webHidden/>
          </w:rPr>
          <w:tab/>
        </w:r>
        <w:r w:rsidR="005E7BB2">
          <w:rPr>
            <w:noProof/>
            <w:webHidden/>
          </w:rPr>
          <w:fldChar w:fldCharType="begin"/>
        </w:r>
        <w:r w:rsidR="005E7BB2">
          <w:rPr>
            <w:noProof/>
            <w:webHidden/>
          </w:rPr>
          <w:instrText xml:space="preserve"> PAGEREF _Toc72402509 \h </w:instrText>
        </w:r>
        <w:r w:rsidR="005E7BB2">
          <w:rPr>
            <w:noProof/>
            <w:webHidden/>
          </w:rPr>
        </w:r>
        <w:r w:rsidR="005E7BB2">
          <w:rPr>
            <w:noProof/>
            <w:webHidden/>
          </w:rPr>
          <w:fldChar w:fldCharType="separate"/>
        </w:r>
        <w:r w:rsidR="005E7BB2">
          <w:rPr>
            <w:noProof/>
            <w:webHidden/>
          </w:rPr>
          <w:t>11</w:t>
        </w:r>
        <w:r w:rsidR="005E7BB2">
          <w:rPr>
            <w:noProof/>
            <w:webHidden/>
          </w:rPr>
          <w:fldChar w:fldCharType="end"/>
        </w:r>
      </w:hyperlink>
    </w:p>
    <w:p w14:paraId="46918163" w14:textId="5FE404F1" w:rsidR="005E7BB2" w:rsidRDefault="00D45BCF">
      <w:pPr>
        <w:pStyle w:val="TOC3"/>
        <w:tabs>
          <w:tab w:val="left" w:pos="1200"/>
          <w:tab w:val="right" w:leader="dot" w:pos="8990"/>
        </w:tabs>
        <w:rPr>
          <w:rFonts w:eastAsiaTheme="minorEastAsia" w:cstheme="minorBidi"/>
          <w:noProof/>
          <w:sz w:val="22"/>
          <w:szCs w:val="22"/>
        </w:rPr>
      </w:pPr>
      <w:hyperlink w:anchor="_Toc72402510" w:history="1">
        <w:r w:rsidR="005E7BB2" w:rsidRPr="00783671">
          <w:rPr>
            <w:rStyle w:val="Hyperlink"/>
            <w:rFonts w:eastAsiaTheme="majorEastAsia"/>
            <w:noProof/>
            <w:lang w:val="fr-CA"/>
          </w:rPr>
          <w:t>3.2.1</w:t>
        </w:r>
        <w:r w:rsidR="005E7BB2">
          <w:rPr>
            <w:rFonts w:eastAsiaTheme="minorEastAsia" w:cstheme="minorBidi"/>
            <w:noProof/>
            <w:sz w:val="22"/>
            <w:szCs w:val="22"/>
          </w:rPr>
          <w:tab/>
        </w:r>
        <w:r w:rsidR="005E7BB2" w:rsidRPr="00783671">
          <w:rPr>
            <w:rStyle w:val="Hyperlink"/>
            <w:rFonts w:eastAsiaTheme="majorEastAsia"/>
            <w:noProof/>
            <w:lang w:val="fr-CA"/>
          </w:rPr>
          <w:t>Prévisions touchant les employés (au niveau des CIDP)</w:t>
        </w:r>
        <w:r w:rsidR="005E7BB2">
          <w:rPr>
            <w:noProof/>
            <w:webHidden/>
          </w:rPr>
          <w:tab/>
        </w:r>
        <w:r w:rsidR="005E7BB2">
          <w:rPr>
            <w:noProof/>
            <w:webHidden/>
          </w:rPr>
          <w:fldChar w:fldCharType="begin"/>
        </w:r>
        <w:r w:rsidR="005E7BB2">
          <w:rPr>
            <w:noProof/>
            <w:webHidden/>
          </w:rPr>
          <w:instrText xml:space="preserve"> PAGEREF _Toc72402510 \h </w:instrText>
        </w:r>
        <w:r w:rsidR="005E7BB2">
          <w:rPr>
            <w:noProof/>
            <w:webHidden/>
          </w:rPr>
        </w:r>
        <w:r w:rsidR="005E7BB2">
          <w:rPr>
            <w:noProof/>
            <w:webHidden/>
          </w:rPr>
          <w:fldChar w:fldCharType="separate"/>
        </w:r>
        <w:r w:rsidR="005E7BB2">
          <w:rPr>
            <w:noProof/>
            <w:webHidden/>
          </w:rPr>
          <w:t>11</w:t>
        </w:r>
        <w:r w:rsidR="005E7BB2">
          <w:rPr>
            <w:noProof/>
            <w:webHidden/>
          </w:rPr>
          <w:fldChar w:fldCharType="end"/>
        </w:r>
      </w:hyperlink>
    </w:p>
    <w:p w14:paraId="571D95F2" w14:textId="68D0B24B" w:rsidR="005E7BB2" w:rsidRDefault="00D45BCF">
      <w:pPr>
        <w:pStyle w:val="TOC3"/>
        <w:tabs>
          <w:tab w:val="left" w:pos="1200"/>
          <w:tab w:val="right" w:leader="dot" w:pos="8990"/>
        </w:tabs>
        <w:rPr>
          <w:rFonts w:eastAsiaTheme="minorEastAsia" w:cstheme="minorBidi"/>
          <w:noProof/>
          <w:sz w:val="22"/>
          <w:szCs w:val="22"/>
        </w:rPr>
      </w:pPr>
      <w:hyperlink w:anchor="_Toc72402511" w:history="1">
        <w:r w:rsidR="005E7BB2" w:rsidRPr="00783671">
          <w:rPr>
            <w:rStyle w:val="Hyperlink"/>
            <w:rFonts w:eastAsiaTheme="majorEastAsia"/>
            <w:noProof/>
            <w:lang w:val="fr-CA"/>
          </w:rPr>
          <w:t>3.2.2</w:t>
        </w:r>
        <w:r w:rsidR="005E7BB2">
          <w:rPr>
            <w:rFonts w:eastAsiaTheme="minorEastAsia" w:cstheme="minorBidi"/>
            <w:noProof/>
            <w:sz w:val="22"/>
            <w:szCs w:val="22"/>
          </w:rPr>
          <w:tab/>
        </w:r>
        <w:r w:rsidR="005E7BB2" w:rsidRPr="00783671">
          <w:rPr>
            <w:rStyle w:val="Hyperlink"/>
            <w:rFonts w:eastAsiaTheme="majorEastAsia"/>
            <w:noProof/>
            <w:lang w:val="fr-CA"/>
          </w:rPr>
          <w:t>Prévision de la rémunération au rendement</w:t>
        </w:r>
        <w:r w:rsidR="005E7BB2">
          <w:rPr>
            <w:noProof/>
            <w:webHidden/>
          </w:rPr>
          <w:tab/>
        </w:r>
        <w:r w:rsidR="005E7BB2">
          <w:rPr>
            <w:noProof/>
            <w:webHidden/>
          </w:rPr>
          <w:fldChar w:fldCharType="begin"/>
        </w:r>
        <w:r w:rsidR="005E7BB2">
          <w:rPr>
            <w:noProof/>
            <w:webHidden/>
          </w:rPr>
          <w:instrText xml:space="preserve"> PAGEREF _Toc72402511 \h </w:instrText>
        </w:r>
        <w:r w:rsidR="005E7BB2">
          <w:rPr>
            <w:noProof/>
            <w:webHidden/>
          </w:rPr>
        </w:r>
        <w:r w:rsidR="005E7BB2">
          <w:rPr>
            <w:noProof/>
            <w:webHidden/>
          </w:rPr>
          <w:fldChar w:fldCharType="separate"/>
        </w:r>
        <w:r w:rsidR="005E7BB2">
          <w:rPr>
            <w:noProof/>
            <w:webHidden/>
          </w:rPr>
          <w:t>12</w:t>
        </w:r>
        <w:r w:rsidR="005E7BB2">
          <w:rPr>
            <w:noProof/>
            <w:webHidden/>
          </w:rPr>
          <w:fldChar w:fldCharType="end"/>
        </w:r>
      </w:hyperlink>
    </w:p>
    <w:p w14:paraId="250E3CBB" w14:textId="4C59214E" w:rsidR="005E7BB2" w:rsidRDefault="00D45BCF">
      <w:pPr>
        <w:pStyle w:val="TOC3"/>
        <w:tabs>
          <w:tab w:val="left" w:pos="1200"/>
          <w:tab w:val="right" w:leader="dot" w:pos="8990"/>
        </w:tabs>
        <w:rPr>
          <w:rFonts w:eastAsiaTheme="minorEastAsia" w:cstheme="minorBidi"/>
          <w:noProof/>
          <w:sz w:val="22"/>
          <w:szCs w:val="22"/>
        </w:rPr>
      </w:pPr>
      <w:hyperlink w:anchor="_Toc72402512" w:history="1">
        <w:r w:rsidR="005E7BB2" w:rsidRPr="00783671">
          <w:rPr>
            <w:rStyle w:val="Hyperlink"/>
            <w:rFonts w:eastAsiaTheme="majorEastAsia"/>
            <w:noProof/>
            <w:lang w:val="fr-CA"/>
          </w:rPr>
          <w:t>3.2.3</w:t>
        </w:r>
        <w:r w:rsidR="005E7BB2">
          <w:rPr>
            <w:rFonts w:eastAsiaTheme="minorEastAsia" w:cstheme="minorBidi"/>
            <w:noProof/>
            <w:sz w:val="22"/>
            <w:szCs w:val="22"/>
          </w:rPr>
          <w:tab/>
        </w:r>
        <w:r w:rsidR="005E7BB2" w:rsidRPr="00783671">
          <w:rPr>
            <w:rStyle w:val="Hyperlink"/>
            <w:rFonts w:eastAsiaTheme="majorEastAsia"/>
            <w:noProof/>
            <w:lang w:val="fr-CA"/>
          </w:rPr>
          <w:t>Prévision pour le paiement en argent des congés annuels</w:t>
        </w:r>
        <w:r w:rsidR="005E7BB2">
          <w:rPr>
            <w:noProof/>
            <w:webHidden/>
          </w:rPr>
          <w:tab/>
        </w:r>
        <w:r w:rsidR="005E7BB2">
          <w:rPr>
            <w:noProof/>
            <w:webHidden/>
          </w:rPr>
          <w:fldChar w:fldCharType="begin"/>
        </w:r>
        <w:r w:rsidR="005E7BB2">
          <w:rPr>
            <w:noProof/>
            <w:webHidden/>
          </w:rPr>
          <w:instrText xml:space="preserve"> PAGEREF _Toc72402512 \h </w:instrText>
        </w:r>
        <w:r w:rsidR="005E7BB2">
          <w:rPr>
            <w:noProof/>
            <w:webHidden/>
          </w:rPr>
        </w:r>
        <w:r w:rsidR="005E7BB2">
          <w:rPr>
            <w:noProof/>
            <w:webHidden/>
          </w:rPr>
          <w:fldChar w:fldCharType="separate"/>
        </w:r>
        <w:r w:rsidR="005E7BB2">
          <w:rPr>
            <w:noProof/>
            <w:webHidden/>
          </w:rPr>
          <w:t>13</w:t>
        </w:r>
        <w:r w:rsidR="005E7BB2">
          <w:rPr>
            <w:noProof/>
            <w:webHidden/>
          </w:rPr>
          <w:fldChar w:fldCharType="end"/>
        </w:r>
      </w:hyperlink>
    </w:p>
    <w:p w14:paraId="2E3CA747" w14:textId="2473BE33" w:rsidR="005E7BB2" w:rsidRDefault="00D45BCF">
      <w:pPr>
        <w:pStyle w:val="TOC3"/>
        <w:tabs>
          <w:tab w:val="left" w:pos="1200"/>
          <w:tab w:val="right" w:leader="dot" w:pos="8990"/>
        </w:tabs>
        <w:rPr>
          <w:rFonts w:eastAsiaTheme="minorEastAsia" w:cstheme="minorBidi"/>
          <w:noProof/>
          <w:sz w:val="22"/>
          <w:szCs w:val="22"/>
        </w:rPr>
      </w:pPr>
      <w:hyperlink w:anchor="_Toc72402513" w:history="1">
        <w:r w:rsidR="005E7BB2" w:rsidRPr="00783671">
          <w:rPr>
            <w:rStyle w:val="Hyperlink"/>
            <w:rFonts w:eastAsiaTheme="majorEastAsia"/>
            <w:noProof/>
            <w:lang w:val="fr-CA"/>
          </w:rPr>
          <w:t>3.2.4</w:t>
        </w:r>
        <w:r w:rsidR="005E7BB2">
          <w:rPr>
            <w:rFonts w:eastAsiaTheme="minorEastAsia" w:cstheme="minorBidi"/>
            <w:noProof/>
            <w:sz w:val="22"/>
            <w:szCs w:val="22"/>
          </w:rPr>
          <w:tab/>
        </w:r>
        <w:r w:rsidR="005E7BB2" w:rsidRPr="00783671">
          <w:rPr>
            <w:rStyle w:val="Hyperlink"/>
            <w:rFonts w:eastAsiaTheme="majorEastAsia"/>
            <w:noProof/>
            <w:lang w:val="fr-CA"/>
          </w:rPr>
          <w:t>Coûts à exclure des prévisions liées au personnel</w:t>
        </w:r>
        <w:r w:rsidR="005E7BB2">
          <w:rPr>
            <w:noProof/>
            <w:webHidden/>
          </w:rPr>
          <w:tab/>
        </w:r>
        <w:r w:rsidR="005E7BB2">
          <w:rPr>
            <w:noProof/>
            <w:webHidden/>
          </w:rPr>
          <w:fldChar w:fldCharType="begin"/>
        </w:r>
        <w:r w:rsidR="005E7BB2">
          <w:rPr>
            <w:noProof/>
            <w:webHidden/>
          </w:rPr>
          <w:instrText xml:space="preserve"> PAGEREF _Toc72402513 \h </w:instrText>
        </w:r>
        <w:r w:rsidR="005E7BB2">
          <w:rPr>
            <w:noProof/>
            <w:webHidden/>
          </w:rPr>
        </w:r>
        <w:r w:rsidR="005E7BB2">
          <w:rPr>
            <w:noProof/>
            <w:webHidden/>
          </w:rPr>
          <w:fldChar w:fldCharType="separate"/>
        </w:r>
        <w:r w:rsidR="005E7BB2">
          <w:rPr>
            <w:noProof/>
            <w:webHidden/>
          </w:rPr>
          <w:t>13</w:t>
        </w:r>
        <w:r w:rsidR="005E7BB2">
          <w:rPr>
            <w:noProof/>
            <w:webHidden/>
          </w:rPr>
          <w:fldChar w:fldCharType="end"/>
        </w:r>
      </w:hyperlink>
    </w:p>
    <w:p w14:paraId="67EA245C" w14:textId="609B5D91" w:rsidR="005E7BB2" w:rsidRDefault="00D45BCF">
      <w:pPr>
        <w:pStyle w:val="TOC3"/>
        <w:tabs>
          <w:tab w:val="left" w:pos="1200"/>
          <w:tab w:val="right" w:leader="dot" w:pos="8990"/>
        </w:tabs>
        <w:rPr>
          <w:rFonts w:eastAsiaTheme="minorEastAsia" w:cstheme="minorBidi"/>
          <w:noProof/>
          <w:sz w:val="22"/>
          <w:szCs w:val="22"/>
        </w:rPr>
      </w:pPr>
      <w:hyperlink w:anchor="_Toc72402514" w:history="1">
        <w:r w:rsidR="005E7BB2" w:rsidRPr="00783671">
          <w:rPr>
            <w:rStyle w:val="Hyperlink"/>
            <w:rFonts w:eastAsiaTheme="majorEastAsia"/>
            <w:noProof/>
            <w:lang w:val="fr-CA"/>
          </w:rPr>
          <w:t>3.2.5</w:t>
        </w:r>
        <w:r w:rsidR="005E7BB2">
          <w:rPr>
            <w:rFonts w:eastAsiaTheme="minorEastAsia" w:cstheme="minorBidi"/>
            <w:noProof/>
            <w:sz w:val="22"/>
            <w:szCs w:val="22"/>
          </w:rPr>
          <w:tab/>
        </w:r>
        <w:r w:rsidR="005E7BB2" w:rsidRPr="00783671">
          <w:rPr>
            <w:rStyle w:val="Hyperlink"/>
            <w:rFonts w:eastAsiaTheme="majorEastAsia"/>
            <w:noProof/>
            <w:lang w:val="fr-CA"/>
          </w:rPr>
          <w:t>Augmentations liées aux conventions collectives</w:t>
        </w:r>
        <w:r w:rsidR="005E7BB2">
          <w:rPr>
            <w:noProof/>
            <w:webHidden/>
          </w:rPr>
          <w:tab/>
        </w:r>
        <w:r w:rsidR="005E7BB2">
          <w:rPr>
            <w:noProof/>
            <w:webHidden/>
          </w:rPr>
          <w:fldChar w:fldCharType="begin"/>
        </w:r>
        <w:r w:rsidR="005E7BB2">
          <w:rPr>
            <w:noProof/>
            <w:webHidden/>
          </w:rPr>
          <w:instrText xml:space="preserve"> PAGEREF _Toc72402514 \h </w:instrText>
        </w:r>
        <w:r w:rsidR="005E7BB2">
          <w:rPr>
            <w:noProof/>
            <w:webHidden/>
          </w:rPr>
        </w:r>
        <w:r w:rsidR="005E7BB2">
          <w:rPr>
            <w:noProof/>
            <w:webHidden/>
          </w:rPr>
          <w:fldChar w:fldCharType="separate"/>
        </w:r>
        <w:r w:rsidR="005E7BB2">
          <w:rPr>
            <w:noProof/>
            <w:webHidden/>
          </w:rPr>
          <w:t>13</w:t>
        </w:r>
        <w:r w:rsidR="005E7BB2">
          <w:rPr>
            <w:noProof/>
            <w:webHidden/>
          </w:rPr>
          <w:fldChar w:fldCharType="end"/>
        </w:r>
      </w:hyperlink>
    </w:p>
    <w:p w14:paraId="1C81C7E6" w14:textId="622A293D" w:rsidR="005E7BB2" w:rsidRDefault="00D45BCF">
      <w:pPr>
        <w:pStyle w:val="TOC3"/>
        <w:tabs>
          <w:tab w:val="left" w:pos="1200"/>
          <w:tab w:val="right" w:leader="dot" w:pos="8990"/>
        </w:tabs>
        <w:rPr>
          <w:rFonts w:eastAsiaTheme="minorEastAsia" w:cstheme="minorBidi"/>
          <w:noProof/>
          <w:sz w:val="22"/>
          <w:szCs w:val="22"/>
        </w:rPr>
      </w:pPr>
      <w:hyperlink w:anchor="_Toc72402515" w:history="1">
        <w:r w:rsidR="005E7BB2" w:rsidRPr="00783671">
          <w:rPr>
            <w:rStyle w:val="Hyperlink"/>
            <w:rFonts w:eastAsiaTheme="majorEastAsia"/>
            <w:noProof/>
            <w:lang w:val="fr-CA"/>
          </w:rPr>
          <w:t>3.2.6</w:t>
        </w:r>
        <w:r w:rsidR="005E7BB2">
          <w:rPr>
            <w:rFonts w:eastAsiaTheme="minorEastAsia" w:cstheme="minorBidi"/>
            <w:noProof/>
            <w:sz w:val="22"/>
            <w:szCs w:val="22"/>
          </w:rPr>
          <w:tab/>
        </w:r>
        <w:r w:rsidR="005E7BB2" w:rsidRPr="00783671">
          <w:rPr>
            <w:rStyle w:val="Hyperlink"/>
            <w:rFonts w:eastAsiaTheme="majorEastAsia"/>
            <w:noProof/>
            <w:lang w:val="fr-CA"/>
          </w:rPr>
          <w:t>Prévisions par poste (dotation prévue)</w:t>
        </w:r>
        <w:r w:rsidR="005E7BB2">
          <w:rPr>
            <w:noProof/>
            <w:webHidden/>
          </w:rPr>
          <w:tab/>
        </w:r>
        <w:r w:rsidR="005E7BB2">
          <w:rPr>
            <w:noProof/>
            <w:webHidden/>
          </w:rPr>
          <w:fldChar w:fldCharType="begin"/>
        </w:r>
        <w:r w:rsidR="005E7BB2">
          <w:rPr>
            <w:noProof/>
            <w:webHidden/>
          </w:rPr>
          <w:instrText xml:space="preserve"> PAGEREF _Toc72402515 \h </w:instrText>
        </w:r>
        <w:r w:rsidR="005E7BB2">
          <w:rPr>
            <w:noProof/>
            <w:webHidden/>
          </w:rPr>
        </w:r>
        <w:r w:rsidR="005E7BB2">
          <w:rPr>
            <w:noProof/>
            <w:webHidden/>
          </w:rPr>
          <w:fldChar w:fldCharType="separate"/>
        </w:r>
        <w:r w:rsidR="005E7BB2">
          <w:rPr>
            <w:noProof/>
            <w:webHidden/>
          </w:rPr>
          <w:t>14</w:t>
        </w:r>
        <w:r w:rsidR="005E7BB2">
          <w:rPr>
            <w:noProof/>
            <w:webHidden/>
          </w:rPr>
          <w:fldChar w:fldCharType="end"/>
        </w:r>
      </w:hyperlink>
    </w:p>
    <w:p w14:paraId="39DE7A4D" w14:textId="4827D649" w:rsidR="005E7BB2" w:rsidRDefault="00D45BCF">
      <w:pPr>
        <w:pStyle w:val="TOC3"/>
        <w:tabs>
          <w:tab w:val="left" w:pos="1200"/>
          <w:tab w:val="right" w:leader="dot" w:pos="8990"/>
        </w:tabs>
        <w:rPr>
          <w:rFonts w:eastAsiaTheme="minorEastAsia" w:cstheme="minorBidi"/>
          <w:noProof/>
          <w:sz w:val="22"/>
          <w:szCs w:val="22"/>
        </w:rPr>
      </w:pPr>
      <w:hyperlink w:anchor="_Toc72402516" w:history="1">
        <w:r w:rsidR="005E7BB2" w:rsidRPr="00783671">
          <w:rPr>
            <w:rStyle w:val="Hyperlink"/>
            <w:rFonts w:eastAsiaTheme="majorEastAsia"/>
            <w:noProof/>
            <w:lang w:val="fr-CA"/>
          </w:rPr>
          <w:t>3.2.7</w:t>
        </w:r>
        <w:r w:rsidR="005E7BB2">
          <w:rPr>
            <w:rFonts w:eastAsiaTheme="minorEastAsia" w:cstheme="minorBidi"/>
            <w:noProof/>
            <w:sz w:val="22"/>
            <w:szCs w:val="22"/>
          </w:rPr>
          <w:tab/>
        </w:r>
        <w:r w:rsidR="005E7BB2" w:rsidRPr="00783671">
          <w:rPr>
            <w:rStyle w:val="Hyperlink"/>
            <w:rFonts w:eastAsiaTheme="majorEastAsia"/>
            <w:noProof/>
            <w:lang w:val="fr-CA"/>
          </w:rPr>
          <w:t>Prévisions globales</w:t>
        </w:r>
        <w:r w:rsidR="005E7BB2">
          <w:rPr>
            <w:noProof/>
            <w:webHidden/>
          </w:rPr>
          <w:tab/>
        </w:r>
        <w:r w:rsidR="005E7BB2">
          <w:rPr>
            <w:noProof/>
            <w:webHidden/>
          </w:rPr>
          <w:fldChar w:fldCharType="begin"/>
        </w:r>
        <w:r w:rsidR="005E7BB2">
          <w:rPr>
            <w:noProof/>
            <w:webHidden/>
          </w:rPr>
          <w:instrText xml:space="preserve"> PAGEREF _Toc72402516 \h </w:instrText>
        </w:r>
        <w:r w:rsidR="005E7BB2">
          <w:rPr>
            <w:noProof/>
            <w:webHidden/>
          </w:rPr>
        </w:r>
        <w:r w:rsidR="005E7BB2">
          <w:rPr>
            <w:noProof/>
            <w:webHidden/>
          </w:rPr>
          <w:fldChar w:fldCharType="separate"/>
        </w:r>
        <w:r w:rsidR="005E7BB2">
          <w:rPr>
            <w:noProof/>
            <w:webHidden/>
          </w:rPr>
          <w:t>15</w:t>
        </w:r>
        <w:r w:rsidR="005E7BB2">
          <w:rPr>
            <w:noProof/>
            <w:webHidden/>
          </w:rPr>
          <w:fldChar w:fldCharType="end"/>
        </w:r>
      </w:hyperlink>
    </w:p>
    <w:p w14:paraId="2706BB35" w14:textId="4851FFCA" w:rsidR="005E7BB2" w:rsidRDefault="00D45BCF">
      <w:pPr>
        <w:pStyle w:val="TOC3"/>
        <w:tabs>
          <w:tab w:val="left" w:pos="1200"/>
          <w:tab w:val="right" w:leader="dot" w:pos="8990"/>
        </w:tabs>
        <w:rPr>
          <w:rFonts w:eastAsiaTheme="minorEastAsia" w:cstheme="minorBidi"/>
          <w:noProof/>
          <w:sz w:val="22"/>
          <w:szCs w:val="22"/>
        </w:rPr>
      </w:pPr>
      <w:hyperlink w:anchor="_Toc72402517" w:history="1">
        <w:r w:rsidR="005E7BB2" w:rsidRPr="00783671">
          <w:rPr>
            <w:rStyle w:val="Hyperlink"/>
            <w:rFonts w:eastAsiaTheme="majorEastAsia"/>
            <w:noProof/>
            <w:lang w:val="fr-CA"/>
          </w:rPr>
          <w:t>3.2.8</w:t>
        </w:r>
        <w:r w:rsidR="005E7BB2">
          <w:rPr>
            <w:rFonts w:eastAsiaTheme="minorEastAsia" w:cstheme="minorBidi"/>
            <w:noProof/>
            <w:sz w:val="22"/>
            <w:szCs w:val="22"/>
          </w:rPr>
          <w:tab/>
        </w:r>
        <w:r w:rsidR="005E7BB2" w:rsidRPr="00783671">
          <w:rPr>
            <w:rStyle w:val="Hyperlink"/>
            <w:rFonts w:eastAsiaTheme="majorEastAsia"/>
            <w:noProof/>
            <w:lang w:val="fr-CA"/>
          </w:rPr>
          <w:t>Engagements salariaux (réserve du personnel) dans l’outils BI</w:t>
        </w:r>
        <w:r w:rsidR="005E7BB2">
          <w:rPr>
            <w:noProof/>
            <w:webHidden/>
          </w:rPr>
          <w:tab/>
        </w:r>
        <w:r w:rsidR="005E7BB2">
          <w:rPr>
            <w:noProof/>
            <w:webHidden/>
          </w:rPr>
          <w:fldChar w:fldCharType="begin"/>
        </w:r>
        <w:r w:rsidR="005E7BB2">
          <w:rPr>
            <w:noProof/>
            <w:webHidden/>
          </w:rPr>
          <w:instrText xml:space="preserve"> PAGEREF _Toc72402517 \h </w:instrText>
        </w:r>
        <w:r w:rsidR="005E7BB2">
          <w:rPr>
            <w:noProof/>
            <w:webHidden/>
          </w:rPr>
        </w:r>
        <w:r w:rsidR="005E7BB2">
          <w:rPr>
            <w:noProof/>
            <w:webHidden/>
          </w:rPr>
          <w:fldChar w:fldCharType="separate"/>
        </w:r>
        <w:r w:rsidR="005E7BB2">
          <w:rPr>
            <w:noProof/>
            <w:webHidden/>
          </w:rPr>
          <w:t>16</w:t>
        </w:r>
        <w:r w:rsidR="005E7BB2">
          <w:rPr>
            <w:noProof/>
            <w:webHidden/>
          </w:rPr>
          <w:fldChar w:fldCharType="end"/>
        </w:r>
      </w:hyperlink>
    </w:p>
    <w:p w14:paraId="4848B4EC" w14:textId="53406C4E" w:rsidR="005E7BB2" w:rsidRDefault="00D45BCF">
      <w:pPr>
        <w:pStyle w:val="TOC2"/>
        <w:tabs>
          <w:tab w:val="left" w:pos="720"/>
          <w:tab w:val="right" w:leader="dot" w:pos="8990"/>
        </w:tabs>
        <w:rPr>
          <w:rFonts w:eastAsiaTheme="minorEastAsia" w:cstheme="minorBidi"/>
          <w:i w:val="0"/>
          <w:iCs w:val="0"/>
          <w:noProof/>
          <w:sz w:val="22"/>
          <w:szCs w:val="22"/>
        </w:rPr>
      </w:pPr>
      <w:hyperlink w:anchor="_Toc72402518" w:history="1">
        <w:r w:rsidR="005E7BB2" w:rsidRPr="00783671">
          <w:rPr>
            <w:rStyle w:val="Hyperlink"/>
            <w:rFonts w:eastAsiaTheme="majorEastAsia"/>
            <w:noProof/>
            <w:lang w:val="fr-CA"/>
          </w:rPr>
          <w:t>3.3</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Prévisions non liées au personnel</w:t>
        </w:r>
        <w:r w:rsidR="005E7BB2">
          <w:rPr>
            <w:noProof/>
            <w:webHidden/>
          </w:rPr>
          <w:tab/>
        </w:r>
        <w:r w:rsidR="005E7BB2">
          <w:rPr>
            <w:noProof/>
            <w:webHidden/>
          </w:rPr>
          <w:fldChar w:fldCharType="begin"/>
        </w:r>
        <w:r w:rsidR="005E7BB2">
          <w:rPr>
            <w:noProof/>
            <w:webHidden/>
          </w:rPr>
          <w:instrText xml:space="preserve"> PAGEREF _Toc72402518 \h </w:instrText>
        </w:r>
        <w:r w:rsidR="005E7BB2">
          <w:rPr>
            <w:noProof/>
            <w:webHidden/>
          </w:rPr>
        </w:r>
        <w:r w:rsidR="005E7BB2">
          <w:rPr>
            <w:noProof/>
            <w:webHidden/>
          </w:rPr>
          <w:fldChar w:fldCharType="separate"/>
        </w:r>
        <w:r w:rsidR="005E7BB2">
          <w:rPr>
            <w:noProof/>
            <w:webHidden/>
          </w:rPr>
          <w:t>17</w:t>
        </w:r>
        <w:r w:rsidR="005E7BB2">
          <w:rPr>
            <w:noProof/>
            <w:webHidden/>
          </w:rPr>
          <w:fldChar w:fldCharType="end"/>
        </w:r>
      </w:hyperlink>
    </w:p>
    <w:p w14:paraId="2851A551" w14:textId="5DF50394" w:rsidR="005E7BB2" w:rsidRDefault="00D45BCF">
      <w:pPr>
        <w:pStyle w:val="TOC3"/>
        <w:tabs>
          <w:tab w:val="left" w:pos="1200"/>
          <w:tab w:val="right" w:leader="dot" w:pos="8990"/>
        </w:tabs>
        <w:rPr>
          <w:rFonts w:eastAsiaTheme="minorEastAsia" w:cstheme="minorBidi"/>
          <w:noProof/>
          <w:sz w:val="22"/>
          <w:szCs w:val="22"/>
        </w:rPr>
      </w:pPr>
      <w:hyperlink w:anchor="_Toc72402519" w:history="1">
        <w:r w:rsidR="005E7BB2" w:rsidRPr="00783671">
          <w:rPr>
            <w:rStyle w:val="Hyperlink"/>
            <w:rFonts w:eastAsiaTheme="majorEastAsia"/>
            <w:noProof/>
            <w:lang w:val="fr-CA"/>
          </w:rPr>
          <w:t>3.3.1</w:t>
        </w:r>
        <w:r w:rsidR="005E7BB2">
          <w:rPr>
            <w:rFonts w:eastAsiaTheme="minorEastAsia" w:cstheme="minorBidi"/>
            <w:noProof/>
            <w:sz w:val="22"/>
            <w:szCs w:val="22"/>
          </w:rPr>
          <w:tab/>
        </w:r>
        <w:r w:rsidR="005E7BB2" w:rsidRPr="00783671">
          <w:rPr>
            <w:rStyle w:val="Hyperlink"/>
            <w:rFonts w:eastAsiaTheme="majorEastAsia"/>
            <w:noProof/>
            <w:lang w:val="fr-CA"/>
          </w:rPr>
          <w:t>Fenêtre de saisie des prévisions budgétaires (FR11)</w:t>
        </w:r>
        <w:r w:rsidR="005E7BB2">
          <w:rPr>
            <w:noProof/>
            <w:webHidden/>
          </w:rPr>
          <w:tab/>
        </w:r>
        <w:r w:rsidR="005E7BB2">
          <w:rPr>
            <w:noProof/>
            <w:webHidden/>
          </w:rPr>
          <w:fldChar w:fldCharType="begin"/>
        </w:r>
        <w:r w:rsidR="005E7BB2">
          <w:rPr>
            <w:noProof/>
            <w:webHidden/>
          </w:rPr>
          <w:instrText xml:space="preserve"> PAGEREF _Toc72402519 \h </w:instrText>
        </w:r>
        <w:r w:rsidR="005E7BB2">
          <w:rPr>
            <w:noProof/>
            <w:webHidden/>
          </w:rPr>
        </w:r>
        <w:r w:rsidR="005E7BB2">
          <w:rPr>
            <w:noProof/>
            <w:webHidden/>
          </w:rPr>
          <w:fldChar w:fldCharType="separate"/>
        </w:r>
        <w:r w:rsidR="005E7BB2">
          <w:rPr>
            <w:noProof/>
            <w:webHidden/>
          </w:rPr>
          <w:t>17</w:t>
        </w:r>
        <w:r w:rsidR="005E7BB2">
          <w:rPr>
            <w:noProof/>
            <w:webHidden/>
          </w:rPr>
          <w:fldChar w:fldCharType="end"/>
        </w:r>
      </w:hyperlink>
    </w:p>
    <w:p w14:paraId="5F3FD743" w14:textId="2128A53E" w:rsidR="005E7BB2" w:rsidRDefault="00D45BCF">
      <w:pPr>
        <w:pStyle w:val="TOC3"/>
        <w:tabs>
          <w:tab w:val="left" w:pos="1200"/>
          <w:tab w:val="right" w:leader="dot" w:pos="8990"/>
        </w:tabs>
        <w:rPr>
          <w:rFonts w:eastAsiaTheme="minorEastAsia" w:cstheme="minorBidi"/>
          <w:noProof/>
          <w:sz w:val="22"/>
          <w:szCs w:val="22"/>
        </w:rPr>
      </w:pPr>
      <w:hyperlink w:anchor="_Toc72402520" w:history="1">
        <w:r w:rsidR="005E7BB2" w:rsidRPr="00783671">
          <w:rPr>
            <w:rStyle w:val="Hyperlink"/>
            <w:rFonts w:eastAsiaTheme="majorEastAsia"/>
            <w:noProof/>
            <w:lang w:val="fr-CA"/>
          </w:rPr>
          <w:t>3.3.2</w:t>
        </w:r>
        <w:r w:rsidR="005E7BB2">
          <w:rPr>
            <w:rFonts w:eastAsiaTheme="minorEastAsia" w:cstheme="minorBidi"/>
            <w:noProof/>
            <w:sz w:val="22"/>
            <w:szCs w:val="22"/>
          </w:rPr>
          <w:tab/>
        </w:r>
        <w:r w:rsidR="005E7BB2" w:rsidRPr="00783671">
          <w:rPr>
            <w:rStyle w:val="Hyperlink"/>
            <w:rFonts w:eastAsiaTheme="majorEastAsia"/>
            <w:noProof/>
            <w:lang w:val="fr-CA"/>
          </w:rPr>
          <w:t>Rapport de la saisie de prévision (FR12)</w:t>
        </w:r>
        <w:r w:rsidR="005E7BB2">
          <w:rPr>
            <w:noProof/>
            <w:webHidden/>
          </w:rPr>
          <w:tab/>
        </w:r>
        <w:r w:rsidR="005E7BB2">
          <w:rPr>
            <w:noProof/>
            <w:webHidden/>
          </w:rPr>
          <w:fldChar w:fldCharType="begin"/>
        </w:r>
        <w:r w:rsidR="005E7BB2">
          <w:rPr>
            <w:noProof/>
            <w:webHidden/>
          </w:rPr>
          <w:instrText xml:space="preserve"> PAGEREF _Toc72402520 \h </w:instrText>
        </w:r>
        <w:r w:rsidR="005E7BB2">
          <w:rPr>
            <w:noProof/>
            <w:webHidden/>
          </w:rPr>
        </w:r>
        <w:r w:rsidR="005E7BB2">
          <w:rPr>
            <w:noProof/>
            <w:webHidden/>
          </w:rPr>
          <w:fldChar w:fldCharType="separate"/>
        </w:r>
        <w:r w:rsidR="005E7BB2">
          <w:rPr>
            <w:noProof/>
            <w:webHidden/>
          </w:rPr>
          <w:t>18</w:t>
        </w:r>
        <w:r w:rsidR="005E7BB2">
          <w:rPr>
            <w:noProof/>
            <w:webHidden/>
          </w:rPr>
          <w:fldChar w:fldCharType="end"/>
        </w:r>
      </w:hyperlink>
    </w:p>
    <w:p w14:paraId="2F320014" w14:textId="2BEC71EF" w:rsidR="005E7BB2" w:rsidRDefault="00D45BCF">
      <w:pPr>
        <w:pStyle w:val="TOC3"/>
        <w:tabs>
          <w:tab w:val="left" w:pos="1200"/>
          <w:tab w:val="right" w:leader="dot" w:pos="8990"/>
        </w:tabs>
        <w:rPr>
          <w:rFonts w:eastAsiaTheme="minorEastAsia" w:cstheme="minorBidi"/>
          <w:noProof/>
          <w:sz w:val="22"/>
          <w:szCs w:val="22"/>
        </w:rPr>
      </w:pPr>
      <w:hyperlink w:anchor="_Toc72402521" w:history="1">
        <w:r w:rsidR="005E7BB2" w:rsidRPr="00783671">
          <w:rPr>
            <w:rStyle w:val="Hyperlink"/>
            <w:rFonts w:eastAsiaTheme="majorEastAsia"/>
            <w:noProof/>
            <w:lang w:val="fr-CA"/>
          </w:rPr>
          <w:t>3.3.3</w:t>
        </w:r>
        <w:r w:rsidR="005E7BB2">
          <w:rPr>
            <w:rFonts w:eastAsiaTheme="minorEastAsia" w:cstheme="minorBidi"/>
            <w:noProof/>
            <w:sz w:val="22"/>
            <w:szCs w:val="22"/>
          </w:rPr>
          <w:tab/>
        </w:r>
        <w:r w:rsidR="005E7BB2" w:rsidRPr="00783671">
          <w:rPr>
            <w:rStyle w:val="Hyperlink"/>
            <w:rFonts w:eastAsiaTheme="majorEastAsia"/>
            <w:noProof/>
            <w:lang w:val="fr-CA"/>
          </w:rPr>
          <w:t>Engagements de fonctionnement et d’entretien</w:t>
        </w:r>
        <w:r w:rsidR="005E7BB2">
          <w:rPr>
            <w:noProof/>
            <w:webHidden/>
          </w:rPr>
          <w:tab/>
        </w:r>
        <w:r w:rsidR="005E7BB2">
          <w:rPr>
            <w:noProof/>
            <w:webHidden/>
          </w:rPr>
          <w:fldChar w:fldCharType="begin"/>
        </w:r>
        <w:r w:rsidR="005E7BB2">
          <w:rPr>
            <w:noProof/>
            <w:webHidden/>
          </w:rPr>
          <w:instrText xml:space="preserve"> PAGEREF _Toc72402521 \h </w:instrText>
        </w:r>
        <w:r w:rsidR="005E7BB2">
          <w:rPr>
            <w:noProof/>
            <w:webHidden/>
          </w:rPr>
        </w:r>
        <w:r w:rsidR="005E7BB2">
          <w:rPr>
            <w:noProof/>
            <w:webHidden/>
          </w:rPr>
          <w:fldChar w:fldCharType="separate"/>
        </w:r>
        <w:r w:rsidR="005E7BB2">
          <w:rPr>
            <w:noProof/>
            <w:webHidden/>
          </w:rPr>
          <w:t>19</w:t>
        </w:r>
        <w:r w:rsidR="005E7BB2">
          <w:rPr>
            <w:noProof/>
            <w:webHidden/>
          </w:rPr>
          <w:fldChar w:fldCharType="end"/>
        </w:r>
      </w:hyperlink>
    </w:p>
    <w:p w14:paraId="2C39D7D5" w14:textId="30BD2C98" w:rsidR="005E7BB2" w:rsidRDefault="00D45BCF">
      <w:pPr>
        <w:pStyle w:val="TOC3"/>
        <w:tabs>
          <w:tab w:val="left" w:pos="1200"/>
          <w:tab w:val="right" w:leader="dot" w:pos="8990"/>
        </w:tabs>
        <w:rPr>
          <w:rFonts w:eastAsiaTheme="minorEastAsia" w:cstheme="minorBidi"/>
          <w:noProof/>
          <w:sz w:val="22"/>
          <w:szCs w:val="22"/>
        </w:rPr>
      </w:pPr>
      <w:hyperlink w:anchor="_Toc72402522" w:history="1">
        <w:r w:rsidR="005E7BB2" w:rsidRPr="00783671">
          <w:rPr>
            <w:rStyle w:val="Hyperlink"/>
            <w:rFonts w:eastAsiaTheme="majorEastAsia"/>
            <w:noProof/>
            <w:lang w:val="fr-CA"/>
          </w:rPr>
          <w:t>3.3.4</w:t>
        </w:r>
        <w:r w:rsidR="005E7BB2">
          <w:rPr>
            <w:rFonts w:eastAsiaTheme="minorEastAsia" w:cstheme="minorBidi"/>
            <w:noProof/>
            <w:sz w:val="22"/>
            <w:szCs w:val="22"/>
          </w:rPr>
          <w:tab/>
        </w:r>
        <w:r w:rsidR="005E7BB2" w:rsidRPr="00783671">
          <w:rPr>
            <w:rStyle w:val="Hyperlink"/>
            <w:rFonts w:eastAsiaTheme="majorEastAsia"/>
            <w:noProof/>
            <w:lang w:val="fr-CA"/>
          </w:rPr>
          <w:t>Prévisions relatives aux dépenses de voyages, d’accueil, de conférences et d’événements</w:t>
        </w:r>
        <w:r w:rsidR="005E7BB2">
          <w:rPr>
            <w:noProof/>
            <w:webHidden/>
          </w:rPr>
          <w:tab/>
        </w:r>
        <w:r w:rsidR="005E7BB2">
          <w:rPr>
            <w:noProof/>
            <w:webHidden/>
          </w:rPr>
          <w:fldChar w:fldCharType="begin"/>
        </w:r>
        <w:r w:rsidR="005E7BB2">
          <w:rPr>
            <w:noProof/>
            <w:webHidden/>
          </w:rPr>
          <w:instrText xml:space="preserve"> PAGEREF _Toc72402522 \h </w:instrText>
        </w:r>
        <w:r w:rsidR="005E7BB2">
          <w:rPr>
            <w:noProof/>
            <w:webHidden/>
          </w:rPr>
        </w:r>
        <w:r w:rsidR="005E7BB2">
          <w:rPr>
            <w:noProof/>
            <w:webHidden/>
          </w:rPr>
          <w:fldChar w:fldCharType="separate"/>
        </w:r>
        <w:r w:rsidR="005E7BB2">
          <w:rPr>
            <w:noProof/>
            <w:webHidden/>
          </w:rPr>
          <w:t>20</w:t>
        </w:r>
        <w:r w:rsidR="005E7BB2">
          <w:rPr>
            <w:noProof/>
            <w:webHidden/>
          </w:rPr>
          <w:fldChar w:fldCharType="end"/>
        </w:r>
      </w:hyperlink>
    </w:p>
    <w:p w14:paraId="4219D4AE" w14:textId="7FD56F2F" w:rsidR="005E7BB2" w:rsidRDefault="00D45BCF">
      <w:pPr>
        <w:pStyle w:val="TOC3"/>
        <w:tabs>
          <w:tab w:val="left" w:pos="1200"/>
          <w:tab w:val="right" w:leader="dot" w:pos="8990"/>
        </w:tabs>
        <w:rPr>
          <w:rFonts w:eastAsiaTheme="minorEastAsia" w:cstheme="minorBidi"/>
          <w:noProof/>
          <w:sz w:val="22"/>
          <w:szCs w:val="22"/>
        </w:rPr>
      </w:pPr>
      <w:hyperlink w:anchor="_Toc72402523" w:history="1">
        <w:r w:rsidR="005E7BB2" w:rsidRPr="00783671">
          <w:rPr>
            <w:rStyle w:val="Hyperlink"/>
            <w:rFonts w:eastAsiaTheme="majorEastAsia"/>
            <w:noProof/>
            <w:lang w:val="fr-CA"/>
          </w:rPr>
          <w:t>3.3.5</w:t>
        </w:r>
        <w:r w:rsidR="005E7BB2">
          <w:rPr>
            <w:rFonts w:eastAsiaTheme="minorEastAsia" w:cstheme="minorBidi"/>
            <w:noProof/>
            <w:sz w:val="22"/>
            <w:szCs w:val="22"/>
          </w:rPr>
          <w:tab/>
        </w:r>
        <w:r w:rsidR="005E7BB2" w:rsidRPr="00783671">
          <w:rPr>
            <w:rStyle w:val="Hyperlink"/>
            <w:rFonts w:eastAsiaTheme="majorEastAsia"/>
            <w:noProof/>
            <w:lang w:val="fr-CA"/>
          </w:rPr>
          <w:t>Prévisions des regroupements de coûts gérés de façon centralisée (RCGC)</w:t>
        </w:r>
        <w:r w:rsidR="005E7BB2">
          <w:rPr>
            <w:noProof/>
            <w:webHidden/>
          </w:rPr>
          <w:tab/>
        </w:r>
        <w:r w:rsidR="005E7BB2">
          <w:rPr>
            <w:noProof/>
            <w:webHidden/>
          </w:rPr>
          <w:fldChar w:fldCharType="begin"/>
        </w:r>
        <w:r w:rsidR="005E7BB2">
          <w:rPr>
            <w:noProof/>
            <w:webHidden/>
          </w:rPr>
          <w:instrText xml:space="preserve"> PAGEREF _Toc72402523 \h </w:instrText>
        </w:r>
        <w:r w:rsidR="005E7BB2">
          <w:rPr>
            <w:noProof/>
            <w:webHidden/>
          </w:rPr>
        </w:r>
        <w:r w:rsidR="005E7BB2">
          <w:rPr>
            <w:noProof/>
            <w:webHidden/>
          </w:rPr>
          <w:fldChar w:fldCharType="separate"/>
        </w:r>
        <w:r w:rsidR="005E7BB2">
          <w:rPr>
            <w:noProof/>
            <w:webHidden/>
          </w:rPr>
          <w:t>20</w:t>
        </w:r>
        <w:r w:rsidR="005E7BB2">
          <w:rPr>
            <w:noProof/>
            <w:webHidden/>
          </w:rPr>
          <w:fldChar w:fldCharType="end"/>
        </w:r>
      </w:hyperlink>
    </w:p>
    <w:p w14:paraId="7400E9EE" w14:textId="63729AD6" w:rsidR="005E7BB2" w:rsidRDefault="00D45BCF">
      <w:pPr>
        <w:pStyle w:val="TOC3"/>
        <w:tabs>
          <w:tab w:val="left" w:pos="1200"/>
          <w:tab w:val="right" w:leader="dot" w:pos="8990"/>
        </w:tabs>
        <w:rPr>
          <w:rFonts w:eastAsiaTheme="minorEastAsia" w:cstheme="minorBidi"/>
          <w:noProof/>
          <w:sz w:val="22"/>
          <w:szCs w:val="22"/>
        </w:rPr>
      </w:pPr>
      <w:hyperlink w:anchor="_Toc72402524" w:history="1">
        <w:r w:rsidR="005E7BB2" w:rsidRPr="00783671">
          <w:rPr>
            <w:rStyle w:val="Hyperlink"/>
            <w:rFonts w:eastAsiaTheme="majorEastAsia"/>
            <w:noProof/>
            <w:lang w:val="fr-CA"/>
          </w:rPr>
          <w:t>3.3.6</w:t>
        </w:r>
        <w:r w:rsidR="005E7BB2">
          <w:rPr>
            <w:rFonts w:eastAsiaTheme="minorEastAsia" w:cstheme="minorBidi"/>
            <w:noProof/>
            <w:sz w:val="22"/>
            <w:szCs w:val="22"/>
          </w:rPr>
          <w:tab/>
        </w:r>
        <w:r w:rsidR="005E7BB2" w:rsidRPr="00783671">
          <w:rPr>
            <w:rStyle w:val="Hyperlink"/>
            <w:rFonts w:eastAsiaTheme="majorEastAsia"/>
            <w:noProof/>
            <w:lang w:val="fr-CA"/>
          </w:rPr>
          <w:t>Fonds d’investissement en apprentissage (FIA)</w:t>
        </w:r>
        <w:r w:rsidR="005E7BB2">
          <w:rPr>
            <w:noProof/>
            <w:webHidden/>
          </w:rPr>
          <w:tab/>
        </w:r>
        <w:r w:rsidR="005E7BB2">
          <w:rPr>
            <w:noProof/>
            <w:webHidden/>
          </w:rPr>
          <w:fldChar w:fldCharType="begin"/>
        </w:r>
        <w:r w:rsidR="005E7BB2">
          <w:rPr>
            <w:noProof/>
            <w:webHidden/>
          </w:rPr>
          <w:instrText xml:space="preserve"> PAGEREF _Toc72402524 \h </w:instrText>
        </w:r>
        <w:r w:rsidR="005E7BB2">
          <w:rPr>
            <w:noProof/>
            <w:webHidden/>
          </w:rPr>
        </w:r>
        <w:r w:rsidR="005E7BB2">
          <w:rPr>
            <w:noProof/>
            <w:webHidden/>
          </w:rPr>
          <w:fldChar w:fldCharType="separate"/>
        </w:r>
        <w:r w:rsidR="005E7BB2">
          <w:rPr>
            <w:noProof/>
            <w:webHidden/>
          </w:rPr>
          <w:t>20</w:t>
        </w:r>
        <w:r w:rsidR="005E7BB2">
          <w:rPr>
            <w:noProof/>
            <w:webHidden/>
          </w:rPr>
          <w:fldChar w:fldCharType="end"/>
        </w:r>
      </w:hyperlink>
    </w:p>
    <w:p w14:paraId="621B3DAE" w14:textId="1C23E109" w:rsidR="005E7BB2" w:rsidRDefault="00D45BCF">
      <w:pPr>
        <w:pStyle w:val="TOC2"/>
        <w:tabs>
          <w:tab w:val="left" w:pos="720"/>
          <w:tab w:val="right" w:leader="dot" w:pos="8990"/>
        </w:tabs>
        <w:rPr>
          <w:rFonts w:eastAsiaTheme="minorEastAsia" w:cstheme="minorBidi"/>
          <w:i w:val="0"/>
          <w:iCs w:val="0"/>
          <w:noProof/>
          <w:sz w:val="22"/>
          <w:szCs w:val="22"/>
        </w:rPr>
      </w:pPr>
      <w:hyperlink w:anchor="_Toc72402525" w:history="1">
        <w:r w:rsidR="005E7BB2" w:rsidRPr="00783671">
          <w:rPr>
            <w:rStyle w:val="Hyperlink"/>
            <w:rFonts w:eastAsiaTheme="majorEastAsia"/>
            <w:noProof/>
            <w:lang w:val="fr-CA"/>
          </w:rPr>
          <w:t>3.4</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Prévisions pour les Ententes de partenariat de prestation de services (sous LMEDS)</w:t>
        </w:r>
        <w:r w:rsidR="005E7BB2">
          <w:rPr>
            <w:noProof/>
            <w:webHidden/>
          </w:rPr>
          <w:tab/>
        </w:r>
        <w:r w:rsidR="005E7BB2">
          <w:rPr>
            <w:noProof/>
            <w:webHidden/>
          </w:rPr>
          <w:fldChar w:fldCharType="begin"/>
        </w:r>
        <w:r w:rsidR="005E7BB2">
          <w:rPr>
            <w:noProof/>
            <w:webHidden/>
          </w:rPr>
          <w:instrText xml:space="preserve"> PAGEREF _Toc72402525 \h </w:instrText>
        </w:r>
        <w:r w:rsidR="005E7BB2">
          <w:rPr>
            <w:noProof/>
            <w:webHidden/>
          </w:rPr>
        </w:r>
        <w:r w:rsidR="005E7BB2">
          <w:rPr>
            <w:noProof/>
            <w:webHidden/>
          </w:rPr>
          <w:fldChar w:fldCharType="separate"/>
        </w:r>
        <w:r w:rsidR="005E7BB2">
          <w:rPr>
            <w:noProof/>
            <w:webHidden/>
          </w:rPr>
          <w:t>21</w:t>
        </w:r>
        <w:r w:rsidR="005E7BB2">
          <w:rPr>
            <w:noProof/>
            <w:webHidden/>
          </w:rPr>
          <w:fldChar w:fldCharType="end"/>
        </w:r>
      </w:hyperlink>
    </w:p>
    <w:p w14:paraId="4A1A1D8B" w14:textId="2B15CCEC" w:rsidR="005E7BB2" w:rsidRDefault="00D45BCF">
      <w:pPr>
        <w:pStyle w:val="TOC3"/>
        <w:tabs>
          <w:tab w:val="left" w:pos="1200"/>
          <w:tab w:val="right" w:leader="dot" w:pos="8990"/>
        </w:tabs>
        <w:rPr>
          <w:rFonts w:eastAsiaTheme="minorEastAsia" w:cstheme="minorBidi"/>
          <w:noProof/>
          <w:sz w:val="22"/>
          <w:szCs w:val="22"/>
        </w:rPr>
      </w:pPr>
      <w:hyperlink w:anchor="_Toc72402526" w:history="1">
        <w:r w:rsidR="005E7BB2" w:rsidRPr="00783671">
          <w:rPr>
            <w:rStyle w:val="Hyperlink"/>
            <w:rFonts w:eastAsiaTheme="majorEastAsia"/>
            <w:noProof/>
            <w:lang w:val="fr-CA"/>
          </w:rPr>
          <w:t>3.4.1</w:t>
        </w:r>
        <w:r w:rsidR="005E7BB2">
          <w:rPr>
            <w:rFonts w:eastAsiaTheme="minorEastAsia" w:cstheme="minorBidi"/>
            <w:noProof/>
            <w:sz w:val="22"/>
            <w:szCs w:val="22"/>
          </w:rPr>
          <w:tab/>
        </w:r>
        <w:r w:rsidR="005E7BB2" w:rsidRPr="00783671">
          <w:rPr>
            <w:rStyle w:val="Hyperlink"/>
            <w:rFonts w:eastAsiaTheme="majorEastAsia"/>
            <w:noProof/>
            <w:lang w:val="fr-CA"/>
          </w:rPr>
          <w:t>Prévisions pour Partenariats de prestations de services de faible valeur (Fond A449)</w:t>
        </w:r>
        <w:r w:rsidR="005E7BB2">
          <w:rPr>
            <w:noProof/>
            <w:webHidden/>
          </w:rPr>
          <w:tab/>
        </w:r>
        <w:r w:rsidR="005E7BB2">
          <w:rPr>
            <w:noProof/>
            <w:webHidden/>
          </w:rPr>
          <w:fldChar w:fldCharType="begin"/>
        </w:r>
        <w:r w:rsidR="005E7BB2">
          <w:rPr>
            <w:noProof/>
            <w:webHidden/>
          </w:rPr>
          <w:instrText xml:space="preserve"> PAGEREF _Toc72402526 \h </w:instrText>
        </w:r>
        <w:r w:rsidR="005E7BB2">
          <w:rPr>
            <w:noProof/>
            <w:webHidden/>
          </w:rPr>
        </w:r>
        <w:r w:rsidR="005E7BB2">
          <w:rPr>
            <w:noProof/>
            <w:webHidden/>
          </w:rPr>
          <w:fldChar w:fldCharType="separate"/>
        </w:r>
        <w:r w:rsidR="005E7BB2">
          <w:rPr>
            <w:noProof/>
            <w:webHidden/>
          </w:rPr>
          <w:t>22</w:t>
        </w:r>
        <w:r w:rsidR="005E7BB2">
          <w:rPr>
            <w:noProof/>
            <w:webHidden/>
          </w:rPr>
          <w:fldChar w:fldCharType="end"/>
        </w:r>
      </w:hyperlink>
    </w:p>
    <w:p w14:paraId="66EC3576" w14:textId="07A34506" w:rsidR="005E7BB2" w:rsidRDefault="00D45BCF">
      <w:pPr>
        <w:pStyle w:val="TOC2"/>
        <w:tabs>
          <w:tab w:val="left" w:pos="720"/>
          <w:tab w:val="right" w:leader="dot" w:pos="8990"/>
        </w:tabs>
        <w:rPr>
          <w:rFonts w:eastAsiaTheme="minorEastAsia" w:cstheme="minorBidi"/>
          <w:i w:val="0"/>
          <w:iCs w:val="0"/>
          <w:noProof/>
          <w:sz w:val="22"/>
          <w:szCs w:val="22"/>
        </w:rPr>
      </w:pPr>
      <w:hyperlink w:anchor="_Toc72402527" w:history="1">
        <w:r w:rsidR="005E7BB2" w:rsidRPr="00783671">
          <w:rPr>
            <w:rStyle w:val="Hyperlink"/>
            <w:rFonts w:eastAsiaTheme="majorEastAsia"/>
            <w:noProof/>
            <w:lang w:val="fr-CA"/>
          </w:rPr>
          <w:t>3.5</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Prévisions de revenu net en vertu d’un crédit (RNC)</w:t>
        </w:r>
        <w:r w:rsidR="005E7BB2">
          <w:rPr>
            <w:noProof/>
            <w:webHidden/>
          </w:rPr>
          <w:tab/>
        </w:r>
        <w:r w:rsidR="005E7BB2">
          <w:rPr>
            <w:noProof/>
            <w:webHidden/>
          </w:rPr>
          <w:fldChar w:fldCharType="begin"/>
        </w:r>
        <w:r w:rsidR="005E7BB2">
          <w:rPr>
            <w:noProof/>
            <w:webHidden/>
          </w:rPr>
          <w:instrText xml:space="preserve"> PAGEREF _Toc72402527 \h </w:instrText>
        </w:r>
        <w:r w:rsidR="005E7BB2">
          <w:rPr>
            <w:noProof/>
            <w:webHidden/>
          </w:rPr>
        </w:r>
        <w:r w:rsidR="005E7BB2">
          <w:rPr>
            <w:noProof/>
            <w:webHidden/>
          </w:rPr>
          <w:fldChar w:fldCharType="separate"/>
        </w:r>
        <w:r w:rsidR="005E7BB2">
          <w:rPr>
            <w:noProof/>
            <w:webHidden/>
          </w:rPr>
          <w:t>22</w:t>
        </w:r>
        <w:r w:rsidR="005E7BB2">
          <w:rPr>
            <w:noProof/>
            <w:webHidden/>
          </w:rPr>
          <w:fldChar w:fldCharType="end"/>
        </w:r>
      </w:hyperlink>
    </w:p>
    <w:p w14:paraId="0ECBD327" w14:textId="783E2E70" w:rsidR="005E7BB2" w:rsidRDefault="00D45BCF">
      <w:pPr>
        <w:pStyle w:val="TOC2"/>
        <w:tabs>
          <w:tab w:val="left" w:pos="720"/>
          <w:tab w:val="right" w:leader="dot" w:pos="8990"/>
        </w:tabs>
        <w:rPr>
          <w:rFonts w:eastAsiaTheme="minorEastAsia" w:cstheme="minorBidi"/>
          <w:i w:val="0"/>
          <w:iCs w:val="0"/>
          <w:noProof/>
          <w:sz w:val="22"/>
          <w:szCs w:val="22"/>
        </w:rPr>
      </w:pPr>
      <w:hyperlink w:anchor="_Toc72402528" w:history="1">
        <w:r w:rsidR="005E7BB2" w:rsidRPr="00783671">
          <w:rPr>
            <w:rStyle w:val="Hyperlink"/>
            <w:rFonts w:eastAsiaTheme="majorEastAsia"/>
            <w:noProof/>
            <w:lang w:val="fr-CA"/>
          </w:rPr>
          <w:t>3.6</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Prévisions des mesures en réponse à la COVID-19</w:t>
        </w:r>
        <w:r w:rsidR="005E7BB2">
          <w:rPr>
            <w:noProof/>
            <w:webHidden/>
          </w:rPr>
          <w:tab/>
        </w:r>
        <w:r w:rsidR="005E7BB2">
          <w:rPr>
            <w:noProof/>
            <w:webHidden/>
          </w:rPr>
          <w:fldChar w:fldCharType="begin"/>
        </w:r>
        <w:r w:rsidR="005E7BB2">
          <w:rPr>
            <w:noProof/>
            <w:webHidden/>
          </w:rPr>
          <w:instrText xml:space="preserve"> PAGEREF _Toc72402528 \h </w:instrText>
        </w:r>
        <w:r w:rsidR="005E7BB2">
          <w:rPr>
            <w:noProof/>
            <w:webHidden/>
          </w:rPr>
        </w:r>
        <w:r w:rsidR="005E7BB2">
          <w:rPr>
            <w:noProof/>
            <w:webHidden/>
          </w:rPr>
          <w:fldChar w:fldCharType="separate"/>
        </w:r>
        <w:r w:rsidR="005E7BB2">
          <w:rPr>
            <w:noProof/>
            <w:webHidden/>
          </w:rPr>
          <w:t>23</w:t>
        </w:r>
        <w:r w:rsidR="005E7BB2">
          <w:rPr>
            <w:noProof/>
            <w:webHidden/>
          </w:rPr>
          <w:fldChar w:fldCharType="end"/>
        </w:r>
      </w:hyperlink>
    </w:p>
    <w:p w14:paraId="3C702622" w14:textId="786D4E98" w:rsidR="005E7BB2" w:rsidRDefault="00D45BCF">
      <w:pPr>
        <w:pStyle w:val="TOC3"/>
        <w:tabs>
          <w:tab w:val="left" w:pos="1200"/>
          <w:tab w:val="right" w:leader="dot" w:pos="8990"/>
        </w:tabs>
        <w:rPr>
          <w:rFonts w:eastAsiaTheme="minorEastAsia" w:cstheme="minorBidi"/>
          <w:noProof/>
          <w:sz w:val="22"/>
          <w:szCs w:val="22"/>
        </w:rPr>
      </w:pPr>
      <w:hyperlink w:anchor="_Toc72402529" w:history="1">
        <w:r w:rsidR="005E7BB2" w:rsidRPr="00783671">
          <w:rPr>
            <w:rStyle w:val="Hyperlink"/>
            <w:rFonts w:eastAsiaTheme="majorEastAsia"/>
            <w:noProof/>
            <w:lang w:val="fr-CA"/>
          </w:rPr>
          <w:t>3.6.1</w:t>
        </w:r>
        <w:r w:rsidR="005E7BB2">
          <w:rPr>
            <w:rFonts w:eastAsiaTheme="minorEastAsia" w:cstheme="minorBidi"/>
            <w:noProof/>
            <w:sz w:val="22"/>
            <w:szCs w:val="22"/>
          </w:rPr>
          <w:tab/>
        </w:r>
        <w:r w:rsidR="005E7BB2" w:rsidRPr="00783671">
          <w:rPr>
            <w:rStyle w:val="Hyperlink"/>
            <w:rFonts w:eastAsiaTheme="majorEastAsia"/>
            <w:noProof/>
            <w:lang w:val="fr-CA"/>
          </w:rPr>
          <w:t>Budget</w:t>
        </w:r>
        <w:r w:rsidR="005E7BB2">
          <w:rPr>
            <w:noProof/>
            <w:webHidden/>
          </w:rPr>
          <w:tab/>
        </w:r>
        <w:r w:rsidR="005E7BB2">
          <w:rPr>
            <w:noProof/>
            <w:webHidden/>
          </w:rPr>
          <w:fldChar w:fldCharType="begin"/>
        </w:r>
        <w:r w:rsidR="005E7BB2">
          <w:rPr>
            <w:noProof/>
            <w:webHidden/>
          </w:rPr>
          <w:instrText xml:space="preserve"> PAGEREF _Toc72402529 \h </w:instrText>
        </w:r>
        <w:r w:rsidR="005E7BB2">
          <w:rPr>
            <w:noProof/>
            <w:webHidden/>
          </w:rPr>
        </w:r>
        <w:r w:rsidR="005E7BB2">
          <w:rPr>
            <w:noProof/>
            <w:webHidden/>
          </w:rPr>
          <w:fldChar w:fldCharType="separate"/>
        </w:r>
        <w:r w:rsidR="005E7BB2">
          <w:rPr>
            <w:noProof/>
            <w:webHidden/>
          </w:rPr>
          <w:t>23</w:t>
        </w:r>
        <w:r w:rsidR="005E7BB2">
          <w:rPr>
            <w:noProof/>
            <w:webHidden/>
          </w:rPr>
          <w:fldChar w:fldCharType="end"/>
        </w:r>
      </w:hyperlink>
    </w:p>
    <w:p w14:paraId="3573AB36" w14:textId="78D9C472" w:rsidR="005E7BB2" w:rsidRDefault="00D45BCF">
      <w:pPr>
        <w:pStyle w:val="TOC3"/>
        <w:tabs>
          <w:tab w:val="left" w:pos="1200"/>
          <w:tab w:val="right" w:leader="dot" w:pos="8990"/>
        </w:tabs>
        <w:rPr>
          <w:rFonts w:eastAsiaTheme="minorEastAsia" w:cstheme="minorBidi"/>
          <w:noProof/>
          <w:sz w:val="22"/>
          <w:szCs w:val="22"/>
        </w:rPr>
      </w:pPr>
      <w:hyperlink w:anchor="_Toc72402530" w:history="1">
        <w:r w:rsidR="005E7BB2" w:rsidRPr="00783671">
          <w:rPr>
            <w:rStyle w:val="Hyperlink"/>
            <w:rFonts w:eastAsiaTheme="majorEastAsia"/>
            <w:noProof/>
            <w:lang w:val="fr-CA"/>
          </w:rPr>
          <w:t>3.6.2</w:t>
        </w:r>
        <w:r w:rsidR="005E7BB2">
          <w:rPr>
            <w:rFonts w:eastAsiaTheme="minorEastAsia" w:cstheme="minorBidi"/>
            <w:noProof/>
            <w:sz w:val="22"/>
            <w:szCs w:val="22"/>
          </w:rPr>
          <w:tab/>
        </w:r>
        <w:r w:rsidR="005E7BB2" w:rsidRPr="00783671">
          <w:rPr>
            <w:rStyle w:val="Hyperlink"/>
            <w:rFonts w:eastAsiaTheme="majorEastAsia"/>
            <w:noProof/>
            <w:lang w:val="fr-CA"/>
          </w:rPr>
          <w:t>Prévision</w:t>
        </w:r>
        <w:r w:rsidR="005E7BB2">
          <w:rPr>
            <w:noProof/>
            <w:webHidden/>
          </w:rPr>
          <w:tab/>
        </w:r>
        <w:r w:rsidR="005E7BB2">
          <w:rPr>
            <w:noProof/>
            <w:webHidden/>
          </w:rPr>
          <w:fldChar w:fldCharType="begin"/>
        </w:r>
        <w:r w:rsidR="005E7BB2">
          <w:rPr>
            <w:noProof/>
            <w:webHidden/>
          </w:rPr>
          <w:instrText xml:space="preserve"> PAGEREF _Toc72402530 \h </w:instrText>
        </w:r>
        <w:r w:rsidR="005E7BB2">
          <w:rPr>
            <w:noProof/>
            <w:webHidden/>
          </w:rPr>
        </w:r>
        <w:r w:rsidR="005E7BB2">
          <w:rPr>
            <w:noProof/>
            <w:webHidden/>
          </w:rPr>
          <w:fldChar w:fldCharType="separate"/>
        </w:r>
        <w:r w:rsidR="005E7BB2">
          <w:rPr>
            <w:noProof/>
            <w:webHidden/>
          </w:rPr>
          <w:t>23</w:t>
        </w:r>
        <w:r w:rsidR="005E7BB2">
          <w:rPr>
            <w:noProof/>
            <w:webHidden/>
          </w:rPr>
          <w:fldChar w:fldCharType="end"/>
        </w:r>
      </w:hyperlink>
    </w:p>
    <w:p w14:paraId="317C0DAF" w14:textId="6966E640" w:rsidR="005E7BB2" w:rsidRDefault="00D45BCF">
      <w:pPr>
        <w:pStyle w:val="TOC2"/>
        <w:tabs>
          <w:tab w:val="left" w:pos="720"/>
          <w:tab w:val="right" w:leader="dot" w:pos="8990"/>
        </w:tabs>
        <w:rPr>
          <w:rFonts w:eastAsiaTheme="minorEastAsia" w:cstheme="minorBidi"/>
          <w:i w:val="0"/>
          <w:iCs w:val="0"/>
          <w:noProof/>
          <w:sz w:val="22"/>
          <w:szCs w:val="22"/>
        </w:rPr>
      </w:pPr>
      <w:hyperlink w:anchor="_Toc72402531" w:history="1">
        <w:r w:rsidR="005E7BB2" w:rsidRPr="00783671">
          <w:rPr>
            <w:rStyle w:val="Hyperlink"/>
            <w:rFonts w:eastAsiaTheme="majorEastAsia"/>
            <w:noProof/>
            <w:lang w:val="fr-CA"/>
          </w:rPr>
          <w:t>3.7</w:t>
        </w:r>
        <w:r w:rsidR="005E7BB2">
          <w:rPr>
            <w:rFonts w:eastAsiaTheme="minorEastAsia" w:cstheme="minorBidi"/>
            <w:i w:val="0"/>
            <w:iCs w:val="0"/>
            <w:noProof/>
            <w:sz w:val="22"/>
            <w:szCs w:val="22"/>
          </w:rPr>
          <w:tab/>
        </w:r>
        <w:r w:rsidR="005E7BB2" w:rsidRPr="00783671">
          <w:rPr>
            <w:rStyle w:val="Hyperlink"/>
            <w:rFonts w:eastAsiaTheme="majorEastAsia"/>
            <w:noProof/>
            <w:lang w:val="fr-CA"/>
          </w:rPr>
          <w:t>Prévisions des subventions et contributions</w:t>
        </w:r>
        <w:r w:rsidR="005E7BB2">
          <w:rPr>
            <w:noProof/>
            <w:webHidden/>
          </w:rPr>
          <w:tab/>
        </w:r>
        <w:r w:rsidR="005E7BB2">
          <w:rPr>
            <w:noProof/>
            <w:webHidden/>
          </w:rPr>
          <w:fldChar w:fldCharType="begin"/>
        </w:r>
        <w:r w:rsidR="005E7BB2">
          <w:rPr>
            <w:noProof/>
            <w:webHidden/>
          </w:rPr>
          <w:instrText xml:space="preserve"> PAGEREF _Toc72402531 \h </w:instrText>
        </w:r>
        <w:r w:rsidR="005E7BB2">
          <w:rPr>
            <w:noProof/>
            <w:webHidden/>
          </w:rPr>
        </w:r>
        <w:r w:rsidR="005E7BB2">
          <w:rPr>
            <w:noProof/>
            <w:webHidden/>
          </w:rPr>
          <w:fldChar w:fldCharType="separate"/>
        </w:r>
        <w:r w:rsidR="005E7BB2">
          <w:rPr>
            <w:noProof/>
            <w:webHidden/>
          </w:rPr>
          <w:t>24</w:t>
        </w:r>
        <w:r w:rsidR="005E7BB2">
          <w:rPr>
            <w:noProof/>
            <w:webHidden/>
          </w:rPr>
          <w:fldChar w:fldCharType="end"/>
        </w:r>
      </w:hyperlink>
    </w:p>
    <w:p w14:paraId="7F25CEF5" w14:textId="69AE5416" w:rsidR="005E7BB2" w:rsidRDefault="00D45BCF">
      <w:pPr>
        <w:pStyle w:val="TOC2"/>
        <w:tabs>
          <w:tab w:val="left" w:pos="720"/>
          <w:tab w:val="right" w:leader="dot" w:pos="8990"/>
        </w:tabs>
        <w:rPr>
          <w:rFonts w:eastAsiaTheme="minorEastAsia" w:cstheme="minorBidi"/>
          <w:i w:val="0"/>
          <w:iCs w:val="0"/>
          <w:noProof/>
          <w:sz w:val="22"/>
          <w:szCs w:val="22"/>
        </w:rPr>
      </w:pPr>
      <w:hyperlink w:anchor="_Toc72402532" w:history="1">
        <w:r w:rsidR="005E7BB2" w:rsidRPr="00783671">
          <w:rPr>
            <w:rStyle w:val="Hyperlink"/>
            <w:rFonts w:eastAsiaTheme="majorEastAsia"/>
            <w:noProof/>
            <w:lang w:val="fr-CA"/>
          </w:rPr>
          <w:t>3.8</w:t>
        </w:r>
        <w:r w:rsidR="005E7BB2">
          <w:rPr>
            <w:rFonts w:eastAsiaTheme="minorEastAsia" w:cstheme="minorBidi"/>
            <w:i w:val="0"/>
            <w:iCs w:val="0"/>
            <w:noProof/>
            <w:sz w:val="22"/>
            <w:szCs w:val="22"/>
          </w:rPr>
          <w:tab/>
        </w:r>
        <w:r w:rsidR="005E7BB2" w:rsidRPr="00783671">
          <w:rPr>
            <w:rStyle w:val="Hyperlink"/>
            <w:rFonts w:eastAsiaTheme="majorEastAsia"/>
            <w:noProof/>
            <w:lang w:val="fr-CA"/>
          </w:rPr>
          <w:t>Ajustement des prévisions</w:t>
        </w:r>
        <w:r w:rsidR="005E7BB2">
          <w:rPr>
            <w:noProof/>
            <w:webHidden/>
          </w:rPr>
          <w:tab/>
        </w:r>
        <w:r w:rsidR="005E7BB2">
          <w:rPr>
            <w:noProof/>
            <w:webHidden/>
          </w:rPr>
          <w:fldChar w:fldCharType="begin"/>
        </w:r>
        <w:r w:rsidR="005E7BB2">
          <w:rPr>
            <w:noProof/>
            <w:webHidden/>
          </w:rPr>
          <w:instrText xml:space="preserve"> PAGEREF _Toc72402532 \h </w:instrText>
        </w:r>
        <w:r w:rsidR="005E7BB2">
          <w:rPr>
            <w:noProof/>
            <w:webHidden/>
          </w:rPr>
        </w:r>
        <w:r w:rsidR="005E7BB2">
          <w:rPr>
            <w:noProof/>
            <w:webHidden/>
          </w:rPr>
          <w:fldChar w:fldCharType="separate"/>
        </w:r>
        <w:r w:rsidR="005E7BB2">
          <w:rPr>
            <w:noProof/>
            <w:webHidden/>
          </w:rPr>
          <w:t>25</w:t>
        </w:r>
        <w:r w:rsidR="005E7BB2">
          <w:rPr>
            <w:noProof/>
            <w:webHidden/>
          </w:rPr>
          <w:fldChar w:fldCharType="end"/>
        </w:r>
      </w:hyperlink>
    </w:p>
    <w:p w14:paraId="68818BC8" w14:textId="3A0EC145" w:rsidR="005E7BB2" w:rsidRDefault="00D45BCF">
      <w:pPr>
        <w:pStyle w:val="TOC2"/>
        <w:tabs>
          <w:tab w:val="left" w:pos="720"/>
          <w:tab w:val="right" w:leader="dot" w:pos="8990"/>
        </w:tabs>
        <w:rPr>
          <w:rFonts w:eastAsiaTheme="minorEastAsia" w:cstheme="minorBidi"/>
          <w:i w:val="0"/>
          <w:iCs w:val="0"/>
          <w:noProof/>
          <w:sz w:val="22"/>
          <w:szCs w:val="22"/>
        </w:rPr>
      </w:pPr>
      <w:hyperlink w:anchor="_Toc72402533" w:history="1">
        <w:r w:rsidR="005E7BB2" w:rsidRPr="00783671">
          <w:rPr>
            <w:rStyle w:val="Hyperlink"/>
            <w:rFonts w:eastAsiaTheme="majorEastAsia"/>
            <w:noProof/>
            <w:lang w:val="fr-CA"/>
          </w:rPr>
          <w:t>3.9</w:t>
        </w:r>
        <w:r w:rsidR="005E7BB2">
          <w:rPr>
            <w:rFonts w:eastAsiaTheme="minorEastAsia" w:cstheme="minorBidi"/>
            <w:i w:val="0"/>
            <w:iCs w:val="0"/>
            <w:noProof/>
            <w:sz w:val="22"/>
            <w:szCs w:val="22"/>
          </w:rPr>
          <w:tab/>
        </w:r>
        <w:r w:rsidR="005E7BB2" w:rsidRPr="00783671">
          <w:rPr>
            <w:rStyle w:val="Hyperlink"/>
            <w:rFonts w:eastAsiaTheme="majorEastAsia"/>
            <w:noProof/>
            <w:lang w:val="fr-CA"/>
          </w:rPr>
          <w:t>Explication de l’écart et approbation des prévisions par le SMA</w:t>
        </w:r>
        <w:r w:rsidR="005E7BB2">
          <w:rPr>
            <w:noProof/>
            <w:webHidden/>
          </w:rPr>
          <w:tab/>
        </w:r>
        <w:r w:rsidR="005E7BB2">
          <w:rPr>
            <w:noProof/>
            <w:webHidden/>
          </w:rPr>
          <w:fldChar w:fldCharType="begin"/>
        </w:r>
        <w:r w:rsidR="005E7BB2">
          <w:rPr>
            <w:noProof/>
            <w:webHidden/>
          </w:rPr>
          <w:instrText xml:space="preserve"> PAGEREF _Toc72402533 \h </w:instrText>
        </w:r>
        <w:r w:rsidR="005E7BB2">
          <w:rPr>
            <w:noProof/>
            <w:webHidden/>
          </w:rPr>
        </w:r>
        <w:r w:rsidR="005E7BB2">
          <w:rPr>
            <w:noProof/>
            <w:webHidden/>
          </w:rPr>
          <w:fldChar w:fldCharType="separate"/>
        </w:r>
        <w:r w:rsidR="005E7BB2">
          <w:rPr>
            <w:noProof/>
            <w:webHidden/>
          </w:rPr>
          <w:t>27</w:t>
        </w:r>
        <w:r w:rsidR="005E7BB2">
          <w:rPr>
            <w:noProof/>
            <w:webHidden/>
          </w:rPr>
          <w:fldChar w:fldCharType="end"/>
        </w:r>
      </w:hyperlink>
    </w:p>
    <w:p w14:paraId="4CDC5E62" w14:textId="1BFFA157" w:rsidR="005E7BB2" w:rsidRDefault="00D45BCF">
      <w:pPr>
        <w:pStyle w:val="TOC1"/>
        <w:tabs>
          <w:tab w:val="right" w:leader="dot" w:pos="8990"/>
        </w:tabs>
        <w:rPr>
          <w:rFonts w:eastAsiaTheme="minorEastAsia" w:cstheme="minorBidi"/>
          <w:b w:val="0"/>
          <w:bCs w:val="0"/>
          <w:noProof/>
          <w:sz w:val="22"/>
          <w:szCs w:val="22"/>
        </w:rPr>
      </w:pPr>
      <w:hyperlink w:anchor="_Toc72402534" w:history="1">
        <w:r w:rsidR="005E7BB2" w:rsidRPr="00783671">
          <w:rPr>
            <w:rStyle w:val="Hyperlink"/>
            <w:rFonts w:eastAsiaTheme="majorEastAsia"/>
            <w:noProof/>
            <w:lang w:val="fr-CA"/>
          </w:rPr>
          <w:t>ANNEXE A – Calendrier prévisionnel ministériel de 2021-22</w:t>
        </w:r>
        <w:r w:rsidR="005E7BB2">
          <w:rPr>
            <w:noProof/>
            <w:webHidden/>
          </w:rPr>
          <w:tab/>
        </w:r>
        <w:r w:rsidR="005E7BB2">
          <w:rPr>
            <w:noProof/>
            <w:webHidden/>
          </w:rPr>
          <w:fldChar w:fldCharType="begin"/>
        </w:r>
        <w:r w:rsidR="005E7BB2">
          <w:rPr>
            <w:noProof/>
            <w:webHidden/>
          </w:rPr>
          <w:instrText xml:space="preserve"> PAGEREF _Toc72402534 \h </w:instrText>
        </w:r>
        <w:r w:rsidR="005E7BB2">
          <w:rPr>
            <w:noProof/>
            <w:webHidden/>
          </w:rPr>
        </w:r>
        <w:r w:rsidR="005E7BB2">
          <w:rPr>
            <w:noProof/>
            <w:webHidden/>
          </w:rPr>
          <w:fldChar w:fldCharType="separate"/>
        </w:r>
        <w:r w:rsidR="005E7BB2">
          <w:rPr>
            <w:noProof/>
            <w:webHidden/>
          </w:rPr>
          <w:t>29</w:t>
        </w:r>
        <w:r w:rsidR="005E7BB2">
          <w:rPr>
            <w:noProof/>
            <w:webHidden/>
          </w:rPr>
          <w:fldChar w:fldCharType="end"/>
        </w:r>
      </w:hyperlink>
    </w:p>
    <w:p w14:paraId="3D1DB091" w14:textId="4D5D8A12" w:rsidR="005E7BB2" w:rsidRDefault="00D45BCF">
      <w:pPr>
        <w:pStyle w:val="TOC1"/>
        <w:tabs>
          <w:tab w:val="right" w:leader="dot" w:pos="8990"/>
        </w:tabs>
        <w:rPr>
          <w:rFonts w:eastAsiaTheme="minorEastAsia" w:cstheme="minorBidi"/>
          <w:b w:val="0"/>
          <w:bCs w:val="0"/>
          <w:noProof/>
          <w:sz w:val="22"/>
          <w:szCs w:val="22"/>
        </w:rPr>
      </w:pPr>
      <w:hyperlink w:anchor="_Toc72402535" w:history="1">
        <w:r w:rsidR="005E7BB2" w:rsidRPr="00783671">
          <w:rPr>
            <w:rStyle w:val="Hyperlink"/>
            <w:rFonts w:eastAsiaTheme="majorEastAsia"/>
            <w:noProof/>
            <w:lang w:val="fr-CA"/>
          </w:rPr>
          <w:t>ANNEXE B – Saisie de budget dans le FMBB</w:t>
        </w:r>
        <w:r w:rsidR="005E7BB2">
          <w:rPr>
            <w:noProof/>
            <w:webHidden/>
          </w:rPr>
          <w:tab/>
        </w:r>
        <w:r w:rsidR="005E7BB2">
          <w:rPr>
            <w:noProof/>
            <w:webHidden/>
          </w:rPr>
          <w:fldChar w:fldCharType="begin"/>
        </w:r>
        <w:r w:rsidR="005E7BB2">
          <w:rPr>
            <w:noProof/>
            <w:webHidden/>
          </w:rPr>
          <w:instrText xml:space="preserve"> PAGEREF _Toc72402535 \h </w:instrText>
        </w:r>
        <w:r w:rsidR="005E7BB2">
          <w:rPr>
            <w:noProof/>
            <w:webHidden/>
          </w:rPr>
        </w:r>
        <w:r w:rsidR="005E7BB2">
          <w:rPr>
            <w:noProof/>
            <w:webHidden/>
          </w:rPr>
          <w:fldChar w:fldCharType="separate"/>
        </w:r>
        <w:r w:rsidR="005E7BB2">
          <w:rPr>
            <w:noProof/>
            <w:webHidden/>
          </w:rPr>
          <w:t>30</w:t>
        </w:r>
        <w:r w:rsidR="005E7BB2">
          <w:rPr>
            <w:noProof/>
            <w:webHidden/>
          </w:rPr>
          <w:fldChar w:fldCharType="end"/>
        </w:r>
      </w:hyperlink>
    </w:p>
    <w:p w14:paraId="370B71C9" w14:textId="449F08E1" w:rsidR="005E7BB2" w:rsidRDefault="00D45BCF">
      <w:pPr>
        <w:pStyle w:val="TOC1"/>
        <w:tabs>
          <w:tab w:val="right" w:leader="dot" w:pos="8990"/>
        </w:tabs>
        <w:rPr>
          <w:rFonts w:eastAsiaTheme="minorEastAsia" w:cstheme="minorBidi"/>
          <w:b w:val="0"/>
          <w:bCs w:val="0"/>
          <w:noProof/>
          <w:sz w:val="22"/>
          <w:szCs w:val="22"/>
        </w:rPr>
      </w:pPr>
      <w:hyperlink w:anchor="_Toc72402536" w:history="1">
        <w:r w:rsidR="005E7BB2" w:rsidRPr="00783671">
          <w:rPr>
            <w:rStyle w:val="Hyperlink"/>
            <w:rFonts w:eastAsiaTheme="majorEastAsia"/>
            <w:noProof/>
            <w:lang w:val="fr-CA"/>
          </w:rPr>
          <w:t>ANNEXE C – Catégories Autre personnel Comptes GL</w:t>
        </w:r>
        <w:r w:rsidR="005E7BB2">
          <w:rPr>
            <w:noProof/>
            <w:webHidden/>
          </w:rPr>
          <w:tab/>
        </w:r>
        <w:r w:rsidR="005E7BB2">
          <w:rPr>
            <w:noProof/>
            <w:webHidden/>
          </w:rPr>
          <w:fldChar w:fldCharType="begin"/>
        </w:r>
        <w:r w:rsidR="005E7BB2">
          <w:rPr>
            <w:noProof/>
            <w:webHidden/>
          </w:rPr>
          <w:instrText xml:space="preserve"> PAGEREF _Toc72402536 \h </w:instrText>
        </w:r>
        <w:r w:rsidR="005E7BB2">
          <w:rPr>
            <w:noProof/>
            <w:webHidden/>
          </w:rPr>
        </w:r>
        <w:r w:rsidR="005E7BB2">
          <w:rPr>
            <w:noProof/>
            <w:webHidden/>
          </w:rPr>
          <w:fldChar w:fldCharType="separate"/>
        </w:r>
        <w:r w:rsidR="005E7BB2">
          <w:rPr>
            <w:noProof/>
            <w:webHidden/>
          </w:rPr>
          <w:t>33</w:t>
        </w:r>
        <w:r w:rsidR="005E7BB2">
          <w:rPr>
            <w:noProof/>
            <w:webHidden/>
          </w:rPr>
          <w:fldChar w:fldCharType="end"/>
        </w:r>
      </w:hyperlink>
    </w:p>
    <w:p w14:paraId="4D18EDF5" w14:textId="0E351948" w:rsidR="005E7BB2" w:rsidRDefault="00D45BCF">
      <w:pPr>
        <w:pStyle w:val="TOC1"/>
        <w:tabs>
          <w:tab w:val="right" w:leader="dot" w:pos="8990"/>
        </w:tabs>
        <w:rPr>
          <w:rFonts w:eastAsiaTheme="minorEastAsia" w:cstheme="minorBidi"/>
          <w:b w:val="0"/>
          <w:bCs w:val="0"/>
          <w:noProof/>
          <w:sz w:val="22"/>
          <w:szCs w:val="22"/>
        </w:rPr>
      </w:pPr>
      <w:hyperlink w:anchor="_Toc72402537" w:history="1">
        <w:r w:rsidR="005E7BB2" w:rsidRPr="00783671">
          <w:rPr>
            <w:rStyle w:val="Hyperlink"/>
            <w:rFonts w:eastAsiaTheme="majorEastAsia"/>
            <w:noProof/>
            <w:lang w:val="fr-CA"/>
          </w:rPr>
          <w:t>ANNEXE D –  Rapports et documentations de BI</w:t>
        </w:r>
        <w:r w:rsidR="005E7BB2">
          <w:rPr>
            <w:noProof/>
            <w:webHidden/>
          </w:rPr>
          <w:tab/>
        </w:r>
        <w:r w:rsidR="005E7BB2">
          <w:rPr>
            <w:noProof/>
            <w:webHidden/>
          </w:rPr>
          <w:fldChar w:fldCharType="begin"/>
        </w:r>
        <w:r w:rsidR="005E7BB2">
          <w:rPr>
            <w:noProof/>
            <w:webHidden/>
          </w:rPr>
          <w:instrText xml:space="preserve"> PAGEREF _Toc72402537 \h </w:instrText>
        </w:r>
        <w:r w:rsidR="005E7BB2">
          <w:rPr>
            <w:noProof/>
            <w:webHidden/>
          </w:rPr>
        </w:r>
        <w:r w:rsidR="005E7BB2">
          <w:rPr>
            <w:noProof/>
            <w:webHidden/>
          </w:rPr>
          <w:fldChar w:fldCharType="separate"/>
        </w:r>
        <w:r w:rsidR="005E7BB2">
          <w:rPr>
            <w:noProof/>
            <w:webHidden/>
          </w:rPr>
          <w:t>35</w:t>
        </w:r>
        <w:r w:rsidR="005E7BB2">
          <w:rPr>
            <w:noProof/>
            <w:webHidden/>
          </w:rPr>
          <w:fldChar w:fldCharType="end"/>
        </w:r>
      </w:hyperlink>
    </w:p>
    <w:p w14:paraId="506DA3D9" w14:textId="7B0FB4D3" w:rsidR="005E7BB2" w:rsidRDefault="00D45BCF">
      <w:pPr>
        <w:pStyle w:val="TOC1"/>
        <w:tabs>
          <w:tab w:val="right" w:leader="dot" w:pos="8990"/>
        </w:tabs>
        <w:rPr>
          <w:rFonts w:eastAsiaTheme="minorEastAsia" w:cstheme="minorBidi"/>
          <w:b w:val="0"/>
          <w:bCs w:val="0"/>
          <w:noProof/>
          <w:sz w:val="22"/>
          <w:szCs w:val="22"/>
        </w:rPr>
      </w:pPr>
      <w:hyperlink w:anchor="_Toc72402538" w:history="1">
        <w:r w:rsidR="005E7BB2" w:rsidRPr="00783671">
          <w:rPr>
            <w:rStyle w:val="Hyperlink"/>
            <w:rFonts w:eastAsiaTheme="majorEastAsia"/>
            <w:noProof/>
            <w:lang w:val="fr-CA"/>
          </w:rPr>
          <w:t>ANNEXE E – Principaux contacts de la Direction générale du dirigeant principal des finances (DGDPF)</w:t>
        </w:r>
        <w:r w:rsidR="005E7BB2">
          <w:rPr>
            <w:noProof/>
            <w:webHidden/>
          </w:rPr>
          <w:tab/>
        </w:r>
        <w:r w:rsidR="005E7BB2">
          <w:rPr>
            <w:noProof/>
            <w:webHidden/>
          </w:rPr>
          <w:fldChar w:fldCharType="begin"/>
        </w:r>
        <w:r w:rsidR="005E7BB2">
          <w:rPr>
            <w:noProof/>
            <w:webHidden/>
          </w:rPr>
          <w:instrText xml:space="preserve"> PAGEREF _Toc72402538 \h </w:instrText>
        </w:r>
        <w:r w:rsidR="005E7BB2">
          <w:rPr>
            <w:noProof/>
            <w:webHidden/>
          </w:rPr>
        </w:r>
        <w:r w:rsidR="005E7BB2">
          <w:rPr>
            <w:noProof/>
            <w:webHidden/>
          </w:rPr>
          <w:fldChar w:fldCharType="separate"/>
        </w:r>
        <w:r w:rsidR="005E7BB2">
          <w:rPr>
            <w:noProof/>
            <w:webHidden/>
          </w:rPr>
          <w:t>37</w:t>
        </w:r>
        <w:r w:rsidR="005E7BB2">
          <w:rPr>
            <w:noProof/>
            <w:webHidden/>
          </w:rPr>
          <w:fldChar w:fldCharType="end"/>
        </w:r>
      </w:hyperlink>
    </w:p>
    <w:p w14:paraId="7BD65F75" w14:textId="3A29B6CC" w:rsidR="00AE759B" w:rsidRDefault="005E7BB2" w:rsidP="003F63CD">
      <w:pPr>
        <w:pStyle w:val="Heading1"/>
        <w:rPr>
          <w:lang w:val="fr-CA"/>
        </w:rPr>
      </w:pPr>
      <w:r>
        <w:rPr>
          <w:lang w:val="fr-CA"/>
        </w:rPr>
        <w:fldChar w:fldCharType="end"/>
      </w:r>
      <w:r w:rsidR="00AE759B">
        <w:rPr>
          <w:lang w:val="fr-CA"/>
        </w:rPr>
        <w:br w:type="page"/>
      </w:r>
    </w:p>
    <w:p w14:paraId="6A18F573" w14:textId="44581719" w:rsidR="003F63CD" w:rsidRDefault="003F63CD" w:rsidP="00E8661F">
      <w:pPr>
        <w:pStyle w:val="Heading1"/>
        <w:numPr>
          <w:ilvl w:val="0"/>
          <w:numId w:val="35"/>
        </w:numPr>
      </w:pPr>
      <w:bookmarkStart w:id="2" w:name="_Toc72402498"/>
      <w:r w:rsidRPr="003F1788">
        <w:lastRenderedPageBreak/>
        <w:t>Lignes directrices générales</w:t>
      </w:r>
      <w:bookmarkEnd w:id="1"/>
      <w:bookmarkEnd w:id="2"/>
    </w:p>
    <w:p w14:paraId="35F015E1" w14:textId="77777777" w:rsidR="00963EE6" w:rsidRPr="00963EE6" w:rsidRDefault="00963EE6" w:rsidP="00963EE6"/>
    <w:p w14:paraId="5C7B3B88" w14:textId="4FE11B3C" w:rsidR="00E8661F" w:rsidRPr="00E8661F" w:rsidRDefault="003F63CD" w:rsidP="00963EE6">
      <w:pPr>
        <w:pStyle w:val="Heading2"/>
        <w:numPr>
          <w:ilvl w:val="1"/>
          <w:numId w:val="2"/>
        </w:numPr>
        <w:spacing w:before="0"/>
        <w:ind w:left="578" w:hanging="578"/>
        <w:rPr>
          <w:lang w:val="fr-CA"/>
        </w:rPr>
      </w:pPr>
      <w:bookmarkStart w:id="3" w:name="_Toc513716488"/>
      <w:bookmarkStart w:id="4" w:name="_Toc72402499"/>
      <w:r w:rsidRPr="003F1788">
        <w:rPr>
          <w:lang w:val="fr-CA"/>
        </w:rPr>
        <w:t>Principes ministériels sur la gestion des ressources financières</w:t>
      </w:r>
      <w:bookmarkEnd w:id="3"/>
      <w:bookmarkEnd w:id="4"/>
    </w:p>
    <w:p w14:paraId="2502A5B2" w14:textId="77777777" w:rsidR="003F63CD" w:rsidRDefault="003F63CD" w:rsidP="003F63CD">
      <w:pPr>
        <w:rPr>
          <w:lang w:val="fr-CA"/>
        </w:rPr>
      </w:pPr>
    </w:p>
    <w:p w14:paraId="719B745A" w14:textId="77777777" w:rsidR="003F63CD" w:rsidRPr="003F1788" w:rsidRDefault="00B61214" w:rsidP="003F63CD">
      <w:pPr>
        <w:rPr>
          <w:lang w:val="fr-CA"/>
        </w:rPr>
      </w:pPr>
      <w:r>
        <w:rPr>
          <w:color w:val="000000"/>
          <w:lang w:val="fr-CA"/>
        </w:rPr>
        <w:t>Les principes suivants devraient guider les prévisions financières :</w:t>
      </w:r>
    </w:p>
    <w:p w14:paraId="73CBA6F7" w14:textId="77777777" w:rsidR="003F63CD" w:rsidRPr="003F1788" w:rsidRDefault="003F63CD" w:rsidP="003F63CD">
      <w:pPr>
        <w:rPr>
          <w:lang w:val="fr-CA"/>
        </w:rPr>
      </w:pPr>
    </w:p>
    <w:p w14:paraId="66D13EC0" w14:textId="74483644" w:rsidR="00B61214" w:rsidRDefault="002227C8" w:rsidP="00B61214">
      <w:pPr>
        <w:pStyle w:val="ListParagraph"/>
        <w:numPr>
          <w:ilvl w:val="0"/>
          <w:numId w:val="1"/>
        </w:numPr>
        <w:autoSpaceDE w:val="0"/>
        <w:autoSpaceDN w:val="0"/>
        <w:rPr>
          <w:rFonts w:ascii="Arial" w:hAnsi="Arial" w:cs="Arial"/>
          <w:lang w:val="fr-CA"/>
        </w:rPr>
      </w:pPr>
      <w:r w:rsidRPr="002227C8">
        <w:rPr>
          <w:rFonts w:ascii="Arial" w:hAnsi="Arial" w:cs="Arial"/>
          <w:lang w:val="fr-CA"/>
        </w:rPr>
        <w:t>Les coût</w:t>
      </w:r>
      <w:r w:rsidR="0031526B">
        <w:rPr>
          <w:rFonts w:ascii="Arial" w:hAnsi="Arial" w:cs="Arial"/>
          <w:lang w:val="fr-CA"/>
        </w:rPr>
        <w:t>s salariaux sont l’équivalent d’environ</w:t>
      </w:r>
      <w:r w:rsidRPr="002227C8">
        <w:rPr>
          <w:rFonts w:ascii="Arial" w:hAnsi="Arial" w:cs="Arial"/>
          <w:lang w:val="fr-CA"/>
        </w:rPr>
        <w:t xml:space="preserve"> 80 % de la plupart des budgets des directions générales et régions. Si cette partie est adéquate, nous aurons fait un bon bout de chemin vers des prévisions globales précises. Il est donc essentiel que l’outil de prévision des salaires (OPS) soit maintenu à jour et soit précis pour votre direction générale / région.  De plus, l’OPS est utilisé comme un outil pour identifier les problèmes de paye des employés en raison des trop-payés et des sous-payés de Phoenix, mais s’il n’est pas tenu à jour, il ne sera pas aussi utile à cette fin. Le ministère a l’obligation légale de s’assurer qu’il charge adéquatement ses diverses enveloppes budgétaires (c.-à-d. A-E, RPC, CRF, recouvrement des coûts des passeports, recouvrements d’autres entités pour des ententes en vertu de la LMEDS et le financement pour la COVID-19). Cela ne peut être fait qu’en veillant à ce que les coûts des employés soient codés avec précision dans l’OPS, et que les coûts non salariaux sont correctement codés dans maSGE (SAP).</w:t>
      </w:r>
    </w:p>
    <w:p w14:paraId="046130AF" w14:textId="77777777" w:rsidR="00B61214" w:rsidRDefault="00B61214" w:rsidP="00B61214">
      <w:pPr>
        <w:pStyle w:val="ListParagraph"/>
        <w:autoSpaceDE w:val="0"/>
        <w:autoSpaceDN w:val="0"/>
        <w:rPr>
          <w:rFonts w:ascii="Arial" w:hAnsi="Arial" w:cs="Arial"/>
          <w:lang w:val="fr-CA"/>
        </w:rPr>
      </w:pPr>
    </w:p>
    <w:p w14:paraId="1F955064" w14:textId="49D69168" w:rsidR="00B61214" w:rsidRPr="00335CCE" w:rsidRDefault="002227C8" w:rsidP="005F50A8">
      <w:pPr>
        <w:pStyle w:val="ListParagraph"/>
        <w:numPr>
          <w:ilvl w:val="0"/>
          <w:numId w:val="1"/>
        </w:numPr>
        <w:autoSpaceDE w:val="0"/>
        <w:autoSpaceDN w:val="0"/>
        <w:rPr>
          <w:rFonts w:ascii="Arial" w:hAnsi="Arial" w:cs="Arial"/>
          <w:lang w:val="fr-CA"/>
        </w:rPr>
      </w:pPr>
      <w:r w:rsidRPr="002227C8">
        <w:rPr>
          <w:rFonts w:ascii="Arial" w:hAnsi="Arial" w:cs="Arial"/>
          <w:lang w:val="fr-CA"/>
        </w:rPr>
        <w:t xml:space="preserve">La dotation prévue devrait refléter votre budget permanent et temporaire approuvé. Il sera essentiel que les plans d’embauche de l’année en cours prennent en considération les obligations futures que créent les embauches indéterminées versus les embauches déterminées. </w:t>
      </w:r>
      <w:r w:rsidR="00B61214" w:rsidRPr="00B61214">
        <w:rPr>
          <w:rFonts w:ascii="Arial" w:hAnsi="Arial" w:cs="Arial"/>
          <w:lang w:val="fr-CA"/>
        </w:rPr>
        <w:t xml:space="preserve"> </w:t>
      </w:r>
    </w:p>
    <w:p w14:paraId="3E39C340" w14:textId="77777777" w:rsidR="00B61214" w:rsidRPr="00335CCE" w:rsidRDefault="00B61214" w:rsidP="00B61214">
      <w:pPr>
        <w:pStyle w:val="ListParagraph"/>
        <w:rPr>
          <w:rFonts w:ascii="Arial" w:hAnsi="Arial" w:cs="Arial"/>
          <w:lang w:val="fr-CA"/>
        </w:rPr>
      </w:pPr>
    </w:p>
    <w:p w14:paraId="49044D8F" w14:textId="3D10819A" w:rsidR="00335CCE" w:rsidRPr="00335CCE" w:rsidRDefault="002227C8" w:rsidP="00335CCE">
      <w:pPr>
        <w:pStyle w:val="ListParagraph"/>
        <w:numPr>
          <w:ilvl w:val="0"/>
          <w:numId w:val="1"/>
        </w:numPr>
        <w:autoSpaceDE w:val="0"/>
        <w:autoSpaceDN w:val="0"/>
        <w:contextualSpacing/>
        <w:rPr>
          <w:rFonts w:ascii="Arial" w:hAnsi="Arial" w:cs="Arial"/>
          <w:lang w:val="fr-CA"/>
        </w:rPr>
      </w:pPr>
      <w:r w:rsidRPr="002227C8">
        <w:rPr>
          <w:rFonts w:ascii="Arial" w:hAnsi="Arial" w:cs="Arial"/>
          <w:lang w:val="fr-CA"/>
        </w:rPr>
        <w:t>Les estimations de la diminution significative de l’attrition et du roulement du personnel ainsi que des prévisions de voyage réduites devraient être incorporées en tant que réduction à vos dépenses prévues.</w:t>
      </w:r>
      <w:r w:rsidR="00335CCE" w:rsidRPr="00335CCE">
        <w:rPr>
          <w:rFonts w:ascii="Arial" w:hAnsi="Arial" w:cs="Arial"/>
          <w:lang w:val="fr-CA"/>
        </w:rPr>
        <w:t xml:space="preserve"> </w:t>
      </w:r>
    </w:p>
    <w:p w14:paraId="45204296" w14:textId="77777777" w:rsidR="00335CCE" w:rsidRPr="00335CCE" w:rsidRDefault="00335CCE" w:rsidP="00335CCE">
      <w:pPr>
        <w:pStyle w:val="ListParagraph"/>
        <w:rPr>
          <w:rFonts w:ascii="Arial" w:hAnsi="Arial" w:cs="Arial"/>
          <w:lang w:val="fr-CA"/>
        </w:rPr>
      </w:pPr>
    </w:p>
    <w:p w14:paraId="01A753F4" w14:textId="293CD95D" w:rsidR="00335CCE" w:rsidRPr="00335CCE" w:rsidRDefault="002227C8" w:rsidP="00335CCE">
      <w:pPr>
        <w:pStyle w:val="ListParagraph"/>
        <w:numPr>
          <w:ilvl w:val="0"/>
          <w:numId w:val="1"/>
        </w:numPr>
        <w:autoSpaceDE w:val="0"/>
        <w:autoSpaceDN w:val="0"/>
        <w:contextualSpacing/>
        <w:rPr>
          <w:rFonts w:ascii="Arial" w:hAnsi="Arial" w:cs="Arial"/>
          <w:lang w:val="fr-CA"/>
        </w:rPr>
      </w:pPr>
      <w:r w:rsidRPr="002227C8">
        <w:rPr>
          <w:rFonts w:ascii="Arial" w:hAnsi="Arial" w:cs="Arial"/>
          <w:lang w:val="fr-CA"/>
        </w:rPr>
        <w:t>Toutes les pressions émergentes doivent être appuyées par un court cas d’affaire, comprenant une description de la pression, des coûts corroborés et un alignement aux priorités ministérielles actuelles.</w:t>
      </w:r>
    </w:p>
    <w:p w14:paraId="0B4C7ADB" w14:textId="77777777" w:rsidR="00335CCE" w:rsidRPr="00335CCE" w:rsidRDefault="00335CCE" w:rsidP="00335CCE">
      <w:pPr>
        <w:pStyle w:val="ListParagraph"/>
        <w:rPr>
          <w:rFonts w:ascii="Arial" w:hAnsi="Arial" w:cs="Arial"/>
          <w:lang w:val="fr-CA"/>
        </w:rPr>
      </w:pPr>
    </w:p>
    <w:p w14:paraId="7BE5191D" w14:textId="77777777" w:rsidR="002227C8" w:rsidRDefault="002227C8" w:rsidP="00335CCE">
      <w:pPr>
        <w:pStyle w:val="ListParagraph"/>
        <w:numPr>
          <w:ilvl w:val="0"/>
          <w:numId w:val="1"/>
        </w:numPr>
        <w:autoSpaceDE w:val="0"/>
        <w:autoSpaceDN w:val="0"/>
        <w:contextualSpacing/>
        <w:rPr>
          <w:rFonts w:ascii="Arial" w:hAnsi="Arial" w:cs="Arial"/>
          <w:lang w:val="fr-CA"/>
        </w:rPr>
      </w:pPr>
      <w:r w:rsidRPr="002227C8">
        <w:rPr>
          <w:rFonts w:ascii="Arial" w:hAnsi="Arial" w:cs="Arial"/>
          <w:lang w:val="fr-CA"/>
        </w:rPr>
        <w:t>Toute flexibilité financière devrait être déclarée le plus tôt possible afin d’utiliser le plus efficacement les ressources ministérielles et de réaligner le financement des activités prioritaires le plus tôt possible. Ce sera particulièrement important dans le contexte actuel. Veuillez ne pas attendre à la période 6 ou à la période 8 pour déclarer le budget en surplus.</w:t>
      </w:r>
    </w:p>
    <w:p w14:paraId="06124579" w14:textId="77777777" w:rsidR="002227C8" w:rsidRPr="009E576A" w:rsidRDefault="002227C8" w:rsidP="009E576A">
      <w:pPr>
        <w:pStyle w:val="ListParagraph"/>
        <w:rPr>
          <w:rFonts w:ascii="Arial" w:hAnsi="Arial" w:cs="Arial"/>
          <w:lang w:val="fr-CA"/>
        </w:rPr>
      </w:pPr>
    </w:p>
    <w:p w14:paraId="1011D46B" w14:textId="1C8F8CE7" w:rsidR="00B61214" w:rsidRPr="00335CCE" w:rsidRDefault="002227C8" w:rsidP="00335CCE">
      <w:pPr>
        <w:pStyle w:val="ListParagraph"/>
        <w:numPr>
          <w:ilvl w:val="0"/>
          <w:numId w:val="1"/>
        </w:numPr>
        <w:autoSpaceDE w:val="0"/>
        <w:autoSpaceDN w:val="0"/>
        <w:contextualSpacing/>
        <w:rPr>
          <w:rFonts w:ascii="Arial" w:hAnsi="Arial" w:cs="Arial"/>
          <w:lang w:val="fr-CA"/>
        </w:rPr>
      </w:pPr>
      <w:r>
        <w:rPr>
          <w:rFonts w:ascii="Arial" w:hAnsi="Arial" w:cs="Arial"/>
          <w:lang w:val="fr-CA"/>
        </w:rPr>
        <w:t>C</w:t>
      </w:r>
      <w:r w:rsidRPr="002227C8">
        <w:rPr>
          <w:rFonts w:ascii="Arial" w:hAnsi="Arial" w:cs="Arial"/>
          <w:lang w:val="fr-CA"/>
        </w:rPr>
        <w:t>onformément à la stratégie de l’établissement budgétaire 2021-22 à 2023-24 d’EDSC présentée au CGP le 4 mars</w:t>
      </w:r>
      <w:r>
        <w:rPr>
          <w:rFonts w:ascii="Arial" w:hAnsi="Arial" w:cs="Arial"/>
          <w:lang w:val="fr-CA"/>
        </w:rPr>
        <w:t xml:space="preserve"> 2021</w:t>
      </w:r>
      <w:r w:rsidRPr="002227C8">
        <w:rPr>
          <w:rFonts w:ascii="Arial" w:hAnsi="Arial" w:cs="Arial"/>
          <w:lang w:val="fr-CA"/>
        </w:rPr>
        <w:t xml:space="preserve">, une réduction de 2.45% a été appliquée aux budgets permanents des directions générales / régions afin de </w:t>
      </w:r>
      <w:r w:rsidRPr="002227C8">
        <w:rPr>
          <w:rFonts w:ascii="Arial" w:hAnsi="Arial" w:cs="Arial"/>
          <w:lang w:val="fr-CA"/>
        </w:rPr>
        <w:lastRenderedPageBreak/>
        <w:t>reconstituer la réserve ministérielle suite au financement de pressions permanentes. Pour 2021-2022, les budgets permanents ont été réduits mais ils ont été compensé par une augmentation équivalente au budget temporaire. La réduction permanente débute officiellement au cours de l’exercice 2022-2023. Cela doit être pris en considération pour les exercices de prévision pluriannuels à la période 6 et à la période 8.</w:t>
      </w:r>
    </w:p>
    <w:p w14:paraId="2A67C9EB" w14:textId="77777777" w:rsidR="003F63CD" w:rsidRPr="003F1788" w:rsidRDefault="003F63CD" w:rsidP="003F63CD">
      <w:pPr>
        <w:rPr>
          <w:lang w:val="fr-CA"/>
        </w:rPr>
      </w:pPr>
    </w:p>
    <w:p w14:paraId="6AB9FDE5" w14:textId="197D8B48" w:rsidR="003F63CD" w:rsidRPr="003F1788" w:rsidRDefault="003F63CD" w:rsidP="00E8661F">
      <w:pPr>
        <w:pStyle w:val="Heading2"/>
        <w:numPr>
          <w:ilvl w:val="1"/>
          <w:numId w:val="2"/>
        </w:numPr>
        <w:rPr>
          <w:lang w:val="fr-CA"/>
        </w:rPr>
      </w:pPr>
      <w:bookmarkStart w:id="5" w:name="_Toc389741831"/>
      <w:bookmarkStart w:id="6" w:name="_Toc513716489"/>
      <w:bookmarkStart w:id="7" w:name="_Toc72402500"/>
      <w:r w:rsidRPr="003F1788">
        <w:rPr>
          <w:lang w:val="fr-CA"/>
        </w:rPr>
        <w:t>Responsabilisation</w:t>
      </w:r>
      <w:bookmarkEnd w:id="5"/>
      <w:bookmarkEnd w:id="6"/>
      <w:bookmarkEnd w:id="7"/>
    </w:p>
    <w:p w14:paraId="7C4E2140" w14:textId="77777777" w:rsidR="003F63CD" w:rsidRPr="003F1788" w:rsidRDefault="003F63CD" w:rsidP="003F63CD">
      <w:pPr>
        <w:rPr>
          <w:lang w:val="fr-CA"/>
        </w:rPr>
      </w:pPr>
    </w:p>
    <w:p w14:paraId="5C5EA1B7" w14:textId="3AB64CBF" w:rsidR="003F63CD" w:rsidRPr="003F1788" w:rsidRDefault="00DD360F" w:rsidP="003F63CD">
      <w:pPr>
        <w:rPr>
          <w:rFonts w:cs="Arial"/>
          <w:lang w:val="fr-CA"/>
        </w:rPr>
      </w:pPr>
      <w:r>
        <w:rPr>
          <w:rFonts w:cs="Arial"/>
          <w:lang w:val="fr-CA"/>
        </w:rPr>
        <w:t xml:space="preserve">Les SMA </w:t>
      </w:r>
      <w:r w:rsidR="003F63CD" w:rsidRPr="003F1788">
        <w:rPr>
          <w:rFonts w:cs="Arial"/>
          <w:lang w:val="fr-CA"/>
        </w:rPr>
        <w:t>sont responsables de l’exactitude de leurs prévisions respectives</w:t>
      </w:r>
      <w:r>
        <w:rPr>
          <w:rFonts w:cs="Arial"/>
          <w:lang w:val="fr-CA"/>
        </w:rPr>
        <w:t>, ainsi que l’exactitudes des données dans l’Outils de prévision salarial</w:t>
      </w:r>
      <w:r w:rsidR="003F63CD" w:rsidRPr="003F1788">
        <w:rPr>
          <w:rFonts w:cs="Arial"/>
          <w:lang w:val="fr-CA"/>
        </w:rPr>
        <w:t xml:space="preserve"> </w:t>
      </w:r>
      <w:r w:rsidR="005856F9">
        <w:rPr>
          <w:rFonts w:cs="Arial"/>
          <w:lang w:val="fr-CA"/>
        </w:rPr>
        <w:t xml:space="preserve">(OPS) </w:t>
      </w:r>
      <w:r w:rsidR="003F63CD" w:rsidRPr="003F1788">
        <w:rPr>
          <w:rFonts w:cs="Arial"/>
          <w:lang w:val="fr-CA"/>
        </w:rPr>
        <w:t>et doivent attester qu’ils les ont soumises. De plus, les Conseillers en gestion financière (CGF) doivent confirmer l’exactitude et l’intégralité des renseignements financiers présentés, et assurer qu’une diligence raisonnable a été effectuée et que toutes les préoccupations et les problèmes ont été identifiés et documentés.</w:t>
      </w:r>
    </w:p>
    <w:p w14:paraId="356EC0EC" w14:textId="77777777" w:rsidR="003F63CD" w:rsidRPr="003F1788" w:rsidRDefault="003F63CD" w:rsidP="003F63CD">
      <w:pPr>
        <w:rPr>
          <w:lang w:val="fr-CA"/>
        </w:rPr>
      </w:pPr>
    </w:p>
    <w:p w14:paraId="74EBF699" w14:textId="77777777" w:rsidR="003F63CD" w:rsidRDefault="003F63CD" w:rsidP="003F63CD">
      <w:pPr>
        <w:rPr>
          <w:lang w:val="fr-CA"/>
        </w:rPr>
      </w:pPr>
      <w:r w:rsidRPr="003F1788">
        <w:rPr>
          <w:lang w:val="fr-CA"/>
        </w:rPr>
        <w:t xml:space="preserve">À </w:t>
      </w:r>
      <w:r w:rsidR="00176EB0">
        <w:rPr>
          <w:lang w:val="fr-CA"/>
        </w:rPr>
        <w:t>cette fin, les SMA</w:t>
      </w:r>
      <w:r w:rsidRPr="003F1788">
        <w:rPr>
          <w:lang w:val="fr-CA"/>
        </w:rPr>
        <w:t xml:space="preserve"> et les CGF doivent approuver les prévisions.  D’autre part, </w:t>
      </w:r>
      <w:r w:rsidR="00DD360F" w:rsidRPr="003F1788">
        <w:rPr>
          <w:lang w:val="fr-CA"/>
        </w:rPr>
        <w:t>si des</w:t>
      </w:r>
      <w:r w:rsidRPr="003F1788">
        <w:rPr>
          <w:lang w:val="fr-CA"/>
        </w:rPr>
        <w:t xml:space="preserve"> pressions financières sont soulevées, une étude de cas doit être fournie.</w:t>
      </w:r>
    </w:p>
    <w:p w14:paraId="1B6035C2" w14:textId="77777777" w:rsidR="00176EB0" w:rsidRDefault="00176EB0" w:rsidP="003F63CD">
      <w:pPr>
        <w:rPr>
          <w:lang w:val="fr-CA"/>
        </w:rPr>
      </w:pPr>
    </w:p>
    <w:p w14:paraId="21910CCE" w14:textId="263F38D1" w:rsidR="003F63CD" w:rsidRPr="002478EF" w:rsidRDefault="00176EB0" w:rsidP="006E6F63">
      <w:pPr>
        <w:pStyle w:val="NormalWeb"/>
        <w:spacing w:before="0" w:beforeAutospacing="0" w:after="0" w:afterAutospacing="0"/>
        <w:rPr>
          <w:lang w:val="fr-CA"/>
        </w:rPr>
      </w:pPr>
      <w:r>
        <w:rPr>
          <w:sz w:val="24"/>
          <w:szCs w:val="24"/>
          <w:lang w:val="fr-CA"/>
        </w:rPr>
        <w:t>De plus, les SMA</w:t>
      </w:r>
      <w:r w:rsidR="003F63CD" w:rsidRPr="00176EB0">
        <w:rPr>
          <w:sz w:val="24"/>
          <w:szCs w:val="24"/>
          <w:lang w:val="fr-CA"/>
        </w:rPr>
        <w:t xml:space="preserve"> seront chargés de </w:t>
      </w:r>
      <w:r w:rsidR="006E6F63">
        <w:rPr>
          <w:sz w:val="24"/>
          <w:szCs w:val="24"/>
          <w:lang w:val="fr-CA"/>
        </w:rPr>
        <w:t>f</w:t>
      </w:r>
      <w:r w:rsidR="003F63CD" w:rsidRPr="002478EF">
        <w:rPr>
          <w:sz w:val="24"/>
          <w:szCs w:val="24"/>
          <w:lang w:val="fr-CA"/>
        </w:rPr>
        <w:t xml:space="preserve">aire preuve </w:t>
      </w:r>
      <w:r w:rsidR="005856F9">
        <w:rPr>
          <w:sz w:val="24"/>
          <w:szCs w:val="24"/>
          <w:lang w:val="fr-CA"/>
        </w:rPr>
        <w:t xml:space="preserve">de </w:t>
      </w:r>
      <w:r w:rsidR="003F63CD" w:rsidRPr="002478EF">
        <w:rPr>
          <w:sz w:val="24"/>
          <w:szCs w:val="24"/>
          <w:lang w:val="fr-CA"/>
        </w:rPr>
        <w:t xml:space="preserve">diligence en s’assurant que leurs prévisions budgétaires individuelles (salariales et non-salariales) reposent sur une évaluation juste et réaliste </w:t>
      </w:r>
      <w:r w:rsidR="00FD2DAB">
        <w:rPr>
          <w:sz w:val="24"/>
          <w:szCs w:val="24"/>
          <w:lang w:val="fr-CA"/>
        </w:rPr>
        <w:t>d</w:t>
      </w:r>
      <w:r w:rsidR="003F63CD" w:rsidRPr="002478EF">
        <w:rPr>
          <w:sz w:val="24"/>
          <w:szCs w:val="24"/>
          <w:lang w:val="fr-CA"/>
        </w:rPr>
        <w:t xml:space="preserve">es plans actuels et futurs de leur organisation. </w:t>
      </w:r>
    </w:p>
    <w:p w14:paraId="54A50683" w14:textId="3C54B653" w:rsidR="003F63CD" w:rsidRPr="003F1788" w:rsidRDefault="003F63CD" w:rsidP="00E8661F">
      <w:pPr>
        <w:pStyle w:val="Heading2"/>
        <w:numPr>
          <w:ilvl w:val="1"/>
          <w:numId w:val="2"/>
        </w:numPr>
        <w:rPr>
          <w:lang w:val="fr-CA"/>
        </w:rPr>
      </w:pPr>
      <w:bookmarkStart w:id="8" w:name="_Toc513716490"/>
      <w:bookmarkStart w:id="9" w:name="_Toc72402501"/>
      <w:r w:rsidRPr="003F1788">
        <w:rPr>
          <w:lang w:val="fr-CA"/>
        </w:rPr>
        <w:t xml:space="preserve">Calendrier des prévisions du </w:t>
      </w:r>
      <w:r w:rsidR="005856F9">
        <w:rPr>
          <w:lang w:val="fr-CA"/>
        </w:rPr>
        <w:t>m</w:t>
      </w:r>
      <w:r w:rsidRPr="003F1788">
        <w:rPr>
          <w:lang w:val="fr-CA"/>
        </w:rPr>
        <w:t>inistère</w:t>
      </w:r>
      <w:bookmarkEnd w:id="8"/>
      <w:bookmarkEnd w:id="9"/>
    </w:p>
    <w:p w14:paraId="59F7BAF6" w14:textId="77777777" w:rsidR="003F63CD" w:rsidRPr="003F1788" w:rsidRDefault="003F63CD" w:rsidP="003F63CD">
      <w:pPr>
        <w:rPr>
          <w:lang w:val="fr-CA"/>
        </w:rPr>
      </w:pPr>
    </w:p>
    <w:p w14:paraId="0FCC5460" w14:textId="655A4D71" w:rsidR="003F63CD" w:rsidRPr="003F1788" w:rsidRDefault="00176EB0" w:rsidP="003F63CD">
      <w:pPr>
        <w:rPr>
          <w:lang w:val="fr-CA"/>
        </w:rPr>
      </w:pPr>
      <w:r>
        <w:rPr>
          <w:lang w:val="fr-CA"/>
        </w:rPr>
        <w:t>Pour l’exercice financier 20</w:t>
      </w:r>
      <w:r w:rsidR="00486FAA">
        <w:rPr>
          <w:lang w:val="fr-CA"/>
        </w:rPr>
        <w:t>2</w:t>
      </w:r>
      <w:r w:rsidR="005856F9">
        <w:rPr>
          <w:lang w:val="fr-CA"/>
        </w:rPr>
        <w:t>1</w:t>
      </w:r>
      <w:r>
        <w:rPr>
          <w:lang w:val="fr-CA"/>
        </w:rPr>
        <w:t>-20</w:t>
      </w:r>
      <w:r w:rsidR="00486FAA">
        <w:rPr>
          <w:lang w:val="fr-CA"/>
        </w:rPr>
        <w:t>2</w:t>
      </w:r>
      <w:r w:rsidR="005856F9">
        <w:rPr>
          <w:lang w:val="fr-CA"/>
        </w:rPr>
        <w:t>2</w:t>
      </w:r>
      <w:r w:rsidR="003F63CD" w:rsidRPr="00DB436F">
        <w:rPr>
          <w:lang w:val="fr-CA"/>
        </w:rPr>
        <w:t>, les</w:t>
      </w:r>
      <w:r w:rsidR="003F63CD" w:rsidRPr="003F1788">
        <w:rPr>
          <w:lang w:val="fr-CA"/>
        </w:rPr>
        <w:t xml:space="preserve"> exercices prévisionnels seront effectués pour les périodes 3, 6, 8 et 10 en ce qui concerne les budgets de fonds de fonctionnement et les fonds de programme pour l’année courante. Les prévisions pluriannuelles seront</w:t>
      </w:r>
      <w:r w:rsidR="003F63CD">
        <w:rPr>
          <w:lang w:val="fr-CA"/>
        </w:rPr>
        <w:t xml:space="preserve"> aussi exigées</w:t>
      </w:r>
      <w:r w:rsidR="003F63CD" w:rsidRPr="003F1788">
        <w:rPr>
          <w:lang w:val="fr-CA"/>
        </w:rPr>
        <w:t xml:space="preserve"> pour les périodes 6 et 8</w:t>
      </w:r>
      <w:r w:rsidR="003F63CD">
        <w:rPr>
          <w:lang w:val="fr-CA"/>
        </w:rPr>
        <w:t xml:space="preserve"> car ils sont le point de départ du prochain processus d’allocation initiale</w:t>
      </w:r>
      <w:r w:rsidR="003F63CD" w:rsidRPr="003F1788">
        <w:rPr>
          <w:lang w:val="fr-CA"/>
        </w:rPr>
        <w:t>.</w:t>
      </w:r>
    </w:p>
    <w:p w14:paraId="2CCD94A8" w14:textId="77777777" w:rsidR="003F63CD" w:rsidRPr="003F1788" w:rsidRDefault="003F63CD" w:rsidP="003F63CD">
      <w:pPr>
        <w:rPr>
          <w:lang w:val="fr-CA"/>
        </w:rPr>
      </w:pPr>
    </w:p>
    <w:p w14:paraId="65CCCA32" w14:textId="77777777" w:rsidR="003F63CD" w:rsidRPr="003F1788" w:rsidRDefault="003F63CD" w:rsidP="003F63CD">
      <w:pPr>
        <w:rPr>
          <w:lang w:val="fr-CA"/>
        </w:rPr>
      </w:pPr>
      <w:r w:rsidRPr="003F1788">
        <w:rPr>
          <w:lang w:val="fr-CA"/>
        </w:rPr>
        <w:t>Le calendrier des prévisions du Ministère (Annexe A) donne un aperçu de l’échéancier relatif à la préparation du Rapport financier ministériel (RFM).</w:t>
      </w:r>
      <w:bookmarkStart w:id="10" w:name="_Toc356388380"/>
      <w:r w:rsidRPr="003F1788">
        <w:rPr>
          <w:lang w:val="fr-CA"/>
        </w:rPr>
        <w:t xml:space="preserve"> De plus, les dates </w:t>
      </w:r>
      <w:r w:rsidR="00FD2DAB" w:rsidRPr="003F1788">
        <w:rPr>
          <w:lang w:val="fr-CA"/>
        </w:rPr>
        <w:t>butoir</w:t>
      </w:r>
      <w:r w:rsidR="00FD2DAB">
        <w:rPr>
          <w:lang w:val="fr-CA"/>
        </w:rPr>
        <w:t>s</w:t>
      </w:r>
      <w:r w:rsidRPr="003F1788">
        <w:rPr>
          <w:lang w:val="fr-CA"/>
        </w:rPr>
        <w:t xml:space="preserve"> établies et communiquées par les CGF, doivent être respectées pour que les résultats soient inclus dans la rétraction des données financières et ultimement, dans le RFM. </w:t>
      </w:r>
    </w:p>
    <w:p w14:paraId="7C75BFD8" w14:textId="77777777" w:rsidR="003F63CD" w:rsidRPr="003F1788" w:rsidRDefault="003F63CD" w:rsidP="003F63CD">
      <w:pPr>
        <w:rPr>
          <w:lang w:val="fr-CA"/>
        </w:rPr>
      </w:pPr>
    </w:p>
    <w:p w14:paraId="4C4DBFF3" w14:textId="33B5C877" w:rsidR="003F63CD" w:rsidRPr="003F1788" w:rsidRDefault="003F63CD" w:rsidP="00E8661F">
      <w:pPr>
        <w:pStyle w:val="Heading2"/>
        <w:numPr>
          <w:ilvl w:val="1"/>
          <w:numId w:val="2"/>
        </w:numPr>
        <w:rPr>
          <w:lang w:val="fr-CA"/>
        </w:rPr>
      </w:pPr>
      <w:bookmarkStart w:id="11" w:name="_Toc513716491"/>
      <w:bookmarkStart w:id="12" w:name="_Toc72402502"/>
      <w:r w:rsidRPr="003F1788">
        <w:rPr>
          <w:lang w:val="fr-CA"/>
        </w:rPr>
        <w:t>Prévisions relatives aux frais administratifs du Régime de pensions du Canada</w:t>
      </w:r>
      <w:bookmarkEnd w:id="11"/>
      <w:bookmarkEnd w:id="12"/>
    </w:p>
    <w:p w14:paraId="5DC99821" w14:textId="77777777" w:rsidR="003F63CD" w:rsidRPr="003F1788" w:rsidRDefault="003F63CD" w:rsidP="003F63CD">
      <w:pPr>
        <w:rPr>
          <w:lang w:val="fr-CA"/>
        </w:rPr>
      </w:pPr>
    </w:p>
    <w:p w14:paraId="19DE1570" w14:textId="5459C3B0" w:rsidR="003F63CD" w:rsidRPr="003F1788" w:rsidRDefault="003F63CD" w:rsidP="003F63CD">
      <w:pPr>
        <w:rPr>
          <w:lang w:val="fr-CA"/>
        </w:rPr>
      </w:pPr>
      <w:r w:rsidRPr="003F1788">
        <w:rPr>
          <w:lang w:val="fr-CA"/>
        </w:rPr>
        <w:t>Afin d’être en mesure de séparer les prévisions ministérielles globales selon la provenance des fonds (c.</w:t>
      </w:r>
      <w:r w:rsidRPr="003F1788">
        <w:rPr>
          <w:lang w:val="fr-CA"/>
        </w:rPr>
        <w:noBreakHyphen/>
        <w:t>à</w:t>
      </w:r>
      <w:r w:rsidRPr="003F1788">
        <w:rPr>
          <w:lang w:val="fr-CA"/>
        </w:rPr>
        <w:noBreakHyphen/>
        <w:t>d. les fonds du Trésor, le compte des opérations de l’</w:t>
      </w:r>
      <w:r w:rsidR="005856F9">
        <w:rPr>
          <w:lang w:val="fr-CA"/>
        </w:rPr>
        <w:t>A</w:t>
      </w:r>
      <w:r w:rsidRPr="003F1788">
        <w:rPr>
          <w:lang w:val="fr-CA"/>
        </w:rPr>
        <w:t xml:space="preserve">ssurance-emploi [AE] et le Régime de pensions du Canada [RPC]) et de s’assurer </w:t>
      </w:r>
      <w:r w:rsidRPr="003F1788">
        <w:rPr>
          <w:lang w:val="fr-CA"/>
        </w:rPr>
        <w:lastRenderedPageBreak/>
        <w:t>que le Ministère respecte les autorités qui lui sont attribuées en matière de financement, des prévisions relatives aux frais administratifs du RPC sont requises. Ces prévisions sont nécessaires pour les exercices prévisionnels des périodes 6, 8 et 10.</w:t>
      </w:r>
      <w:r>
        <w:rPr>
          <w:lang w:val="fr-CA"/>
        </w:rPr>
        <w:t xml:space="preserve"> Des directions supplémentaires seront fournies aux CGF concernant cet exercice avant la période 6.</w:t>
      </w:r>
      <w:r w:rsidRPr="003F1788">
        <w:rPr>
          <w:lang w:val="fr-CA"/>
        </w:rPr>
        <w:t xml:space="preserve"> </w:t>
      </w:r>
    </w:p>
    <w:p w14:paraId="77E92F4B" w14:textId="67B45D84" w:rsidR="003F63CD" w:rsidRPr="003F1788" w:rsidRDefault="003F63CD" w:rsidP="00E8661F">
      <w:pPr>
        <w:pStyle w:val="Heading1"/>
        <w:numPr>
          <w:ilvl w:val="0"/>
          <w:numId w:val="2"/>
        </w:numPr>
        <w:rPr>
          <w:lang w:val="fr-CA"/>
        </w:rPr>
      </w:pPr>
      <w:bookmarkStart w:id="13" w:name="_Toc513716492"/>
      <w:bookmarkStart w:id="14" w:name="_Toc72402503"/>
      <w:bookmarkEnd w:id="10"/>
      <w:r w:rsidRPr="003F1788">
        <w:rPr>
          <w:lang w:val="fr-CA"/>
        </w:rPr>
        <w:t>Processus prévisionnel</w:t>
      </w:r>
      <w:bookmarkEnd w:id="13"/>
      <w:bookmarkEnd w:id="14"/>
    </w:p>
    <w:p w14:paraId="47C846A2" w14:textId="77777777" w:rsidR="003F63CD" w:rsidRPr="003F1788" w:rsidRDefault="003F63CD" w:rsidP="003F63CD">
      <w:pPr>
        <w:rPr>
          <w:lang w:val="fr-CA"/>
        </w:rPr>
      </w:pPr>
    </w:p>
    <w:p w14:paraId="1741567D" w14:textId="55662AD6" w:rsidR="005856F9" w:rsidRDefault="003F63CD" w:rsidP="003F63CD">
      <w:pPr>
        <w:rPr>
          <w:rFonts w:cs="Arial"/>
          <w:bCs/>
          <w:lang w:val="fr-CA"/>
        </w:rPr>
      </w:pPr>
      <w:r>
        <w:rPr>
          <w:rFonts w:cs="Arial"/>
          <w:bCs/>
          <w:lang w:val="fr-CA"/>
        </w:rPr>
        <w:t>L</w:t>
      </w:r>
      <w:r w:rsidRPr="003F1788">
        <w:rPr>
          <w:rFonts w:cs="Arial"/>
          <w:bCs/>
          <w:lang w:val="fr-CA"/>
        </w:rPr>
        <w:t>es prévisions devront être développées et consolidées en utilisant les outils de prévisions de maSGE</w:t>
      </w:r>
      <w:r>
        <w:rPr>
          <w:rFonts w:cs="Arial"/>
          <w:bCs/>
          <w:lang w:val="fr-CA"/>
        </w:rPr>
        <w:t xml:space="preserve"> (SAP)</w:t>
      </w:r>
      <w:r w:rsidR="005856F9">
        <w:rPr>
          <w:rFonts w:cs="Arial"/>
          <w:bCs/>
          <w:lang w:val="fr-CA"/>
        </w:rPr>
        <w:t> :</w:t>
      </w:r>
      <w:r w:rsidRPr="003F1788">
        <w:rPr>
          <w:rFonts w:cs="Arial"/>
          <w:bCs/>
          <w:lang w:val="fr-CA"/>
        </w:rPr>
        <w:t xml:space="preserve"> </w:t>
      </w:r>
    </w:p>
    <w:p w14:paraId="057AE019" w14:textId="77777777" w:rsidR="005856F9" w:rsidRDefault="005856F9" w:rsidP="003F63CD">
      <w:pPr>
        <w:rPr>
          <w:rFonts w:cs="Arial"/>
          <w:bCs/>
          <w:lang w:val="fr-CA"/>
        </w:rPr>
      </w:pPr>
    </w:p>
    <w:p w14:paraId="2D24F31A" w14:textId="4B863B38" w:rsidR="005856F9" w:rsidRDefault="003F63CD" w:rsidP="009E576A">
      <w:pPr>
        <w:pStyle w:val="ListParagraph"/>
        <w:numPr>
          <w:ilvl w:val="0"/>
          <w:numId w:val="33"/>
        </w:numPr>
        <w:rPr>
          <w:rFonts w:asciiTheme="minorHAnsi" w:hAnsiTheme="minorHAnsi" w:cstheme="minorHAnsi"/>
          <w:bCs/>
          <w:lang w:val="fr-CA"/>
        </w:rPr>
      </w:pPr>
      <w:r w:rsidRPr="009E576A">
        <w:rPr>
          <w:rFonts w:asciiTheme="minorHAnsi" w:hAnsiTheme="minorHAnsi" w:cstheme="minorHAnsi"/>
          <w:bCs/>
          <w:lang w:val="fr-CA"/>
        </w:rPr>
        <w:t xml:space="preserve">L’Outil de prévisions salariales (OPS) pour la mise à jour des prévisions </w:t>
      </w:r>
      <w:r w:rsidR="00176EB0" w:rsidRPr="009E576A">
        <w:rPr>
          <w:rFonts w:asciiTheme="minorHAnsi" w:hAnsiTheme="minorHAnsi" w:cstheme="minorHAnsi"/>
          <w:bCs/>
          <w:lang w:val="fr-CA"/>
        </w:rPr>
        <w:t>salariales</w:t>
      </w:r>
      <w:r w:rsidR="005856F9">
        <w:rPr>
          <w:rFonts w:asciiTheme="minorHAnsi" w:hAnsiTheme="minorHAnsi" w:cstheme="minorHAnsi"/>
          <w:bCs/>
          <w:lang w:val="fr-CA"/>
        </w:rPr>
        <w:t>.</w:t>
      </w:r>
      <w:r w:rsidRPr="009E576A">
        <w:rPr>
          <w:rFonts w:asciiTheme="minorHAnsi" w:hAnsiTheme="minorHAnsi" w:cstheme="minorHAnsi"/>
          <w:bCs/>
          <w:lang w:val="fr-CA"/>
        </w:rPr>
        <w:t xml:space="preserve"> </w:t>
      </w:r>
    </w:p>
    <w:p w14:paraId="1E4B40F4" w14:textId="779AA743" w:rsidR="005856F9" w:rsidRDefault="005856F9" w:rsidP="009E576A">
      <w:pPr>
        <w:pStyle w:val="ListParagraph"/>
        <w:numPr>
          <w:ilvl w:val="0"/>
          <w:numId w:val="33"/>
        </w:numPr>
        <w:rPr>
          <w:rFonts w:asciiTheme="minorHAnsi" w:hAnsiTheme="minorHAnsi" w:cstheme="minorHAnsi"/>
          <w:bCs/>
          <w:lang w:val="fr-CA"/>
        </w:rPr>
      </w:pPr>
      <w:r>
        <w:rPr>
          <w:rFonts w:asciiTheme="minorHAnsi" w:hAnsiTheme="minorHAnsi" w:cstheme="minorHAnsi"/>
          <w:bCs/>
          <w:lang w:val="fr-CA"/>
        </w:rPr>
        <w:t>L</w:t>
      </w:r>
      <w:r w:rsidR="003F63CD" w:rsidRPr="009E576A">
        <w:rPr>
          <w:rFonts w:asciiTheme="minorHAnsi" w:hAnsiTheme="minorHAnsi" w:cstheme="minorHAnsi"/>
          <w:bCs/>
          <w:lang w:val="fr-CA"/>
        </w:rPr>
        <w:t>’outil de prévisions non-salariales pour les prévisions non</w:t>
      </w:r>
      <w:r w:rsidR="00CB5D5C" w:rsidRPr="009E576A">
        <w:rPr>
          <w:rFonts w:asciiTheme="minorHAnsi" w:hAnsiTheme="minorHAnsi" w:cstheme="minorHAnsi"/>
          <w:bCs/>
          <w:lang w:val="fr-CA"/>
        </w:rPr>
        <w:t>-</w:t>
      </w:r>
      <w:r w:rsidR="00176EB0" w:rsidRPr="009E576A">
        <w:rPr>
          <w:rFonts w:asciiTheme="minorHAnsi" w:hAnsiTheme="minorHAnsi" w:cstheme="minorHAnsi"/>
          <w:bCs/>
          <w:lang w:val="fr-CA"/>
        </w:rPr>
        <w:t>salariales</w:t>
      </w:r>
      <w:r>
        <w:rPr>
          <w:rFonts w:asciiTheme="minorHAnsi" w:hAnsiTheme="minorHAnsi" w:cstheme="minorHAnsi"/>
          <w:bCs/>
          <w:lang w:val="fr-CA"/>
        </w:rPr>
        <w:t>.</w:t>
      </w:r>
    </w:p>
    <w:p w14:paraId="694A8E64" w14:textId="09788C7E" w:rsidR="003F63CD" w:rsidRPr="009E576A" w:rsidRDefault="005856F9" w:rsidP="009E576A">
      <w:pPr>
        <w:pStyle w:val="ListParagraph"/>
        <w:numPr>
          <w:ilvl w:val="0"/>
          <w:numId w:val="33"/>
        </w:numPr>
        <w:rPr>
          <w:rFonts w:asciiTheme="minorHAnsi" w:hAnsiTheme="minorHAnsi" w:cstheme="minorHAnsi"/>
          <w:bCs/>
          <w:lang w:val="fr-CA"/>
        </w:rPr>
      </w:pPr>
      <w:r>
        <w:rPr>
          <w:rFonts w:asciiTheme="minorHAnsi" w:hAnsiTheme="minorHAnsi" w:cstheme="minorHAnsi"/>
          <w:bCs/>
          <w:lang w:val="fr-CA"/>
        </w:rPr>
        <w:t>L</w:t>
      </w:r>
      <w:r w:rsidR="003F63CD" w:rsidRPr="009E576A">
        <w:rPr>
          <w:rFonts w:asciiTheme="minorHAnsi" w:hAnsiTheme="minorHAnsi" w:cstheme="minorHAnsi"/>
          <w:bCs/>
          <w:lang w:val="fr-CA"/>
        </w:rPr>
        <w:t>e rapport Surplus/Déficit dans l’outil sur les renseignements opérationnels (BI) pour regrouper en un seul rapport les prévisions salariales et non</w:t>
      </w:r>
      <w:r w:rsidR="00CB5D5C" w:rsidRPr="009E576A">
        <w:rPr>
          <w:rFonts w:asciiTheme="minorHAnsi" w:hAnsiTheme="minorHAnsi" w:cstheme="minorHAnsi"/>
          <w:bCs/>
          <w:lang w:val="fr-CA"/>
        </w:rPr>
        <w:t>-</w:t>
      </w:r>
      <w:r w:rsidR="003F63CD" w:rsidRPr="009E576A">
        <w:rPr>
          <w:rFonts w:asciiTheme="minorHAnsi" w:hAnsiTheme="minorHAnsi" w:cstheme="minorHAnsi"/>
          <w:bCs/>
          <w:lang w:val="fr-CA"/>
        </w:rPr>
        <w:t xml:space="preserve"> salariales et soumettre l’explication de l’écart approuvée par le </w:t>
      </w:r>
      <w:r w:rsidR="004A2BD2" w:rsidRPr="009E576A">
        <w:rPr>
          <w:rFonts w:asciiTheme="minorHAnsi" w:hAnsiTheme="minorHAnsi" w:cstheme="minorHAnsi"/>
          <w:bCs/>
          <w:lang w:val="fr-CA"/>
        </w:rPr>
        <w:t>SMA</w:t>
      </w:r>
      <w:r w:rsidR="003F63CD" w:rsidRPr="009E576A">
        <w:rPr>
          <w:rFonts w:asciiTheme="minorHAnsi" w:hAnsiTheme="minorHAnsi" w:cstheme="minorHAnsi"/>
          <w:bCs/>
          <w:lang w:val="fr-CA"/>
        </w:rPr>
        <w:t xml:space="preserve">. </w:t>
      </w:r>
    </w:p>
    <w:p w14:paraId="6C456E7D" w14:textId="77777777" w:rsidR="003F63CD" w:rsidRPr="003F1788" w:rsidRDefault="003F63CD" w:rsidP="003F63CD">
      <w:pPr>
        <w:rPr>
          <w:rFonts w:cs="Arial"/>
          <w:bCs/>
          <w:lang w:val="fr-CA"/>
        </w:rPr>
      </w:pPr>
    </w:p>
    <w:p w14:paraId="3EAC9B49" w14:textId="094DA5CE" w:rsidR="003F63CD" w:rsidRPr="003F1788" w:rsidRDefault="003F63CD" w:rsidP="003F63CD">
      <w:pPr>
        <w:rPr>
          <w:rFonts w:cs="Arial"/>
          <w:bCs/>
          <w:lang w:val="fr-CA"/>
        </w:rPr>
      </w:pPr>
      <w:r>
        <w:rPr>
          <w:rFonts w:cs="Arial"/>
          <w:bCs/>
          <w:lang w:val="fr-CA"/>
        </w:rPr>
        <w:t xml:space="preserve">De plus, une </w:t>
      </w:r>
      <w:r w:rsidRPr="003F1788">
        <w:rPr>
          <w:rFonts w:cs="Arial"/>
          <w:bCs/>
          <w:lang w:val="fr-CA"/>
        </w:rPr>
        <w:t>analyse financière pluriannuelle est requise pour assurer que les plans de dotation soient alignés avec les niveaux de référence budgétaire futur</w:t>
      </w:r>
      <w:r w:rsidR="005D5146">
        <w:rPr>
          <w:rFonts w:cs="Arial"/>
          <w:bCs/>
          <w:lang w:val="fr-CA"/>
        </w:rPr>
        <w:t>s</w:t>
      </w:r>
      <w:r w:rsidRPr="003F1788">
        <w:rPr>
          <w:rFonts w:cs="Arial"/>
          <w:bCs/>
          <w:lang w:val="fr-CA"/>
        </w:rPr>
        <w:t xml:space="preserve"> et pour assurer une saine planification à long terme. De ce fait, des prévisions pluriannuelles seront requises et incluses avec les exercices de prévisions financières pour les périodes 6 et 8. Des gabarits spécifiques seront envoyés aux CFG</w:t>
      </w:r>
      <w:r>
        <w:rPr>
          <w:rFonts w:cs="Arial"/>
          <w:bCs/>
          <w:lang w:val="fr-CA"/>
        </w:rPr>
        <w:t>, au début de ces périodes</w:t>
      </w:r>
      <w:r w:rsidR="005D5146">
        <w:rPr>
          <w:rFonts w:cs="Arial"/>
          <w:bCs/>
          <w:lang w:val="fr-CA"/>
        </w:rPr>
        <w:t>,</w:t>
      </w:r>
      <w:r w:rsidRPr="003F1788">
        <w:rPr>
          <w:rFonts w:cs="Arial"/>
          <w:bCs/>
          <w:lang w:val="fr-CA"/>
        </w:rPr>
        <w:t xml:space="preserve"> </w:t>
      </w:r>
      <w:r w:rsidR="00176EB0">
        <w:rPr>
          <w:rFonts w:cs="Arial"/>
          <w:bCs/>
          <w:lang w:val="fr-CA"/>
        </w:rPr>
        <w:t xml:space="preserve">et doivent être complétés et soumis </w:t>
      </w:r>
      <w:r w:rsidR="00C12C9E">
        <w:rPr>
          <w:rFonts w:cs="Arial"/>
          <w:bCs/>
          <w:lang w:val="fr-CA"/>
        </w:rPr>
        <w:t>à</w:t>
      </w:r>
      <w:r w:rsidR="00176EB0">
        <w:rPr>
          <w:rFonts w:cs="Arial"/>
          <w:bCs/>
          <w:lang w:val="fr-CA"/>
        </w:rPr>
        <w:t xml:space="preserve"> la GRM. </w:t>
      </w:r>
    </w:p>
    <w:p w14:paraId="7ECE0C51" w14:textId="77777777" w:rsidR="003F63CD" w:rsidRPr="003F1788" w:rsidRDefault="003F63CD" w:rsidP="003F63CD">
      <w:pPr>
        <w:rPr>
          <w:rFonts w:cs="Arial"/>
          <w:bCs/>
          <w:lang w:val="fr-CA"/>
        </w:rPr>
      </w:pPr>
    </w:p>
    <w:p w14:paraId="41BB8699" w14:textId="2FF587FE" w:rsidR="003F63CD" w:rsidRDefault="003F63CD" w:rsidP="003F63CD">
      <w:pPr>
        <w:rPr>
          <w:rFonts w:cs="Arial"/>
          <w:bCs/>
          <w:lang w:val="fr-CA"/>
        </w:rPr>
      </w:pPr>
      <w:r w:rsidRPr="003F1788">
        <w:rPr>
          <w:rFonts w:cs="Arial"/>
          <w:bCs/>
          <w:lang w:val="fr-CA"/>
        </w:rPr>
        <w:t>Les renseignements pluriannuels de l’OPS devraient être maintenus à jour puisqu’il</w:t>
      </w:r>
      <w:r>
        <w:rPr>
          <w:rFonts w:cs="Arial"/>
          <w:bCs/>
          <w:lang w:val="fr-CA"/>
        </w:rPr>
        <w:t xml:space="preserve">s </w:t>
      </w:r>
      <w:r w:rsidR="005D5146">
        <w:rPr>
          <w:rFonts w:cs="Arial"/>
          <w:bCs/>
          <w:lang w:val="fr-CA"/>
        </w:rPr>
        <w:t>sont</w:t>
      </w:r>
      <w:r w:rsidRPr="003F1788">
        <w:rPr>
          <w:rFonts w:cs="Arial"/>
          <w:bCs/>
          <w:lang w:val="fr-CA"/>
        </w:rPr>
        <w:t xml:space="preserve"> utilisé</w:t>
      </w:r>
      <w:r>
        <w:rPr>
          <w:rFonts w:cs="Arial"/>
          <w:bCs/>
          <w:lang w:val="fr-CA"/>
        </w:rPr>
        <w:t>s</w:t>
      </w:r>
      <w:r w:rsidRPr="003F1788">
        <w:rPr>
          <w:rFonts w:cs="Arial"/>
          <w:bCs/>
          <w:lang w:val="fr-CA"/>
        </w:rPr>
        <w:t xml:space="preserve"> comme point de départ pour établir les prévisions de</w:t>
      </w:r>
      <w:r w:rsidR="00C12C9E">
        <w:rPr>
          <w:rFonts w:cs="Arial"/>
          <w:bCs/>
          <w:lang w:val="fr-CA"/>
        </w:rPr>
        <w:t xml:space="preserve">s </w:t>
      </w:r>
      <w:r w:rsidRPr="003F1788">
        <w:rPr>
          <w:rFonts w:cs="Arial"/>
          <w:bCs/>
          <w:lang w:val="fr-CA"/>
        </w:rPr>
        <w:t>année</w:t>
      </w:r>
      <w:r w:rsidR="00C12C9E">
        <w:rPr>
          <w:rFonts w:cs="Arial"/>
          <w:bCs/>
          <w:lang w:val="fr-CA"/>
        </w:rPr>
        <w:t>s</w:t>
      </w:r>
      <w:r w:rsidRPr="003F1788">
        <w:rPr>
          <w:rFonts w:cs="Arial"/>
          <w:bCs/>
          <w:lang w:val="fr-CA"/>
        </w:rPr>
        <w:t xml:space="preserve"> future</w:t>
      </w:r>
      <w:r w:rsidR="00C12C9E">
        <w:rPr>
          <w:rFonts w:cs="Arial"/>
          <w:bCs/>
          <w:lang w:val="fr-CA"/>
        </w:rPr>
        <w:t>s</w:t>
      </w:r>
      <w:r w:rsidRPr="003F1788">
        <w:rPr>
          <w:rFonts w:cs="Arial"/>
          <w:bCs/>
          <w:lang w:val="fr-CA"/>
        </w:rPr>
        <w:t xml:space="preserve">. L’information additionnelle qui n’a pas encore été saisie dans l’OPS doit aussi être prise en considération afin d’ajuster l’OPS en conséquence. </w:t>
      </w:r>
    </w:p>
    <w:p w14:paraId="52276922" w14:textId="796ED98A" w:rsidR="003F63CD" w:rsidRDefault="00C12C9E" w:rsidP="003F63CD">
      <w:pPr>
        <w:spacing w:before="240"/>
        <w:rPr>
          <w:bCs/>
          <w:lang w:val="fr-CA"/>
        </w:rPr>
      </w:pPr>
      <w:r>
        <w:rPr>
          <w:bCs/>
          <w:lang w:val="fr-CA"/>
        </w:rPr>
        <w:t xml:space="preserve">Les renseignements de F et </w:t>
      </w:r>
      <w:r w:rsidR="003F63CD" w:rsidRPr="00151D6C">
        <w:rPr>
          <w:bCs/>
          <w:lang w:val="fr-CA"/>
        </w:rPr>
        <w:t>E tels que les engagements et les dép</w:t>
      </w:r>
      <w:r w:rsidR="003F63CD">
        <w:rPr>
          <w:bCs/>
          <w:lang w:val="fr-CA"/>
        </w:rPr>
        <w:t>enses devraient aussi être</w:t>
      </w:r>
      <w:r w:rsidR="003F63CD" w:rsidRPr="00151D6C">
        <w:rPr>
          <w:bCs/>
          <w:lang w:val="fr-CA"/>
        </w:rPr>
        <w:t xml:space="preserve"> maintenues à jour, vérifiés et, au besoin, corrigés en temps opportun (c.</w:t>
      </w:r>
      <w:r w:rsidR="003F63CD" w:rsidRPr="00151D6C">
        <w:rPr>
          <w:bCs/>
          <w:lang w:val="fr-CA"/>
        </w:rPr>
        <w:noBreakHyphen/>
        <w:t>à</w:t>
      </w:r>
      <w:r w:rsidR="003F63CD" w:rsidRPr="00151D6C">
        <w:rPr>
          <w:bCs/>
          <w:lang w:val="fr-CA"/>
        </w:rPr>
        <w:noBreakHyphen/>
        <w:t>d. pièces de journal, désengagements, etc.)</w:t>
      </w:r>
      <w:r w:rsidR="003F63CD">
        <w:rPr>
          <w:bCs/>
          <w:lang w:val="fr-CA"/>
        </w:rPr>
        <w:t xml:space="preserve"> selon les besoins</w:t>
      </w:r>
      <w:r w:rsidR="003F63CD" w:rsidRPr="00151D6C">
        <w:rPr>
          <w:bCs/>
          <w:lang w:val="fr-CA"/>
        </w:rPr>
        <w:t xml:space="preserve">. </w:t>
      </w:r>
      <w:r w:rsidR="003F63CD" w:rsidRPr="00DE222D">
        <w:rPr>
          <w:b/>
          <w:bCs/>
          <w:u w:val="single"/>
          <w:lang w:val="fr-CA"/>
        </w:rPr>
        <w:t>Ceci doit se faire de façon continue</w:t>
      </w:r>
      <w:r>
        <w:rPr>
          <w:bCs/>
          <w:lang w:val="fr-CA"/>
        </w:rPr>
        <w:t xml:space="preserve"> puisque les engagements F et </w:t>
      </w:r>
      <w:r w:rsidR="003F63CD" w:rsidRPr="00151D6C">
        <w:rPr>
          <w:bCs/>
          <w:lang w:val="fr-CA"/>
        </w:rPr>
        <w:t xml:space="preserve">E réduisent le solde disponible et s’ils ne sont pas à jour, </w:t>
      </w:r>
      <w:r w:rsidR="005D5146">
        <w:rPr>
          <w:bCs/>
          <w:lang w:val="fr-CA"/>
        </w:rPr>
        <w:t>cela peut</w:t>
      </w:r>
      <w:r w:rsidR="003F63CD" w:rsidRPr="00151D6C">
        <w:rPr>
          <w:bCs/>
          <w:lang w:val="fr-CA"/>
        </w:rPr>
        <w:t xml:space="preserve"> créer des problèmes de disponibi</w:t>
      </w:r>
      <w:r>
        <w:rPr>
          <w:bCs/>
          <w:lang w:val="fr-CA"/>
        </w:rPr>
        <w:t>lités de fonds en cours d’année</w:t>
      </w:r>
      <w:r w:rsidR="003F63CD" w:rsidRPr="00151D6C">
        <w:rPr>
          <w:bCs/>
          <w:lang w:val="fr-CA"/>
        </w:rPr>
        <w:t xml:space="preserve"> et </w:t>
      </w:r>
      <w:r w:rsidR="003F63CD">
        <w:rPr>
          <w:bCs/>
          <w:lang w:val="fr-CA"/>
        </w:rPr>
        <w:t>particulièrement</w:t>
      </w:r>
      <w:r w:rsidR="003F63CD" w:rsidRPr="00151D6C">
        <w:rPr>
          <w:bCs/>
          <w:lang w:val="fr-CA"/>
        </w:rPr>
        <w:t xml:space="preserve"> à la fin d’année.</w:t>
      </w:r>
    </w:p>
    <w:p w14:paraId="4CF9171D" w14:textId="77777777" w:rsidR="00AD3392" w:rsidRPr="003F1788" w:rsidRDefault="00AD3392" w:rsidP="003F63CD">
      <w:pPr>
        <w:spacing w:before="240"/>
        <w:rPr>
          <w:bCs/>
          <w:lang w:val="fr-CA"/>
        </w:rPr>
      </w:pPr>
      <w:r w:rsidRPr="00AD3392">
        <w:rPr>
          <w:bCs/>
          <w:lang w:val="fr-CA"/>
        </w:rPr>
        <w:t>Les sections suivantes présentent les principales étapes du processus de prévision.</w:t>
      </w:r>
    </w:p>
    <w:p w14:paraId="0AF8A49B" w14:textId="77777777" w:rsidR="003F63CD" w:rsidRPr="003F1788" w:rsidRDefault="003F63CD" w:rsidP="003F63CD">
      <w:pPr>
        <w:rPr>
          <w:rFonts w:cs="Arial"/>
          <w:bCs/>
          <w:lang w:val="fr-CA"/>
        </w:rPr>
      </w:pPr>
    </w:p>
    <w:p w14:paraId="7FCF8574" w14:textId="0415F440" w:rsidR="003F63CD" w:rsidRPr="003F1788" w:rsidRDefault="00DA19C5" w:rsidP="00E8661F">
      <w:pPr>
        <w:pStyle w:val="Heading2"/>
        <w:numPr>
          <w:ilvl w:val="1"/>
          <w:numId w:val="2"/>
        </w:numPr>
        <w:rPr>
          <w:lang w:val="fr-CA"/>
        </w:rPr>
      </w:pPr>
      <w:bookmarkStart w:id="15" w:name="_Toc72402504"/>
      <w:r>
        <w:rPr>
          <w:lang w:val="fr-CA"/>
        </w:rPr>
        <w:t>Lancement du processus de prévision</w:t>
      </w:r>
      <w:bookmarkEnd w:id="15"/>
    </w:p>
    <w:p w14:paraId="573FA75A" w14:textId="77777777" w:rsidR="003F63CD" w:rsidRPr="003F1788" w:rsidRDefault="003F63CD" w:rsidP="003F63CD">
      <w:pPr>
        <w:rPr>
          <w:lang w:val="fr-CA"/>
        </w:rPr>
      </w:pPr>
    </w:p>
    <w:p w14:paraId="40041D68" w14:textId="77777777" w:rsidR="003F63CD" w:rsidRPr="003F1788" w:rsidRDefault="003F63CD" w:rsidP="003F63CD">
      <w:pPr>
        <w:rPr>
          <w:lang w:val="fr-CA"/>
        </w:rPr>
      </w:pPr>
      <w:r w:rsidRPr="003F1788">
        <w:rPr>
          <w:lang w:val="fr-CA"/>
        </w:rPr>
        <w:t>La Gestion des ress</w:t>
      </w:r>
      <w:r>
        <w:rPr>
          <w:lang w:val="fr-CA"/>
        </w:rPr>
        <w:t>ources ministérielles (GRM)</w:t>
      </w:r>
      <w:r w:rsidRPr="003F1788">
        <w:rPr>
          <w:lang w:val="fr-CA"/>
        </w:rPr>
        <w:t xml:space="preserve"> prépare le</w:t>
      </w:r>
      <w:r w:rsidR="00DA19C5">
        <w:rPr>
          <w:lang w:val="fr-CA"/>
        </w:rPr>
        <w:t xml:space="preserve"> processus</w:t>
      </w:r>
      <w:r>
        <w:rPr>
          <w:lang w:val="fr-CA"/>
        </w:rPr>
        <w:t xml:space="preserve"> prévisionnel en suivant l</w:t>
      </w:r>
      <w:r w:rsidRPr="003F1788">
        <w:rPr>
          <w:lang w:val="fr-CA"/>
        </w:rPr>
        <w:t>es étapes</w:t>
      </w:r>
      <w:r>
        <w:rPr>
          <w:lang w:val="fr-CA"/>
        </w:rPr>
        <w:t xml:space="preserve"> suivantes</w:t>
      </w:r>
      <w:r w:rsidRPr="003F1788">
        <w:rPr>
          <w:lang w:val="fr-CA"/>
        </w:rPr>
        <w:t> :</w:t>
      </w:r>
    </w:p>
    <w:p w14:paraId="78E90654" w14:textId="77777777" w:rsidR="003F63CD" w:rsidRPr="003F1788" w:rsidRDefault="003F63CD" w:rsidP="003F63CD">
      <w:pPr>
        <w:rPr>
          <w:lang w:val="fr-CA"/>
        </w:rPr>
      </w:pPr>
    </w:p>
    <w:p w14:paraId="1EA4C5C5" w14:textId="08C6AA41" w:rsidR="003F63CD" w:rsidRPr="00DA19C5" w:rsidRDefault="003F63CD" w:rsidP="003F63CD">
      <w:pPr>
        <w:pStyle w:val="ListParagraph"/>
        <w:numPr>
          <w:ilvl w:val="0"/>
          <w:numId w:val="3"/>
        </w:numPr>
        <w:contextualSpacing/>
        <w:rPr>
          <w:rFonts w:asciiTheme="minorHAnsi" w:hAnsiTheme="minorHAnsi" w:cstheme="minorHAnsi"/>
          <w:lang w:val="fr-CA"/>
        </w:rPr>
      </w:pPr>
      <w:r w:rsidRPr="00DA19C5">
        <w:rPr>
          <w:rFonts w:asciiTheme="minorHAnsi" w:hAnsiTheme="minorHAnsi" w:cstheme="minorHAnsi"/>
          <w:lang w:val="fr-CA"/>
        </w:rPr>
        <w:t>L</w:t>
      </w:r>
      <w:r w:rsidR="005D5146">
        <w:rPr>
          <w:rFonts w:asciiTheme="minorHAnsi" w:hAnsiTheme="minorHAnsi" w:cstheme="minorHAnsi"/>
          <w:lang w:val="fr-CA"/>
        </w:rPr>
        <w:t>a D</w:t>
      </w:r>
      <w:r w:rsidRPr="00DA19C5">
        <w:rPr>
          <w:rFonts w:asciiTheme="minorHAnsi" w:hAnsiTheme="minorHAnsi" w:cstheme="minorHAnsi"/>
          <w:lang w:val="fr-CA"/>
        </w:rPr>
        <w:t>irigeant</w:t>
      </w:r>
      <w:r w:rsidR="005D5146">
        <w:rPr>
          <w:rFonts w:asciiTheme="minorHAnsi" w:hAnsiTheme="minorHAnsi" w:cstheme="minorHAnsi"/>
          <w:lang w:val="fr-CA"/>
        </w:rPr>
        <w:t>e</w:t>
      </w:r>
      <w:r w:rsidRPr="00DA19C5">
        <w:rPr>
          <w:rFonts w:asciiTheme="minorHAnsi" w:hAnsiTheme="minorHAnsi" w:cstheme="minorHAnsi"/>
          <w:lang w:val="fr-CA"/>
        </w:rPr>
        <w:t xml:space="preserve"> principal des finances (DPF) envoie une lettre d’appel aux</w:t>
      </w:r>
      <w:r w:rsidR="00DA19C5" w:rsidRPr="00DA19C5">
        <w:rPr>
          <w:rFonts w:asciiTheme="minorHAnsi" w:hAnsiTheme="minorHAnsi" w:cstheme="minorHAnsi"/>
          <w:lang w:val="fr-CA"/>
        </w:rPr>
        <w:t xml:space="preserve"> SMA</w:t>
      </w:r>
      <w:r w:rsidRPr="00DA19C5">
        <w:rPr>
          <w:rFonts w:asciiTheme="minorHAnsi" w:hAnsiTheme="minorHAnsi" w:cstheme="minorHAnsi"/>
          <w:lang w:val="fr-CA"/>
        </w:rPr>
        <w:t xml:space="preserve"> au début de l’exercice financier pour amorcer le processus prévisionnel du Ministère.</w:t>
      </w:r>
    </w:p>
    <w:p w14:paraId="3243D6C8" w14:textId="77777777" w:rsidR="003F63CD" w:rsidRPr="00DA19C5" w:rsidRDefault="003F63CD" w:rsidP="003F63CD">
      <w:pPr>
        <w:rPr>
          <w:rFonts w:asciiTheme="minorHAnsi" w:hAnsiTheme="minorHAnsi" w:cstheme="minorHAnsi"/>
          <w:lang w:val="fr-CA"/>
        </w:rPr>
      </w:pPr>
    </w:p>
    <w:p w14:paraId="6F9383AE" w14:textId="77777777" w:rsidR="003F63CD" w:rsidRPr="00DA19C5" w:rsidRDefault="003F63CD" w:rsidP="003F63CD">
      <w:pPr>
        <w:pStyle w:val="ListParagraph"/>
        <w:numPr>
          <w:ilvl w:val="0"/>
          <w:numId w:val="3"/>
        </w:numPr>
        <w:contextualSpacing/>
        <w:rPr>
          <w:rFonts w:asciiTheme="minorHAnsi" w:hAnsiTheme="minorHAnsi" w:cstheme="minorHAnsi"/>
          <w:lang w:val="fr-CA"/>
        </w:rPr>
      </w:pPr>
      <w:r w:rsidRPr="00DA19C5">
        <w:rPr>
          <w:rFonts w:asciiTheme="minorHAnsi" w:hAnsiTheme="minorHAnsi" w:cstheme="minorHAnsi"/>
          <w:lang w:val="fr-CA"/>
        </w:rPr>
        <w:t xml:space="preserve">Les allocations approuvées de la gestion du risque sont </w:t>
      </w:r>
      <w:r w:rsidR="00EE53A9" w:rsidRPr="00DA19C5">
        <w:rPr>
          <w:rFonts w:asciiTheme="minorHAnsi" w:hAnsiTheme="minorHAnsi" w:cstheme="minorHAnsi"/>
          <w:lang w:val="fr-CA"/>
        </w:rPr>
        <w:t>entrées</w:t>
      </w:r>
      <w:r w:rsidRPr="00DA19C5">
        <w:rPr>
          <w:rFonts w:asciiTheme="minorHAnsi" w:hAnsiTheme="minorHAnsi" w:cstheme="minorHAnsi"/>
          <w:lang w:val="fr-CA"/>
        </w:rPr>
        <w:t>, par la GRM, dans le module de gestion des fonds (FM) de maSGE (SAP), dans la version de budget appropriée, puis distribuées aux échelons inférieurs par les C</w:t>
      </w:r>
      <w:r w:rsidR="00DA19C5" w:rsidRPr="00DA19C5">
        <w:rPr>
          <w:rFonts w:asciiTheme="minorHAnsi" w:hAnsiTheme="minorHAnsi" w:cstheme="minorHAnsi"/>
          <w:lang w:val="fr-CA"/>
        </w:rPr>
        <w:t>onseillers en gestion financière (C</w:t>
      </w:r>
      <w:r w:rsidRPr="00DA19C5">
        <w:rPr>
          <w:rFonts w:asciiTheme="minorHAnsi" w:hAnsiTheme="minorHAnsi" w:cstheme="minorHAnsi"/>
          <w:lang w:val="fr-CA"/>
        </w:rPr>
        <w:t>GF</w:t>
      </w:r>
      <w:r w:rsidR="00DA19C5" w:rsidRPr="00DA19C5">
        <w:rPr>
          <w:rFonts w:asciiTheme="minorHAnsi" w:hAnsiTheme="minorHAnsi" w:cstheme="minorHAnsi"/>
          <w:lang w:val="fr-CA"/>
        </w:rPr>
        <w:t>)</w:t>
      </w:r>
      <w:r w:rsidRPr="00DA19C5">
        <w:rPr>
          <w:rFonts w:asciiTheme="minorHAnsi" w:hAnsiTheme="minorHAnsi" w:cstheme="minorHAnsi"/>
          <w:lang w:val="fr-CA"/>
        </w:rPr>
        <w:t xml:space="preserve"> avant </w:t>
      </w:r>
      <w:r w:rsidR="00DA19C5" w:rsidRPr="00DA19C5">
        <w:rPr>
          <w:rFonts w:asciiTheme="minorHAnsi" w:hAnsiTheme="minorHAnsi" w:cstheme="minorHAnsi"/>
          <w:lang w:val="fr-CA"/>
        </w:rPr>
        <w:t xml:space="preserve">le début de </w:t>
      </w:r>
      <w:r w:rsidRPr="00DA19C5">
        <w:rPr>
          <w:rFonts w:asciiTheme="minorHAnsi" w:hAnsiTheme="minorHAnsi" w:cstheme="minorHAnsi"/>
          <w:lang w:val="fr-CA"/>
        </w:rPr>
        <w:t xml:space="preserve">chaque </w:t>
      </w:r>
      <w:r w:rsidR="00EE53A9" w:rsidRPr="00DA19C5">
        <w:rPr>
          <w:rFonts w:asciiTheme="minorHAnsi" w:hAnsiTheme="minorHAnsi" w:cstheme="minorHAnsi"/>
          <w:lang w:val="fr-CA"/>
        </w:rPr>
        <w:t>période</w:t>
      </w:r>
      <w:r w:rsidRPr="00DA19C5">
        <w:rPr>
          <w:rFonts w:asciiTheme="minorHAnsi" w:hAnsiTheme="minorHAnsi" w:cstheme="minorHAnsi"/>
          <w:lang w:val="fr-CA"/>
        </w:rPr>
        <w:t xml:space="preserve"> de prévision.</w:t>
      </w:r>
    </w:p>
    <w:p w14:paraId="092F9FED" w14:textId="77777777" w:rsidR="003F63CD" w:rsidRPr="00DA19C5" w:rsidRDefault="003F63CD" w:rsidP="003F63CD">
      <w:pPr>
        <w:rPr>
          <w:rFonts w:asciiTheme="minorHAnsi" w:hAnsiTheme="minorHAnsi" w:cstheme="minorHAnsi"/>
          <w:lang w:val="fr-CA"/>
        </w:rPr>
      </w:pPr>
    </w:p>
    <w:p w14:paraId="0317085D" w14:textId="24558DBE" w:rsidR="003F63CD" w:rsidRPr="00DA19C5" w:rsidRDefault="003F63CD" w:rsidP="003F63CD">
      <w:pPr>
        <w:pStyle w:val="ListParagraph"/>
        <w:numPr>
          <w:ilvl w:val="0"/>
          <w:numId w:val="3"/>
        </w:numPr>
        <w:contextualSpacing/>
        <w:rPr>
          <w:rFonts w:asciiTheme="minorHAnsi" w:hAnsiTheme="minorHAnsi" w:cstheme="minorHAnsi"/>
          <w:lang w:val="fr-CA"/>
        </w:rPr>
      </w:pPr>
      <w:r w:rsidRPr="00DA19C5">
        <w:rPr>
          <w:rFonts w:asciiTheme="minorHAnsi" w:hAnsiTheme="minorHAnsi" w:cstheme="minorHAnsi"/>
          <w:lang w:val="fr-CA"/>
        </w:rPr>
        <w:t>Le budget de l’année en cours, établi selon le calcul des budgets de base et l</w:t>
      </w:r>
      <w:r w:rsidR="009B3571">
        <w:rPr>
          <w:rFonts w:asciiTheme="minorHAnsi" w:hAnsiTheme="minorHAnsi" w:cstheme="minorHAnsi"/>
          <w:lang w:val="fr-CA"/>
        </w:rPr>
        <w:t>e</w:t>
      </w:r>
      <w:r w:rsidRPr="00DA19C5">
        <w:rPr>
          <w:rFonts w:asciiTheme="minorHAnsi" w:hAnsiTheme="minorHAnsi" w:cstheme="minorHAnsi"/>
          <w:lang w:val="fr-CA"/>
        </w:rPr>
        <w:t xml:space="preserve"> </w:t>
      </w:r>
      <w:r w:rsidR="009B3571">
        <w:rPr>
          <w:rFonts w:asciiTheme="minorHAnsi" w:hAnsiTheme="minorHAnsi" w:cstheme="minorHAnsi"/>
          <w:lang w:val="fr-CA"/>
        </w:rPr>
        <w:t xml:space="preserve">budget de </w:t>
      </w:r>
      <w:r w:rsidR="005D5146">
        <w:rPr>
          <w:rFonts w:asciiTheme="minorHAnsi" w:hAnsiTheme="minorHAnsi" w:cstheme="minorHAnsi"/>
          <w:lang w:val="fr-CA"/>
        </w:rPr>
        <w:t>financement potentiel</w:t>
      </w:r>
      <w:r w:rsidR="009B3571">
        <w:rPr>
          <w:rFonts w:asciiTheme="minorHAnsi" w:hAnsiTheme="minorHAnsi" w:cstheme="minorHAnsi"/>
          <w:lang w:val="fr-CA"/>
        </w:rPr>
        <w:t xml:space="preserve"> approuvé </w:t>
      </w:r>
      <w:r w:rsidR="00DA19C5" w:rsidRPr="00DA19C5">
        <w:rPr>
          <w:rFonts w:asciiTheme="minorHAnsi" w:hAnsiTheme="minorHAnsi" w:cstheme="minorHAnsi"/>
          <w:lang w:val="fr-CA"/>
        </w:rPr>
        <w:t>pour des</w:t>
      </w:r>
      <w:r w:rsidRPr="00DA19C5">
        <w:rPr>
          <w:rFonts w:asciiTheme="minorHAnsi" w:hAnsiTheme="minorHAnsi" w:cstheme="minorHAnsi"/>
          <w:lang w:val="fr-CA"/>
        </w:rPr>
        <w:t xml:space="preserve"> </w:t>
      </w:r>
      <w:r w:rsidR="009B3571">
        <w:rPr>
          <w:rFonts w:asciiTheme="minorHAnsi" w:hAnsiTheme="minorHAnsi" w:cstheme="minorHAnsi"/>
          <w:lang w:val="fr-CA"/>
        </w:rPr>
        <w:t>fins de planification</w:t>
      </w:r>
      <w:r w:rsidRPr="00DA19C5">
        <w:rPr>
          <w:rFonts w:asciiTheme="minorHAnsi" w:hAnsiTheme="minorHAnsi" w:cstheme="minorHAnsi"/>
          <w:lang w:val="fr-CA"/>
        </w:rPr>
        <w:t xml:space="preserve"> sont copiés à la fin du mois dans une version de budget distincte pour les fins d’établissement des prévisions (p.ex. B02, B05, B07 et B09).</w:t>
      </w:r>
    </w:p>
    <w:p w14:paraId="25A89348" w14:textId="77777777" w:rsidR="003F63CD" w:rsidRPr="00DA19C5" w:rsidRDefault="003F63CD" w:rsidP="003F63CD">
      <w:pPr>
        <w:pStyle w:val="ListParagraph"/>
        <w:rPr>
          <w:rFonts w:asciiTheme="minorHAnsi" w:hAnsiTheme="minorHAnsi" w:cstheme="minorHAnsi"/>
          <w:lang w:val="fr-CA"/>
        </w:rPr>
      </w:pPr>
    </w:p>
    <w:p w14:paraId="4F26ED2D" w14:textId="77777777" w:rsidR="003F63CD" w:rsidRPr="00DA19C5" w:rsidRDefault="003F63CD" w:rsidP="003F63CD">
      <w:pPr>
        <w:pStyle w:val="ListParagraph"/>
        <w:numPr>
          <w:ilvl w:val="0"/>
          <w:numId w:val="3"/>
        </w:numPr>
        <w:contextualSpacing/>
        <w:rPr>
          <w:rFonts w:asciiTheme="minorHAnsi" w:hAnsiTheme="minorHAnsi" w:cstheme="minorHAnsi"/>
          <w:lang w:val="fr-CA"/>
        </w:rPr>
      </w:pPr>
      <w:r w:rsidRPr="00DA19C5">
        <w:rPr>
          <w:rFonts w:asciiTheme="minorHAnsi" w:hAnsiTheme="minorHAnsi" w:cstheme="minorHAnsi"/>
          <w:lang w:val="fr-CA"/>
        </w:rPr>
        <w:t>Des instructions spécifiques sont envoyées aux CGF, le cas échéant, conformément à l’échéancier présenté à l’Annexe A.</w:t>
      </w:r>
    </w:p>
    <w:p w14:paraId="2365B4C9" w14:textId="77777777" w:rsidR="003F63CD" w:rsidRDefault="003F63CD" w:rsidP="003F63CD">
      <w:pPr>
        <w:rPr>
          <w:lang w:val="fr-CA"/>
        </w:rPr>
      </w:pPr>
    </w:p>
    <w:p w14:paraId="0FD549E8" w14:textId="79336E90" w:rsidR="003F63CD" w:rsidRPr="003F1788" w:rsidRDefault="00DA19C5" w:rsidP="00E8661F">
      <w:pPr>
        <w:pStyle w:val="Heading2"/>
        <w:numPr>
          <w:ilvl w:val="1"/>
          <w:numId w:val="2"/>
        </w:numPr>
        <w:rPr>
          <w:lang w:val="fr-CA"/>
        </w:rPr>
      </w:pPr>
      <w:bookmarkStart w:id="16" w:name="_Toc72402505"/>
      <w:r>
        <w:rPr>
          <w:lang w:val="fr-CA"/>
        </w:rPr>
        <w:t>Préparation et consolidation des prévisions</w:t>
      </w:r>
      <w:bookmarkEnd w:id="16"/>
    </w:p>
    <w:p w14:paraId="0480F651" w14:textId="77777777" w:rsidR="003F63CD" w:rsidRPr="003F1788" w:rsidRDefault="003F63CD" w:rsidP="003F63CD">
      <w:pPr>
        <w:rPr>
          <w:lang w:val="fr-CA"/>
        </w:rPr>
      </w:pPr>
    </w:p>
    <w:p w14:paraId="62763B45" w14:textId="77777777" w:rsidR="003F63CD" w:rsidRPr="003F1788" w:rsidRDefault="003F63CD" w:rsidP="003F63CD">
      <w:pPr>
        <w:rPr>
          <w:lang w:val="fr-CA"/>
        </w:rPr>
      </w:pPr>
      <w:r w:rsidRPr="003F1788">
        <w:rPr>
          <w:lang w:val="fr-CA"/>
        </w:rPr>
        <w:t>Les services de gestion de la direction générale / services de gestion régionaux (SGDG/SGR)</w:t>
      </w:r>
      <w:r w:rsidRPr="003F1788">
        <w:rPr>
          <w:rStyle w:val="FootnoteReference"/>
          <w:lang w:val="fr-CA"/>
        </w:rPr>
        <w:footnoteReference w:id="1"/>
      </w:r>
      <w:r w:rsidRPr="003F1788">
        <w:rPr>
          <w:lang w:val="fr-CA"/>
        </w:rPr>
        <w:t xml:space="preserve"> et les CGF, en collaboration avec les gestionnaires de centre financier (GCF)</w:t>
      </w:r>
      <w:r w:rsidRPr="003F1788">
        <w:rPr>
          <w:rStyle w:val="FootnoteReference"/>
          <w:lang w:val="fr-CA"/>
        </w:rPr>
        <w:footnoteReference w:id="2"/>
      </w:r>
      <w:r>
        <w:rPr>
          <w:lang w:val="fr-CA"/>
        </w:rPr>
        <w:t>, élaborent et consolident</w:t>
      </w:r>
      <w:r w:rsidRPr="003F1788">
        <w:rPr>
          <w:lang w:val="fr-CA"/>
        </w:rPr>
        <w:t xml:space="preserve"> les prévisions selon les étapes mentionnées ci-dessous. À noter que ces étapes sont effectuées de nouveau à chaque niveau administratif </w:t>
      </w:r>
      <w:r>
        <w:rPr>
          <w:lang w:val="fr-CA"/>
        </w:rPr>
        <w:t xml:space="preserve">se terminant </w:t>
      </w:r>
      <w:r w:rsidRPr="003F1788">
        <w:rPr>
          <w:lang w:val="fr-CA"/>
        </w:rPr>
        <w:t>à celui de la direction générale ou de la région.</w:t>
      </w:r>
    </w:p>
    <w:p w14:paraId="6CCCA898" w14:textId="77777777" w:rsidR="003F63CD" w:rsidRPr="003F1788" w:rsidRDefault="003F63CD" w:rsidP="003F63CD">
      <w:pPr>
        <w:rPr>
          <w:lang w:val="fr-CA"/>
        </w:rPr>
      </w:pPr>
    </w:p>
    <w:p w14:paraId="026CC9F5" w14:textId="77777777" w:rsidR="003F63CD" w:rsidRPr="00C63DEB" w:rsidRDefault="003F63CD" w:rsidP="003F63CD">
      <w:pPr>
        <w:pStyle w:val="ListParagraph"/>
        <w:numPr>
          <w:ilvl w:val="0"/>
          <w:numId w:val="4"/>
        </w:numPr>
        <w:contextualSpacing/>
        <w:rPr>
          <w:rFonts w:asciiTheme="minorHAnsi" w:hAnsiTheme="minorHAnsi" w:cstheme="minorHAnsi"/>
          <w:lang w:val="fr-CA"/>
        </w:rPr>
      </w:pPr>
      <w:r w:rsidRPr="00C63DEB">
        <w:rPr>
          <w:rFonts w:asciiTheme="minorHAnsi" w:hAnsiTheme="minorHAnsi" w:cstheme="minorHAnsi"/>
          <w:lang w:val="fr-CA"/>
        </w:rPr>
        <w:t>Les CGF préparent et envoient aux GCF et/ou SGDG/SGR une lettre d’appel contenant des instructions et des échéanciers.</w:t>
      </w:r>
    </w:p>
    <w:p w14:paraId="228C5D80" w14:textId="77777777" w:rsidR="003F63CD" w:rsidRPr="00C63DEB" w:rsidRDefault="003F63CD" w:rsidP="003F63CD">
      <w:pPr>
        <w:pStyle w:val="ListParagraph"/>
        <w:rPr>
          <w:rFonts w:asciiTheme="minorHAnsi" w:hAnsiTheme="minorHAnsi" w:cstheme="minorHAnsi"/>
          <w:lang w:val="fr-CA"/>
        </w:rPr>
      </w:pPr>
    </w:p>
    <w:p w14:paraId="7DEBB264" w14:textId="77777777" w:rsidR="002E1A24" w:rsidRPr="00C63DEB" w:rsidRDefault="003F63CD" w:rsidP="0048702B">
      <w:pPr>
        <w:pStyle w:val="ListParagraph"/>
        <w:numPr>
          <w:ilvl w:val="0"/>
          <w:numId w:val="4"/>
        </w:numPr>
        <w:contextualSpacing/>
        <w:rPr>
          <w:rFonts w:asciiTheme="minorHAnsi" w:hAnsiTheme="minorHAnsi" w:cstheme="minorHAnsi"/>
          <w:lang w:val="fr-CA"/>
        </w:rPr>
      </w:pPr>
      <w:r w:rsidRPr="00C63DEB">
        <w:rPr>
          <w:rFonts w:asciiTheme="minorHAnsi" w:hAnsiTheme="minorHAnsi" w:cstheme="minorHAnsi"/>
          <w:lang w:val="fr-CA"/>
        </w:rPr>
        <w:t xml:space="preserve">Les SGDG/SGR, en collaboration avec le GCF, maintiennent et mettent à jour les prévisions salariales dans l’OPS selon le code d’identification du dossier personnel (CIDP) (prévisions touchant l’employé), les prévisions </w:t>
      </w:r>
      <w:r w:rsidR="002E1A24" w:rsidRPr="00C63DEB">
        <w:rPr>
          <w:rFonts w:asciiTheme="minorHAnsi" w:hAnsiTheme="minorHAnsi" w:cstheme="minorHAnsi"/>
          <w:lang w:val="fr-CA"/>
        </w:rPr>
        <w:t xml:space="preserve">par </w:t>
      </w:r>
      <w:r w:rsidRPr="00C63DEB">
        <w:rPr>
          <w:rFonts w:asciiTheme="minorHAnsi" w:hAnsiTheme="minorHAnsi" w:cstheme="minorHAnsi"/>
          <w:lang w:val="fr-CA"/>
        </w:rPr>
        <w:t xml:space="preserve">poste (dotation prévue) et les prévisions globales. </w:t>
      </w:r>
      <w:r w:rsidRPr="00DE222D">
        <w:rPr>
          <w:rFonts w:asciiTheme="minorHAnsi" w:hAnsiTheme="minorHAnsi" w:cstheme="minorHAnsi"/>
          <w:b/>
          <w:u w:val="single"/>
          <w:lang w:val="fr-CA"/>
        </w:rPr>
        <w:t>Ceci doit être fait régulièrement</w:t>
      </w:r>
      <w:r w:rsidRPr="00C63DEB">
        <w:rPr>
          <w:rFonts w:asciiTheme="minorHAnsi" w:hAnsiTheme="minorHAnsi" w:cstheme="minorHAnsi"/>
          <w:lang w:val="fr-CA"/>
        </w:rPr>
        <w:t>, dès que l’information est disponible, et non pas se</w:t>
      </w:r>
      <w:r w:rsidR="00DA19C5" w:rsidRPr="00C63DEB">
        <w:rPr>
          <w:rFonts w:asciiTheme="minorHAnsi" w:hAnsiTheme="minorHAnsi" w:cstheme="minorHAnsi"/>
          <w:lang w:val="fr-CA"/>
        </w:rPr>
        <w:t xml:space="preserve">ulement en période de prévision puisque cette information est </w:t>
      </w:r>
      <w:r w:rsidR="002E1A24" w:rsidRPr="00C63DEB">
        <w:rPr>
          <w:rFonts w:asciiTheme="minorHAnsi" w:hAnsiTheme="minorHAnsi" w:cstheme="minorHAnsi"/>
          <w:lang w:val="fr-CA"/>
        </w:rPr>
        <w:t>utilisée pour diverses analyses ministérielles telles que des analyses salariales, rapports sur les problèmes de paie, etc.</w:t>
      </w:r>
    </w:p>
    <w:p w14:paraId="5627B4B1" w14:textId="77777777" w:rsidR="003F63CD" w:rsidRPr="00881FDC" w:rsidRDefault="003F63CD" w:rsidP="003F63CD">
      <w:pPr>
        <w:pStyle w:val="ListParagraph"/>
        <w:rPr>
          <w:rFonts w:asciiTheme="minorHAnsi" w:hAnsiTheme="minorHAnsi" w:cstheme="minorHAnsi"/>
          <w:lang w:val="fr-CA"/>
        </w:rPr>
      </w:pPr>
    </w:p>
    <w:p w14:paraId="4C4BC8A3" w14:textId="2C50155B" w:rsidR="003F63CD" w:rsidRPr="00C63DEB" w:rsidRDefault="003F63CD" w:rsidP="003F63CD">
      <w:pPr>
        <w:pStyle w:val="ListParagraph"/>
        <w:numPr>
          <w:ilvl w:val="0"/>
          <w:numId w:val="4"/>
        </w:numPr>
        <w:contextualSpacing/>
        <w:rPr>
          <w:rFonts w:asciiTheme="minorHAnsi" w:hAnsiTheme="minorHAnsi" w:cstheme="minorHAnsi"/>
          <w:lang w:val="fr-CA"/>
        </w:rPr>
      </w:pPr>
      <w:r w:rsidRPr="00C63DEB">
        <w:rPr>
          <w:rFonts w:asciiTheme="minorHAnsi" w:hAnsiTheme="minorHAnsi" w:cstheme="minorHAnsi"/>
          <w:lang w:val="fr-CA"/>
        </w:rPr>
        <w:lastRenderedPageBreak/>
        <w:t xml:space="preserve">Les GCF, en collaboration avec les SGDG/SGR et/ou le CGF, analysent les données financières (p. ex., le budget, les dépenses réelles et les engagements) au moyen des rapports maSGE (SAP) (p.ex. les rapports BI Dépenses et engagements et chronologie, les rapports de l’OPS et les rapports BI Surplus/déficit). Tous ces rapports contiennent des renseignements financiers détaillés pour préparer adéquatement les prévisions. Une </w:t>
      </w:r>
      <w:hyperlink r:id="rId11" w:history="1">
        <w:r w:rsidRPr="00C63DEB">
          <w:rPr>
            <w:rStyle w:val="Hyperlink"/>
            <w:rFonts w:asciiTheme="minorHAnsi" w:hAnsiTheme="minorHAnsi" w:cstheme="minorHAnsi"/>
            <w:lang w:val="fr-CA"/>
          </w:rPr>
          <w:t>Feuille de route ministérielle en matière de prévision</w:t>
        </w:r>
      </w:hyperlink>
      <w:r w:rsidRPr="00C63DEB">
        <w:rPr>
          <w:rFonts w:asciiTheme="minorHAnsi" w:hAnsiTheme="minorHAnsi" w:cstheme="minorHAnsi"/>
          <w:lang w:val="fr-CA"/>
        </w:rPr>
        <w:t xml:space="preserve"> </w:t>
      </w:r>
      <w:r w:rsidR="005D5146">
        <w:rPr>
          <w:rFonts w:asciiTheme="minorHAnsi" w:hAnsiTheme="minorHAnsi" w:cstheme="minorHAnsi"/>
          <w:lang w:val="fr-CA"/>
        </w:rPr>
        <w:t>est disponible sur iService et</w:t>
      </w:r>
      <w:r w:rsidRPr="00C63DEB">
        <w:rPr>
          <w:rFonts w:asciiTheme="minorHAnsi" w:hAnsiTheme="minorHAnsi" w:cstheme="minorHAnsi"/>
          <w:lang w:val="fr-CA"/>
        </w:rPr>
        <w:t xml:space="preserve"> fourni</w:t>
      </w:r>
      <w:r w:rsidR="005D5146">
        <w:rPr>
          <w:rFonts w:asciiTheme="minorHAnsi" w:hAnsiTheme="minorHAnsi" w:cstheme="minorHAnsi"/>
          <w:lang w:val="fr-CA"/>
        </w:rPr>
        <w:t>s</w:t>
      </w:r>
      <w:r w:rsidRPr="00C63DEB">
        <w:rPr>
          <w:rFonts w:asciiTheme="minorHAnsi" w:hAnsiTheme="minorHAnsi" w:cstheme="minorHAnsi"/>
          <w:lang w:val="fr-CA"/>
        </w:rPr>
        <w:t xml:space="preserve"> un aperçu détaillé du processus de prévision pour les gestionnaires. Cette feuille de route d’écrit le processus </w:t>
      </w:r>
      <w:r w:rsidR="005D5146">
        <w:rPr>
          <w:rFonts w:asciiTheme="minorHAnsi" w:hAnsiTheme="minorHAnsi" w:cstheme="minorHAnsi"/>
          <w:lang w:val="fr-CA"/>
        </w:rPr>
        <w:t xml:space="preserve">recommandé, </w:t>
      </w:r>
      <w:r w:rsidRPr="00C63DEB">
        <w:rPr>
          <w:rFonts w:asciiTheme="minorHAnsi" w:hAnsiTheme="minorHAnsi" w:cstheme="minorHAnsi"/>
          <w:lang w:val="fr-CA"/>
        </w:rPr>
        <w:t>étapes par étapes et fournit des liens vers des ressources utiles.</w:t>
      </w:r>
    </w:p>
    <w:p w14:paraId="125CE2FE" w14:textId="77777777" w:rsidR="003F63CD" w:rsidRPr="00C63DEB" w:rsidRDefault="003F63CD" w:rsidP="003F63CD">
      <w:pPr>
        <w:pStyle w:val="ListParagraph"/>
        <w:rPr>
          <w:rFonts w:asciiTheme="minorHAnsi" w:hAnsiTheme="minorHAnsi" w:cstheme="minorHAnsi"/>
          <w:lang w:val="fr-CA"/>
        </w:rPr>
      </w:pPr>
    </w:p>
    <w:p w14:paraId="107CF295" w14:textId="77777777" w:rsidR="00CD2837" w:rsidRDefault="003F63CD" w:rsidP="005F50A8">
      <w:pPr>
        <w:pStyle w:val="ListParagraph"/>
        <w:numPr>
          <w:ilvl w:val="0"/>
          <w:numId w:val="4"/>
        </w:numPr>
        <w:contextualSpacing/>
        <w:rPr>
          <w:rFonts w:asciiTheme="minorHAnsi" w:hAnsiTheme="minorHAnsi" w:cstheme="minorHAnsi"/>
          <w:lang w:val="fr-CA"/>
        </w:rPr>
      </w:pPr>
      <w:r w:rsidRPr="00CD2837">
        <w:rPr>
          <w:rFonts w:asciiTheme="minorHAnsi" w:hAnsiTheme="minorHAnsi" w:cstheme="minorHAnsi"/>
          <w:lang w:val="fr-CA"/>
        </w:rPr>
        <w:t xml:space="preserve">Les SGDG/SGR mettent à jour et rajustent les engagements (contractuels ou manuels), les dépenses (factures, pièces de journal [PJ] et règlements interministériels [RI]), le cas échéant. </w:t>
      </w:r>
      <w:r w:rsidRPr="00CD2837">
        <w:rPr>
          <w:rFonts w:asciiTheme="minorHAnsi" w:hAnsiTheme="minorHAnsi" w:cstheme="minorHAnsi"/>
          <w:b/>
          <w:u w:val="single"/>
          <w:lang w:val="fr-CA"/>
        </w:rPr>
        <w:t>Ceci doit être fait sur une base régulière</w:t>
      </w:r>
      <w:r w:rsidRPr="00CD2837">
        <w:rPr>
          <w:rFonts w:asciiTheme="minorHAnsi" w:hAnsiTheme="minorHAnsi" w:cstheme="minorHAnsi"/>
          <w:lang w:val="fr-CA"/>
        </w:rPr>
        <w:t>, dès que l'information est disponible, et non uniquement dans les périodes de prévision.</w:t>
      </w:r>
    </w:p>
    <w:p w14:paraId="2472FC79" w14:textId="77777777" w:rsidR="00CD2837" w:rsidRPr="00CD2837" w:rsidRDefault="00CD2837" w:rsidP="00CD2837">
      <w:pPr>
        <w:pStyle w:val="ListParagraph"/>
        <w:rPr>
          <w:rFonts w:asciiTheme="minorHAnsi" w:hAnsiTheme="minorHAnsi" w:cstheme="minorHAnsi"/>
          <w:lang w:val="fr-CA"/>
        </w:rPr>
      </w:pPr>
    </w:p>
    <w:p w14:paraId="6A4C663A" w14:textId="17501D9A" w:rsidR="00420577" w:rsidRPr="00CD2837" w:rsidRDefault="003F63CD" w:rsidP="005F50A8">
      <w:pPr>
        <w:pStyle w:val="ListParagraph"/>
        <w:numPr>
          <w:ilvl w:val="0"/>
          <w:numId w:val="4"/>
        </w:numPr>
        <w:contextualSpacing/>
        <w:rPr>
          <w:rFonts w:asciiTheme="minorHAnsi" w:hAnsiTheme="minorHAnsi" w:cstheme="minorHAnsi"/>
          <w:lang w:val="fr-CA"/>
        </w:rPr>
      </w:pPr>
      <w:r w:rsidRPr="00CD2837">
        <w:rPr>
          <w:rFonts w:asciiTheme="minorHAnsi" w:hAnsiTheme="minorHAnsi" w:cstheme="minorHAnsi"/>
          <w:lang w:val="fr-CA"/>
        </w:rPr>
        <w:t>Les GCF, en collaboration avec les SGDG/SGR et/ou CGF, entrent les prévisions non liées au personnel</w:t>
      </w:r>
      <w:r w:rsidR="00E158B5" w:rsidRPr="00CD2837">
        <w:rPr>
          <w:rFonts w:asciiTheme="minorHAnsi" w:hAnsiTheme="minorHAnsi" w:cstheme="minorHAnsi"/>
          <w:lang w:val="fr-CA"/>
        </w:rPr>
        <w:t xml:space="preserve"> dans l’outil de prévisions non-salariales</w:t>
      </w:r>
      <w:r w:rsidRPr="00CD2837">
        <w:rPr>
          <w:rFonts w:asciiTheme="minorHAnsi" w:hAnsiTheme="minorHAnsi" w:cstheme="minorHAnsi"/>
          <w:lang w:val="fr-CA"/>
        </w:rPr>
        <w:t xml:space="preserve"> </w:t>
      </w:r>
      <w:r w:rsidR="00934A5B" w:rsidRPr="00CD2837">
        <w:rPr>
          <w:rFonts w:asciiTheme="minorHAnsi" w:hAnsiTheme="minorHAnsi" w:cstheme="minorHAnsi"/>
          <w:lang w:val="fr-CA"/>
        </w:rPr>
        <w:t xml:space="preserve">pour </w:t>
      </w:r>
      <w:r w:rsidRPr="00CD2837">
        <w:rPr>
          <w:rFonts w:asciiTheme="minorHAnsi" w:hAnsiTheme="minorHAnsi" w:cstheme="minorHAnsi"/>
          <w:lang w:val="fr-CA"/>
        </w:rPr>
        <w:t>F et E</w:t>
      </w:r>
      <w:r w:rsidR="00934A5B" w:rsidRPr="00CD2837">
        <w:rPr>
          <w:rFonts w:asciiTheme="minorHAnsi" w:hAnsiTheme="minorHAnsi" w:cstheme="minorHAnsi"/>
          <w:lang w:val="fr-CA"/>
        </w:rPr>
        <w:t xml:space="preserve"> régulier ainsi que F</w:t>
      </w:r>
      <w:r w:rsidR="00420577" w:rsidRPr="00CD2837">
        <w:rPr>
          <w:rFonts w:asciiTheme="minorHAnsi" w:hAnsiTheme="minorHAnsi" w:cstheme="minorHAnsi"/>
          <w:lang w:val="fr-CA"/>
        </w:rPr>
        <w:t xml:space="preserve"> et </w:t>
      </w:r>
      <w:r w:rsidR="00934A5B" w:rsidRPr="00CD2837">
        <w:rPr>
          <w:rFonts w:asciiTheme="minorHAnsi" w:hAnsiTheme="minorHAnsi" w:cstheme="minorHAnsi"/>
          <w:lang w:val="fr-CA"/>
        </w:rPr>
        <w:t>E lié</w:t>
      </w:r>
      <w:r w:rsidR="00E158B5" w:rsidRPr="00CD2837">
        <w:rPr>
          <w:rFonts w:asciiTheme="minorHAnsi" w:hAnsiTheme="minorHAnsi" w:cstheme="minorHAnsi"/>
          <w:lang w:val="fr-CA"/>
        </w:rPr>
        <w:t>s</w:t>
      </w:r>
      <w:r w:rsidR="00934A5B" w:rsidRPr="00CD2837">
        <w:rPr>
          <w:rFonts w:asciiTheme="minorHAnsi" w:hAnsiTheme="minorHAnsi" w:cstheme="minorHAnsi"/>
          <w:lang w:val="fr-CA"/>
        </w:rPr>
        <w:t xml:space="preserve"> aux</w:t>
      </w:r>
      <w:r w:rsidR="00420577" w:rsidRPr="00CD2837">
        <w:rPr>
          <w:rFonts w:asciiTheme="minorHAnsi" w:hAnsiTheme="minorHAnsi" w:cstheme="minorHAnsi"/>
          <w:lang w:val="fr-CA"/>
        </w:rPr>
        <w:t xml:space="preserve"> : </w:t>
      </w:r>
      <w:r w:rsidR="00934A5B" w:rsidRPr="00CD2837">
        <w:rPr>
          <w:rFonts w:asciiTheme="minorHAnsi" w:hAnsiTheme="minorHAnsi" w:cstheme="minorHAnsi"/>
          <w:lang w:val="fr-CA"/>
        </w:rPr>
        <w:t>e</w:t>
      </w:r>
      <w:r w:rsidR="002D0655" w:rsidRPr="00CD2837">
        <w:rPr>
          <w:rFonts w:asciiTheme="minorHAnsi" w:hAnsiTheme="minorHAnsi" w:cstheme="minorHAnsi"/>
          <w:lang w:val="fr-CA"/>
        </w:rPr>
        <w:t>ntente</w:t>
      </w:r>
      <w:r w:rsidR="00934A5B" w:rsidRPr="00CD2837">
        <w:rPr>
          <w:rFonts w:asciiTheme="minorHAnsi" w:hAnsiTheme="minorHAnsi" w:cstheme="minorHAnsi"/>
          <w:lang w:val="fr-CA"/>
        </w:rPr>
        <w:t>s</w:t>
      </w:r>
      <w:r w:rsidR="002D0655" w:rsidRPr="00CD2837">
        <w:rPr>
          <w:rFonts w:asciiTheme="minorHAnsi" w:hAnsiTheme="minorHAnsi" w:cstheme="minorHAnsi"/>
          <w:lang w:val="fr-CA"/>
        </w:rPr>
        <w:t xml:space="preserve"> de partenariat (sous LMEDS),</w:t>
      </w:r>
      <w:r w:rsidR="00E822C3" w:rsidRPr="00CD2837">
        <w:rPr>
          <w:rFonts w:asciiTheme="minorHAnsi" w:hAnsiTheme="minorHAnsi" w:cstheme="minorHAnsi"/>
          <w:lang w:val="fr-CA"/>
        </w:rPr>
        <w:t xml:space="preserve"> le</w:t>
      </w:r>
      <w:r w:rsidR="00934A5B" w:rsidRPr="00CD2837">
        <w:rPr>
          <w:rFonts w:asciiTheme="minorHAnsi" w:hAnsiTheme="minorHAnsi" w:cstheme="minorHAnsi"/>
          <w:lang w:val="fr-CA"/>
        </w:rPr>
        <w:t xml:space="preserve"> financement statutaire pour les mesures d’urgence en réponse à la COVID-19, les</w:t>
      </w:r>
      <w:r w:rsidR="002D0655" w:rsidRPr="00CD2837">
        <w:rPr>
          <w:rFonts w:asciiTheme="minorHAnsi" w:hAnsiTheme="minorHAnsi" w:cstheme="minorHAnsi"/>
          <w:lang w:val="fr-CA"/>
        </w:rPr>
        <w:t xml:space="preserve"> </w:t>
      </w:r>
      <w:r w:rsidRPr="00CD2837">
        <w:rPr>
          <w:rFonts w:asciiTheme="minorHAnsi" w:hAnsiTheme="minorHAnsi" w:cstheme="minorHAnsi"/>
          <w:lang w:val="fr-CA"/>
        </w:rPr>
        <w:t>subventions et contributions</w:t>
      </w:r>
      <w:r w:rsidR="00E822C3" w:rsidRPr="00CD2837">
        <w:rPr>
          <w:rFonts w:asciiTheme="minorHAnsi" w:hAnsiTheme="minorHAnsi" w:cstheme="minorHAnsi"/>
          <w:lang w:val="fr-CA"/>
        </w:rPr>
        <w:t xml:space="preserve"> ainsi que les RNC</w:t>
      </w:r>
      <w:r w:rsidRPr="00CD2837">
        <w:rPr>
          <w:rFonts w:asciiTheme="minorHAnsi" w:hAnsiTheme="minorHAnsi" w:cstheme="minorHAnsi"/>
          <w:lang w:val="fr-CA"/>
        </w:rPr>
        <w:t xml:space="preserve">. </w:t>
      </w:r>
      <w:r w:rsidR="00E822C3" w:rsidRPr="00CD2837">
        <w:rPr>
          <w:rFonts w:asciiTheme="minorHAnsi" w:hAnsiTheme="minorHAnsi" w:cstheme="minorHAnsi"/>
          <w:lang w:val="fr-CA"/>
        </w:rPr>
        <w:t>Notez que les RNC s’appliquent seulement pour la Loi sur l'indemnisation des agents de l'État (LIAE) sous la direction générale du Travail.</w:t>
      </w:r>
      <w:r w:rsidR="00E822C3" w:rsidRPr="00CD2837" w:rsidDel="00E822C3">
        <w:rPr>
          <w:rFonts w:asciiTheme="minorHAnsi" w:hAnsiTheme="minorHAnsi" w:cstheme="minorHAnsi"/>
          <w:lang w:val="fr-CA"/>
        </w:rPr>
        <w:t xml:space="preserve"> </w:t>
      </w:r>
    </w:p>
    <w:p w14:paraId="0FFAA8B9" w14:textId="77777777" w:rsidR="003F63CD" w:rsidRPr="00C63DEB" w:rsidRDefault="003F63CD" w:rsidP="003F63CD">
      <w:pPr>
        <w:pStyle w:val="ListParagraph"/>
        <w:rPr>
          <w:rFonts w:asciiTheme="minorHAnsi" w:hAnsiTheme="minorHAnsi" w:cstheme="minorHAnsi"/>
          <w:lang w:val="fr-CA"/>
        </w:rPr>
      </w:pPr>
    </w:p>
    <w:p w14:paraId="1E277908" w14:textId="77777777" w:rsidR="003F63CD" w:rsidRPr="00C63DEB" w:rsidRDefault="003F63CD" w:rsidP="003F63CD">
      <w:pPr>
        <w:pStyle w:val="ListParagraph"/>
        <w:numPr>
          <w:ilvl w:val="0"/>
          <w:numId w:val="4"/>
        </w:numPr>
        <w:contextualSpacing/>
        <w:rPr>
          <w:rFonts w:asciiTheme="minorHAnsi" w:hAnsiTheme="minorHAnsi" w:cstheme="minorHAnsi"/>
          <w:lang w:val="fr-CA"/>
        </w:rPr>
      </w:pPr>
      <w:r w:rsidRPr="00C63DEB">
        <w:rPr>
          <w:rFonts w:asciiTheme="minorHAnsi" w:hAnsiTheme="minorHAnsi" w:cstheme="minorHAnsi"/>
          <w:lang w:val="fr-CA"/>
        </w:rPr>
        <w:t>Les données prévisionnelles liées au personnel et non liées au personnel sont retirées de l’OPS et de l’outil de prévisions non-salariales et transférées dans le module de gestion des fonds (FM) de maSGE (SAP), conformément à l’échéancier décrit dans l’Annexe A (environ une semaine avant la fin de la période de prévision), ce qui gèlera les renseignements prévisionnels dans une version distincte du budget. Ceci facilite le regroupement des prévisions au niveau des directions générales/régions.</w:t>
      </w:r>
    </w:p>
    <w:p w14:paraId="6B5AE7BE" w14:textId="77777777" w:rsidR="003F63CD" w:rsidRPr="00C63DEB" w:rsidRDefault="003F63CD" w:rsidP="003F63CD">
      <w:pPr>
        <w:pStyle w:val="ListParagraph"/>
        <w:rPr>
          <w:rFonts w:asciiTheme="minorHAnsi" w:hAnsiTheme="minorHAnsi" w:cstheme="minorHAnsi"/>
          <w:lang w:val="fr-CA"/>
        </w:rPr>
      </w:pPr>
    </w:p>
    <w:p w14:paraId="19795AF0" w14:textId="34314201" w:rsidR="003F63CD" w:rsidRPr="00C63DEB" w:rsidRDefault="003F63CD" w:rsidP="009E576A">
      <w:pPr>
        <w:pStyle w:val="ListParagraph"/>
        <w:numPr>
          <w:ilvl w:val="0"/>
          <w:numId w:val="4"/>
        </w:numPr>
        <w:contextualSpacing/>
        <w:rPr>
          <w:rFonts w:asciiTheme="minorHAnsi" w:hAnsiTheme="minorHAnsi" w:cstheme="minorHAnsi"/>
          <w:lang w:val="fr-CA"/>
        </w:rPr>
      </w:pPr>
      <w:r w:rsidRPr="00C63DEB">
        <w:rPr>
          <w:rFonts w:asciiTheme="minorHAnsi" w:hAnsiTheme="minorHAnsi" w:cstheme="minorHAnsi"/>
          <w:lang w:val="fr-CA"/>
        </w:rPr>
        <w:t xml:space="preserve">S’il est nécessaire d’apporter des ajustements </w:t>
      </w:r>
      <w:r w:rsidR="00E822C3">
        <w:rPr>
          <w:rFonts w:asciiTheme="minorHAnsi" w:hAnsiTheme="minorHAnsi" w:cstheme="minorHAnsi"/>
          <w:lang w:val="fr-CA"/>
        </w:rPr>
        <w:t xml:space="preserve">globaux </w:t>
      </w:r>
      <w:r w:rsidRPr="00C63DEB">
        <w:rPr>
          <w:rFonts w:asciiTheme="minorHAnsi" w:hAnsiTheme="minorHAnsi" w:cstheme="minorHAnsi"/>
          <w:lang w:val="fr-CA"/>
        </w:rPr>
        <w:t>aux prévisions</w:t>
      </w:r>
      <w:r w:rsidR="00E822C3">
        <w:rPr>
          <w:rFonts w:asciiTheme="minorHAnsi" w:hAnsiTheme="minorHAnsi" w:cstheme="minorHAnsi"/>
          <w:lang w:val="fr-CA"/>
        </w:rPr>
        <w:t xml:space="preserve">, </w:t>
      </w:r>
      <w:r w:rsidR="00E822C3" w:rsidRPr="00E822C3">
        <w:rPr>
          <w:rFonts w:asciiTheme="minorHAnsi" w:hAnsiTheme="minorHAnsi" w:cstheme="minorHAnsi"/>
          <w:lang w:val="fr-CA"/>
        </w:rPr>
        <w:t>le CGF entrera ceux-ci directement dans le système financier en utilisant le processus des ajustements dans FMBB</w:t>
      </w:r>
      <w:r w:rsidR="00E822C3">
        <w:rPr>
          <w:rFonts w:asciiTheme="minorHAnsi" w:hAnsiTheme="minorHAnsi" w:cstheme="minorHAnsi"/>
          <w:lang w:val="fr-CA"/>
        </w:rPr>
        <w:t>.</w:t>
      </w:r>
      <w:r w:rsidRPr="00C63DEB">
        <w:rPr>
          <w:rFonts w:asciiTheme="minorHAnsi" w:hAnsiTheme="minorHAnsi" w:cstheme="minorHAnsi"/>
          <w:lang w:val="fr-CA"/>
        </w:rPr>
        <w:t xml:space="preserve"> </w:t>
      </w:r>
      <w:r w:rsidR="009B3612">
        <w:rPr>
          <w:rFonts w:asciiTheme="minorHAnsi" w:hAnsiTheme="minorHAnsi" w:cstheme="minorHAnsi"/>
          <w:lang w:val="fr-CA"/>
        </w:rPr>
        <w:t xml:space="preserve">Plus de détails sur les ajustements, incluant la liste des types d’ajustements recommandés, se retrouvent à la section 3.8 du présent document. </w:t>
      </w:r>
    </w:p>
    <w:p w14:paraId="5FA266DA" w14:textId="77777777" w:rsidR="003F63CD" w:rsidRPr="00C63DEB" w:rsidRDefault="003F63CD" w:rsidP="003F63CD">
      <w:pPr>
        <w:pStyle w:val="ListParagraph"/>
        <w:rPr>
          <w:rFonts w:asciiTheme="minorHAnsi" w:hAnsiTheme="minorHAnsi" w:cstheme="minorHAnsi"/>
          <w:lang w:val="fr-CA"/>
        </w:rPr>
      </w:pPr>
    </w:p>
    <w:p w14:paraId="7450A5D7" w14:textId="77777777" w:rsidR="003F63CD" w:rsidRPr="00C63DEB" w:rsidRDefault="003F63CD" w:rsidP="003F63CD">
      <w:pPr>
        <w:pStyle w:val="ListParagraph"/>
        <w:numPr>
          <w:ilvl w:val="0"/>
          <w:numId w:val="4"/>
        </w:numPr>
        <w:contextualSpacing/>
        <w:rPr>
          <w:rFonts w:asciiTheme="minorHAnsi" w:hAnsiTheme="minorHAnsi" w:cstheme="minorHAnsi"/>
          <w:lang w:val="fr-CA"/>
        </w:rPr>
      </w:pPr>
      <w:r w:rsidRPr="00C63DEB">
        <w:rPr>
          <w:rFonts w:asciiTheme="minorHAnsi" w:hAnsiTheme="minorHAnsi" w:cstheme="minorHAnsi"/>
          <w:lang w:val="fr-CA"/>
        </w:rPr>
        <w:t>Les CGF et/ou les SGDG/SGR, en collaboration avec les GCF, consolident, analysent et révisent les prévisions liées et non liées au personnel par rapport au budget. Ils aident déterminer les transferts budgétaires requis, les surplus et les déficits.</w:t>
      </w:r>
    </w:p>
    <w:p w14:paraId="54F7117B" w14:textId="77777777" w:rsidR="00C63DEB" w:rsidRPr="00C63DEB" w:rsidRDefault="00C63DEB" w:rsidP="00C63DEB">
      <w:pPr>
        <w:pStyle w:val="ListParagraph"/>
        <w:rPr>
          <w:rFonts w:asciiTheme="minorHAnsi" w:hAnsiTheme="minorHAnsi" w:cstheme="minorHAnsi"/>
          <w:lang w:val="fr-CA"/>
        </w:rPr>
      </w:pPr>
    </w:p>
    <w:p w14:paraId="25667693" w14:textId="2B707A26" w:rsidR="003F63CD" w:rsidRPr="009E1C1C" w:rsidRDefault="003F63CD" w:rsidP="003F63CD">
      <w:pPr>
        <w:pStyle w:val="ListParagraph"/>
        <w:numPr>
          <w:ilvl w:val="0"/>
          <w:numId w:val="4"/>
        </w:numPr>
        <w:contextualSpacing/>
        <w:rPr>
          <w:rFonts w:asciiTheme="minorHAnsi" w:hAnsiTheme="minorHAnsi" w:cstheme="minorHAnsi"/>
          <w:bCs/>
          <w:lang w:val="fr-CA"/>
        </w:rPr>
      </w:pPr>
      <w:r w:rsidRPr="00C63DEB">
        <w:rPr>
          <w:rFonts w:asciiTheme="minorHAnsi" w:hAnsiTheme="minorHAnsi" w:cstheme="minorHAnsi"/>
          <w:lang w:val="fr-CA"/>
        </w:rPr>
        <w:lastRenderedPageBreak/>
        <w:t>Tout transfert budgétaire doit être approuvé par les</w:t>
      </w:r>
      <w:r w:rsidR="009B3571">
        <w:rPr>
          <w:rFonts w:asciiTheme="minorHAnsi" w:hAnsiTheme="minorHAnsi" w:cstheme="minorHAnsi"/>
          <w:lang w:val="fr-CA"/>
        </w:rPr>
        <w:t xml:space="preserve"> SMA des</w:t>
      </w:r>
      <w:r w:rsidRPr="00C63DEB">
        <w:rPr>
          <w:rFonts w:asciiTheme="minorHAnsi" w:hAnsiTheme="minorHAnsi" w:cstheme="minorHAnsi"/>
          <w:lang w:val="fr-CA"/>
        </w:rPr>
        <w:t xml:space="preserve"> deux parties, l’expéditeur et le destinataire. Le même montant doit être reporté dans les prévisions respectives de l’expéditeur et du destinataire (dans l’explication de l’écart) et l’approbation des p</w:t>
      </w:r>
      <w:r w:rsidR="00C63DEB" w:rsidRPr="00C63DEB">
        <w:rPr>
          <w:rFonts w:asciiTheme="minorHAnsi" w:hAnsiTheme="minorHAnsi" w:cstheme="minorHAnsi"/>
          <w:lang w:val="fr-CA"/>
        </w:rPr>
        <w:t>révisions par le SMA</w:t>
      </w:r>
      <w:r w:rsidRPr="00C63DEB">
        <w:rPr>
          <w:rFonts w:asciiTheme="minorHAnsi" w:hAnsiTheme="minorHAnsi" w:cstheme="minorHAnsi"/>
          <w:lang w:val="fr-CA"/>
        </w:rPr>
        <w:t xml:space="preserve"> sera utilisé comme approbation pour traiter les transferts budgétaires. </w:t>
      </w:r>
      <w:r w:rsidRPr="00C63DEB">
        <w:rPr>
          <w:rFonts w:asciiTheme="minorHAnsi" w:hAnsiTheme="minorHAnsi" w:cstheme="minorHAnsi"/>
          <w:bCs/>
          <w:lang w:val="fr-CA"/>
        </w:rPr>
        <w:t>Dans les cas où le transfert n’a pas fait l’objet d’une entente, la direction générale/région doit prévoir l’utilisation de tou</w:t>
      </w:r>
      <w:r w:rsidRPr="009E1C1C">
        <w:rPr>
          <w:rFonts w:asciiTheme="minorHAnsi" w:hAnsiTheme="minorHAnsi" w:cstheme="minorHAnsi"/>
          <w:bCs/>
          <w:lang w:val="fr-CA"/>
        </w:rPr>
        <w:t>tes les ressources (c.</w:t>
      </w:r>
      <w:r w:rsidRPr="009E1C1C">
        <w:rPr>
          <w:rFonts w:asciiTheme="minorHAnsi" w:hAnsiTheme="minorHAnsi" w:cstheme="minorHAnsi"/>
          <w:bCs/>
          <w:lang w:val="fr-CA"/>
        </w:rPr>
        <w:noBreakHyphen/>
        <w:t>à</w:t>
      </w:r>
      <w:r w:rsidRPr="009E1C1C">
        <w:rPr>
          <w:rFonts w:asciiTheme="minorHAnsi" w:hAnsiTheme="minorHAnsi" w:cstheme="minorHAnsi"/>
          <w:bCs/>
          <w:lang w:val="fr-CA"/>
        </w:rPr>
        <w:noBreakHyphen/>
        <w:t>d. aucun virement interne</w:t>
      </w:r>
      <w:r w:rsidR="00C63DEB" w:rsidRPr="009E1C1C">
        <w:rPr>
          <w:rFonts w:asciiTheme="minorHAnsi" w:hAnsiTheme="minorHAnsi" w:cstheme="minorHAnsi"/>
          <w:bCs/>
          <w:lang w:val="fr-CA"/>
        </w:rPr>
        <w:t xml:space="preserve"> ou transfert entre directions générales</w:t>
      </w:r>
      <w:r w:rsidRPr="009E1C1C">
        <w:rPr>
          <w:rFonts w:asciiTheme="minorHAnsi" w:hAnsiTheme="minorHAnsi" w:cstheme="minorHAnsi"/>
          <w:bCs/>
          <w:lang w:val="fr-CA"/>
        </w:rPr>
        <w:t>) jusqu’à ce que l’entente soit confirmée.</w:t>
      </w:r>
    </w:p>
    <w:p w14:paraId="66DFA58A" w14:textId="77777777" w:rsidR="003F63CD" w:rsidRPr="009E1C1C" w:rsidRDefault="003F63CD" w:rsidP="003F63CD">
      <w:pPr>
        <w:pStyle w:val="ListParagraph"/>
        <w:rPr>
          <w:rFonts w:asciiTheme="minorHAnsi" w:hAnsiTheme="minorHAnsi" w:cstheme="minorHAnsi"/>
          <w:bCs/>
          <w:lang w:val="fr-CA"/>
        </w:rPr>
      </w:pPr>
    </w:p>
    <w:p w14:paraId="2CDE8B8E" w14:textId="01176871" w:rsidR="003F63CD" w:rsidRPr="009E1C1C" w:rsidRDefault="003F63CD" w:rsidP="003F63CD">
      <w:pPr>
        <w:pStyle w:val="ListParagraph"/>
        <w:numPr>
          <w:ilvl w:val="0"/>
          <w:numId w:val="4"/>
        </w:numPr>
        <w:contextualSpacing/>
        <w:rPr>
          <w:rFonts w:asciiTheme="minorHAnsi" w:hAnsiTheme="minorHAnsi" w:cstheme="minorHAnsi"/>
          <w:bCs/>
          <w:lang w:val="fr-CA"/>
        </w:rPr>
      </w:pPr>
      <w:r w:rsidRPr="009E1C1C">
        <w:rPr>
          <w:rFonts w:asciiTheme="minorHAnsi" w:hAnsiTheme="minorHAnsi" w:cstheme="minorHAnsi"/>
          <w:bCs/>
          <w:lang w:val="fr-CA"/>
        </w:rPr>
        <w:t xml:space="preserve">Une étude de cas est requise </w:t>
      </w:r>
      <w:r w:rsidRPr="009E1C1C">
        <w:rPr>
          <w:rFonts w:asciiTheme="minorHAnsi" w:hAnsiTheme="minorHAnsi" w:cstheme="minorHAnsi"/>
          <w:b/>
          <w:bCs/>
          <w:lang w:val="fr-CA"/>
        </w:rPr>
        <w:t>pour chaque pression soulevée</w:t>
      </w:r>
      <w:r w:rsidRPr="009E1C1C">
        <w:rPr>
          <w:rFonts w:asciiTheme="minorHAnsi" w:hAnsiTheme="minorHAnsi" w:cstheme="minorHAnsi"/>
          <w:bCs/>
          <w:lang w:val="fr-CA"/>
        </w:rPr>
        <w:t xml:space="preserve"> </w:t>
      </w:r>
      <w:r w:rsidRPr="009E1C1C">
        <w:rPr>
          <w:rFonts w:asciiTheme="minorHAnsi" w:hAnsiTheme="minorHAnsi" w:cstheme="minorHAnsi"/>
          <w:lang w:val="fr-CA"/>
        </w:rPr>
        <w:t xml:space="preserve">dans l’explication de l’écart, </w:t>
      </w:r>
      <w:r w:rsidRPr="009E1C1C">
        <w:rPr>
          <w:rFonts w:asciiTheme="minorHAnsi" w:hAnsiTheme="minorHAnsi" w:cstheme="minorHAnsi"/>
          <w:bCs/>
          <w:lang w:val="fr-CA"/>
        </w:rPr>
        <w:t>et elle doit fournir une explication de la raison pour laquelle la direction générale/région ne peut pas absorber les coûts à l’interne</w:t>
      </w:r>
      <w:r w:rsidRPr="009E1C1C">
        <w:rPr>
          <w:rFonts w:asciiTheme="minorHAnsi" w:hAnsiTheme="minorHAnsi" w:cstheme="minorHAnsi"/>
          <w:lang w:val="fr-CA"/>
        </w:rPr>
        <w:t xml:space="preserve">. L’étude de cas doit être soumise à la GRM </w:t>
      </w:r>
      <w:r w:rsidRPr="009E1C1C">
        <w:rPr>
          <w:rFonts w:asciiTheme="minorHAnsi" w:hAnsiTheme="minorHAnsi" w:cstheme="minorHAnsi"/>
          <w:bCs/>
          <w:lang w:val="fr-CA"/>
        </w:rPr>
        <w:t xml:space="preserve">selon le calendrier de l’Annexe A au moyen de la boîte </w:t>
      </w:r>
      <w:r w:rsidR="009B3571">
        <w:rPr>
          <w:rFonts w:asciiTheme="minorHAnsi" w:hAnsiTheme="minorHAnsi" w:cstheme="minorHAnsi"/>
          <w:bCs/>
          <w:lang w:val="fr-CA"/>
        </w:rPr>
        <w:t>générique</w:t>
      </w:r>
      <w:r w:rsidRPr="009E1C1C">
        <w:rPr>
          <w:rFonts w:asciiTheme="minorHAnsi" w:hAnsiTheme="minorHAnsi" w:cstheme="minorHAnsi"/>
          <w:bCs/>
          <w:lang w:val="fr-CA"/>
        </w:rPr>
        <w:t xml:space="preserve"> réservée aux prévisions </w:t>
      </w:r>
      <w:r w:rsidRPr="009E1C1C">
        <w:rPr>
          <w:rFonts w:asciiTheme="minorHAnsi" w:hAnsiTheme="minorHAnsi" w:cstheme="minorHAnsi"/>
          <w:lang w:val="fr-CA"/>
        </w:rPr>
        <w:t xml:space="preserve">: </w:t>
      </w:r>
      <w:hyperlink r:id="rId12" w:history="1">
        <w:r w:rsidRPr="009E1C1C">
          <w:rPr>
            <w:rStyle w:val="Hyperlink"/>
            <w:rFonts w:asciiTheme="minorHAnsi" w:hAnsiTheme="minorHAnsi" w:cstheme="minorHAnsi"/>
            <w:lang w:val="fr-CA"/>
          </w:rPr>
          <w:t>NC-Forecasting-Mailbox-CRM_Boîtes-aux-lettres-Prévisions-GRM-GD</w:t>
        </w:r>
      </w:hyperlink>
      <w:r w:rsidRPr="009E1C1C">
        <w:rPr>
          <w:rFonts w:asciiTheme="minorHAnsi" w:hAnsiTheme="minorHAnsi" w:cstheme="minorHAnsi"/>
          <w:lang w:val="fr-CA"/>
        </w:rPr>
        <w:t>, aux fins de considération de l’adjoint au dirigeant principal des finances et d</w:t>
      </w:r>
      <w:r w:rsidR="009B3571">
        <w:rPr>
          <w:rFonts w:asciiTheme="minorHAnsi" w:hAnsiTheme="minorHAnsi" w:cstheme="minorHAnsi"/>
          <w:lang w:val="fr-CA"/>
        </w:rPr>
        <w:t>e la</w:t>
      </w:r>
      <w:r w:rsidRPr="009E1C1C">
        <w:rPr>
          <w:rFonts w:asciiTheme="minorHAnsi" w:hAnsiTheme="minorHAnsi" w:cstheme="minorHAnsi"/>
          <w:lang w:val="fr-CA"/>
        </w:rPr>
        <w:t xml:space="preserve"> </w:t>
      </w:r>
      <w:r w:rsidR="009B3571">
        <w:rPr>
          <w:rFonts w:asciiTheme="minorHAnsi" w:hAnsiTheme="minorHAnsi" w:cstheme="minorHAnsi"/>
          <w:lang w:val="fr-CA"/>
        </w:rPr>
        <w:t>D</w:t>
      </w:r>
      <w:r w:rsidRPr="009E1C1C">
        <w:rPr>
          <w:rFonts w:asciiTheme="minorHAnsi" w:hAnsiTheme="minorHAnsi" w:cstheme="minorHAnsi"/>
          <w:lang w:val="fr-CA"/>
        </w:rPr>
        <w:t>irigeant principal des finances. À leur tour, ces derniers font des recommandations aux sous</w:t>
      </w:r>
      <w:r w:rsidRPr="009E1C1C">
        <w:rPr>
          <w:rFonts w:asciiTheme="minorHAnsi" w:hAnsiTheme="minorHAnsi" w:cstheme="minorHAnsi"/>
          <w:lang w:val="fr-CA"/>
        </w:rPr>
        <w:noBreakHyphen/>
        <w:t>ministres en vue de l’approbation finale. À noter que le financement des pressions approuvées dépend de la disponibilité des ressources ministérielles et peut uniquement être évalué par rapport à la situation financière de l’ensemble du portefeuille</w:t>
      </w:r>
      <w:r w:rsidRPr="009E1C1C">
        <w:rPr>
          <w:rFonts w:asciiTheme="minorHAnsi" w:hAnsiTheme="minorHAnsi" w:cstheme="minorHAnsi"/>
          <w:spacing w:val="-4"/>
          <w:lang w:val="fr-CA"/>
        </w:rPr>
        <w:t>.</w:t>
      </w:r>
    </w:p>
    <w:p w14:paraId="709C9A0E" w14:textId="77777777" w:rsidR="003F63CD" w:rsidRPr="009E1C1C" w:rsidRDefault="003F63CD" w:rsidP="003F63CD">
      <w:pPr>
        <w:pStyle w:val="ListParagraph"/>
        <w:rPr>
          <w:rFonts w:asciiTheme="minorHAnsi" w:hAnsiTheme="minorHAnsi" w:cstheme="minorHAnsi"/>
          <w:bCs/>
          <w:lang w:val="fr-CA"/>
        </w:rPr>
      </w:pPr>
    </w:p>
    <w:p w14:paraId="42CEF243" w14:textId="77777777" w:rsidR="003F63CD" w:rsidRPr="009E1C1C" w:rsidRDefault="003F63CD" w:rsidP="003F63CD">
      <w:pPr>
        <w:pStyle w:val="ListParagraph"/>
        <w:numPr>
          <w:ilvl w:val="0"/>
          <w:numId w:val="4"/>
        </w:numPr>
        <w:contextualSpacing/>
        <w:rPr>
          <w:rFonts w:asciiTheme="minorHAnsi" w:hAnsiTheme="minorHAnsi" w:cstheme="minorHAnsi"/>
          <w:bCs/>
          <w:lang w:val="fr-CA"/>
        </w:rPr>
      </w:pPr>
      <w:r w:rsidRPr="009E1C1C">
        <w:rPr>
          <w:rFonts w:asciiTheme="minorHAnsi" w:hAnsiTheme="minorHAnsi" w:cstheme="minorHAnsi"/>
          <w:bCs/>
          <w:lang w:val="fr-CA"/>
        </w:rPr>
        <w:t xml:space="preserve">Les </w:t>
      </w:r>
      <w:r w:rsidRPr="005866AF">
        <w:rPr>
          <w:rFonts w:asciiTheme="minorHAnsi" w:hAnsiTheme="minorHAnsi" w:cstheme="minorHAnsi"/>
          <w:b/>
          <w:bCs/>
          <w:lang w:val="fr-CA"/>
        </w:rPr>
        <w:t xml:space="preserve">pressions gérées à </w:t>
      </w:r>
      <w:r w:rsidR="00CA488A" w:rsidRPr="005866AF">
        <w:rPr>
          <w:rFonts w:asciiTheme="minorHAnsi" w:hAnsiTheme="minorHAnsi" w:cstheme="minorHAnsi"/>
          <w:b/>
          <w:bCs/>
          <w:lang w:val="fr-CA"/>
        </w:rPr>
        <w:t>l’interne</w:t>
      </w:r>
      <w:r w:rsidR="00CA488A" w:rsidRPr="009E1C1C">
        <w:rPr>
          <w:rFonts w:asciiTheme="minorHAnsi" w:hAnsiTheme="minorHAnsi" w:cstheme="minorHAnsi"/>
          <w:bCs/>
          <w:lang w:val="fr-CA"/>
        </w:rPr>
        <w:t xml:space="preserve"> par les directions générales ou les </w:t>
      </w:r>
      <w:r w:rsidR="00CA488A" w:rsidRPr="005866AF">
        <w:rPr>
          <w:rFonts w:asciiTheme="minorHAnsi" w:hAnsiTheme="minorHAnsi" w:cstheme="minorHAnsi"/>
          <w:bCs/>
          <w:lang w:val="fr-CA"/>
        </w:rPr>
        <w:t xml:space="preserve">régions </w:t>
      </w:r>
      <w:r w:rsidRPr="009E1C1C">
        <w:rPr>
          <w:rFonts w:asciiTheme="minorHAnsi" w:hAnsiTheme="minorHAnsi" w:cstheme="minorHAnsi"/>
          <w:b/>
          <w:bCs/>
          <w:lang w:val="fr-CA"/>
        </w:rPr>
        <w:t>ne doivent pas être présentées comme un écart par rapport au budget</w:t>
      </w:r>
      <w:r w:rsidRPr="009E1C1C">
        <w:rPr>
          <w:rFonts w:asciiTheme="minorHAnsi" w:hAnsiTheme="minorHAnsi" w:cstheme="minorHAnsi"/>
          <w:bCs/>
          <w:lang w:val="fr-CA"/>
        </w:rPr>
        <w:t>, c.</w:t>
      </w:r>
      <w:r w:rsidRPr="009E1C1C">
        <w:rPr>
          <w:rFonts w:asciiTheme="minorHAnsi" w:hAnsiTheme="minorHAnsi" w:cstheme="minorHAnsi"/>
          <w:bCs/>
          <w:lang w:val="fr-CA"/>
        </w:rPr>
        <w:noBreakHyphen/>
        <w:t>à</w:t>
      </w:r>
      <w:r w:rsidRPr="009E1C1C">
        <w:rPr>
          <w:rFonts w:asciiTheme="minorHAnsi" w:hAnsiTheme="minorHAnsi" w:cstheme="minorHAnsi"/>
          <w:bCs/>
          <w:lang w:val="fr-CA"/>
        </w:rPr>
        <w:noBreakHyphen/>
        <w:t xml:space="preserve">d. qu’elles ne font pas partie des écarts et que les directions générales/régions doivent réduire </w:t>
      </w:r>
      <w:r w:rsidR="00CA488A" w:rsidRPr="009E1C1C">
        <w:rPr>
          <w:rFonts w:asciiTheme="minorHAnsi" w:hAnsiTheme="minorHAnsi" w:cstheme="minorHAnsi"/>
          <w:bCs/>
          <w:lang w:val="fr-CA"/>
        </w:rPr>
        <w:t xml:space="preserve">leurs prévisions par l’entremise du FMBB avant de compléter l’explication des variances. </w:t>
      </w:r>
    </w:p>
    <w:p w14:paraId="1830D2D4" w14:textId="77777777" w:rsidR="003F63CD" w:rsidRPr="009E1C1C" w:rsidRDefault="003F63CD" w:rsidP="003F63CD">
      <w:pPr>
        <w:pStyle w:val="ListParagraph"/>
        <w:rPr>
          <w:rFonts w:asciiTheme="minorHAnsi" w:hAnsiTheme="minorHAnsi" w:cstheme="minorHAnsi"/>
          <w:bCs/>
          <w:lang w:val="fr-CA"/>
        </w:rPr>
      </w:pPr>
    </w:p>
    <w:p w14:paraId="2414C45E" w14:textId="7F1D609D" w:rsidR="003F63CD" w:rsidRPr="00DE222D" w:rsidRDefault="00712DA5" w:rsidP="00712DA5">
      <w:pPr>
        <w:pStyle w:val="ListParagraph"/>
        <w:numPr>
          <w:ilvl w:val="0"/>
          <w:numId w:val="4"/>
        </w:numPr>
        <w:contextualSpacing/>
        <w:rPr>
          <w:rFonts w:asciiTheme="minorHAnsi" w:hAnsiTheme="minorHAnsi" w:cstheme="minorHAnsi"/>
          <w:b/>
          <w:bCs/>
          <w:lang w:val="fr-CA"/>
        </w:rPr>
      </w:pPr>
      <w:r w:rsidRPr="009E1C1C">
        <w:rPr>
          <w:rFonts w:asciiTheme="minorHAnsi" w:hAnsiTheme="minorHAnsi" w:cstheme="minorHAnsi"/>
          <w:bCs/>
          <w:lang w:val="fr-CA"/>
        </w:rPr>
        <w:t xml:space="preserve">Les </w:t>
      </w:r>
      <w:r w:rsidR="009B3571">
        <w:rPr>
          <w:rFonts w:asciiTheme="minorHAnsi" w:hAnsiTheme="minorHAnsi" w:cstheme="minorHAnsi"/>
          <w:bCs/>
          <w:lang w:val="fr-CA"/>
        </w:rPr>
        <w:t>surplus</w:t>
      </w:r>
      <w:r w:rsidR="009B3571" w:rsidRPr="009E1C1C">
        <w:rPr>
          <w:rFonts w:asciiTheme="minorHAnsi" w:hAnsiTheme="minorHAnsi" w:cstheme="minorHAnsi"/>
          <w:bCs/>
          <w:lang w:val="fr-CA"/>
        </w:rPr>
        <w:t xml:space="preserve"> </w:t>
      </w:r>
      <w:r w:rsidRPr="009E1C1C">
        <w:rPr>
          <w:rFonts w:asciiTheme="minorHAnsi" w:hAnsiTheme="minorHAnsi" w:cstheme="minorHAnsi"/>
          <w:bCs/>
          <w:lang w:val="fr-CA"/>
        </w:rPr>
        <w:t>doivent être identifiés comme te</w:t>
      </w:r>
      <w:r w:rsidR="00283A91" w:rsidRPr="009E1C1C">
        <w:rPr>
          <w:rFonts w:asciiTheme="minorHAnsi" w:hAnsiTheme="minorHAnsi" w:cstheme="minorHAnsi"/>
          <w:bCs/>
          <w:lang w:val="fr-CA"/>
        </w:rPr>
        <w:t>ls dans l'explication des variances</w:t>
      </w:r>
      <w:r w:rsidRPr="009E1C1C">
        <w:rPr>
          <w:rFonts w:asciiTheme="minorHAnsi" w:hAnsiTheme="minorHAnsi" w:cstheme="minorHAnsi"/>
          <w:bCs/>
          <w:lang w:val="fr-CA"/>
        </w:rPr>
        <w:t xml:space="preserve">. Un </w:t>
      </w:r>
      <w:r w:rsidR="009B3571">
        <w:rPr>
          <w:rFonts w:asciiTheme="minorHAnsi" w:hAnsiTheme="minorHAnsi" w:cstheme="minorHAnsi"/>
          <w:b/>
          <w:bCs/>
          <w:lang w:val="fr-CA"/>
        </w:rPr>
        <w:t>surplus</w:t>
      </w:r>
      <w:r w:rsidR="009B3571" w:rsidRPr="009E1C1C">
        <w:rPr>
          <w:rFonts w:asciiTheme="minorHAnsi" w:hAnsiTheme="minorHAnsi" w:cstheme="minorHAnsi"/>
          <w:b/>
          <w:bCs/>
          <w:lang w:val="fr-CA"/>
        </w:rPr>
        <w:t xml:space="preserve"> </w:t>
      </w:r>
      <w:r w:rsidRPr="009E1C1C">
        <w:rPr>
          <w:rFonts w:asciiTheme="minorHAnsi" w:hAnsiTheme="minorHAnsi" w:cstheme="minorHAnsi"/>
          <w:b/>
          <w:bCs/>
          <w:lang w:val="fr-CA"/>
        </w:rPr>
        <w:t>rapatriable</w:t>
      </w:r>
      <w:r w:rsidRPr="009E1C1C">
        <w:rPr>
          <w:rFonts w:asciiTheme="minorHAnsi" w:hAnsiTheme="minorHAnsi" w:cstheme="minorHAnsi"/>
          <w:bCs/>
          <w:lang w:val="fr-CA"/>
        </w:rPr>
        <w:t xml:space="preserve"> est défini comme un budget qui peut être immédiatement rap</w:t>
      </w:r>
      <w:r w:rsidR="00283A91" w:rsidRPr="009E1C1C">
        <w:rPr>
          <w:rFonts w:asciiTheme="minorHAnsi" w:hAnsiTheme="minorHAnsi" w:cstheme="minorHAnsi"/>
          <w:bCs/>
          <w:lang w:val="fr-CA"/>
        </w:rPr>
        <w:t>atrié au niveau de la direction générale</w:t>
      </w:r>
      <w:r w:rsidRPr="009E1C1C">
        <w:rPr>
          <w:rFonts w:asciiTheme="minorHAnsi" w:hAnsiTheme="minorHAnsi" w:cstheme="minorHAnsi"/>
          <w:bCs/>
          <w:lang w:val="fr-CA"/>
        </w:rPr>
        <w:t xml:space="preserve"> pour être transfé</w:t>
      </w:r>
      <w:r w:rsidR="00283A91" w:rsidRPr="009E1C1C">
        <w:rPr>
          <w:rFonts w:asciiTheme="minorHAnsi" w:hAnsiTheme="minorHAnsi" w:cstheme="minorHAnsi"/>
          <w:bCs/>
          <w:lang w:val="fr-CA"/>
        </w:rPr>
        <w:t>ré à la réserve corporative</w:t>
      </w:r>
      <w:r w:rsidRPr="009E1C1C">
        <w:rPr>
          <w:rFonts w:asciiTheme="minorHAnsi" w:hAnsiTheme="minorHAnsi" w:cstheme="minorHAnsi"/>
          <w:bCs/>
          <w:lang w:val="fr-CA"/>
        </w:rPr>
        <w:t xml:space="preserve">. Un </w:t>
      </w:r>
      <w:r w:rsidR="009B3571">
        <w:rPr>
          <w:rFonts w:asciiTheme="minorHAnsi" w:hAnsiTheme="minorHAnsi" w:cstheme="minorHAnsi"/>
          <w:b/>
          <w:bCs/>
          <w:lang w:val="fr-CA"/>
        </w:rPr>
        <w:t>surplus</w:t>
      </w:r>
      <w:r w:rsidR="009B3571" w:rsidRPr="009E1C1C">
        <w:rPr>
          <w:rFonts w:asciiTheme="minorHAnsi" w:hAnsiTheme="minorHAnsi" w:cstheme="minorHAnsi"/>
          <w:b/>
          <w:bCs/>
          <w:lang w:val="fr-CA"/>
        </w:rPr>
        <w:t xml:space="preserve"> </w:t>
      </w:r>
      <w:r w:rsidRPr="009E1C1C">
        <w:rPr>
          <w:rFonts w:asciiTheme="minorHAnsi" w:hAnsiTheme="minorHAnsi" w:cstheme="minorHAnsi"/>
          <w:b/>
          <w:bCs/>
          <w:lang w:val="fr-CA"/>
        </w:rPr>
        <w:t>non rapatriable</w:t>
      </w:r>
      <w:r w:rsidRPr="009E1C1C">
        <w:rPr>
          <w:rFonts w:asciiTheme="minorHAnsi" w:hAnsiTheme="minorHAnsi" w:cstheme="minorHAnsi"/>
          <w:bCs/>
          <w:lang w:val="fr-CA"/>
        </w:rPr>
        <w:t xml:space="preserve"> </w:t>
      </w:r>
      <w:r w:rsidRPr="009E1C1C">
        <w:rPr>
          <w:rFonts w:asciiTheme="minorHAnsi" w:hAnsiTheme="minorHAnsi" w:cstheme="minorHAnsi"/>
          <w:bCs/>
          <w:u w:val="single"/>
          <w:lang w:val="fr-CA"/>
        </w:rPr>
        <w:t>doit être</w:t>
      </w:r>
      <w:r w:rsidRPr="009E1C1C">
        <w:rPr>
          <w:rFonts w:asciiTheme="minorHAnsi" w:hAnsiTheme="minorHAnsi" w:cstheme="minorHAnsi"/>
          <w:bCs/>
          <w:lang w:val="fr-CA"/>
        </w:rPr>
        <w:t xml:space="preserve"> </w:t>
      </w:r>
      <w:r w:rsidR="009B3571" w:rsidRPr="009E1C1C">
        <w:rPr>
          <w:rFonts w:asciiTheme="minorHAnsi" w:hAnsiTheme="minorHAnsi" w:cstheme="minorHAnsi"/>
          <w:bCs/>
          <w:lang w:val="fr-CA"/>
        </w:rPr>
        <w:t>r</w:t>
      </w:r>
      <w:r w:rsidR="009B3571">
        <w:rPr>
          <w:rFonts w:asciiTheme="minorHAnsi" w:hAnsiTheme="minorHAnsi" w:cstheme="minorHAnsi"/>
          <w:bCs/>
          <w:lang w:val="fr-CA"/>
        </w:rPr>
        <w:t>etourné</w:t>
      </w:r>
      <w:r w:rsidR="009B3571" w:rsidRPr="009E1C1C">
        <w:rPr>
          <w:rFonts w:asciiTheme="minorHAnsi" w:hAnsiTheme="minorHAnsi" w:cstheme="minorHAnsi"/>
          <w:bCs/>
          <w:lang w:val="fr-CA"/>
        </w:rPr>
        <w:t xml:space="preserve"> </w:t>
      </w:r>
      <w:r w:rsidRPr="009E1C1C">
        <w:rPr>
          <w:rFonts w:asciiTheme="minorHAnsi" w:hAnsiTheme="minorHAnsi" w:cstheme="minorHAnsi"/>
          <w:bCs/>
          <w:lang w:val="fr-CA"/>
        </w:rPr>
        <w:t xml:space="preserve">à la réserve corporative dès qu'il sera disponible avant la fin de l'année. </w:t>
      </w:r>
      <w:r w:rsidRPr="00DE222D">
        <w:rPr>
          <w:rFonts w:asciiTheme="minorHAnsi" w:hAnsiTheme="minorHAnsi" w:cstheme="minorHAnsi"/>
          <w:b/>
          <w:bCs/>
          <w:lang w:val="fr-CA"/>
        </w:rPr>
        <w:t xml:space="preserve">Il est important de noter que tout </w:t>
      </w:r>
      <w:r w:rsidR="009B3571">
        <w:rPr>
          <w:rFonts w:asciiTheme="minorHAnsi" w:hAnsiTheme="minorHAnsi" w:cstheme="minorHAnsi"/>
          <w:b/>
          <w:bCs/>
          <w:lang w:val="fr-CA"/>
        </w:rPr>
        <w:t>surplus</w:t>
      </w:r>
      <w:r w:rsidR="009B3571" w:rsidRPr="00DE222D">
        <w:rPr>
          <w:rFonts w:asciiTheme="minorHAnsi" w:hAnsiTheme="minorHAnsi" w:cstheme="minorHAnsi"/>
          <w:b/>
          <w:bCs/>
          <w:lang w:val="fr-CA"/>
        </w:rPr>
        <w:t xml:space="preserve"> </w:t>
      </w:r>
      <w:r w:rsidRPr="00DE222D">
        <w:rPr>
          <w:rFonts w:asciiTheme="minorHAnsi" w:hAnsiTheme="minorHAnsi" w:cstheme="minorHAnsi"/>
          <w:b/>
          <w:bCs/>
          <w:lang w:val="fr-CA"/>
        </w:rPr>
        <w:t>déclaré (rapatriable ou non) fait partie de la stratégie financi</w:t>
      </w:r>
      <w:r w:rsidR="00283A91" w:rsidRPr="00DE222D">
        <w:rPr>
          <w:rFonts w:asciiTheme="minorHAnsi" w:hAnsiTheme="minorHAnsi" w:cstheme="minorHAnsi"/>
          <w:b/>
          <w:bCs/>
          <w:lang w:val="fr-CA"/>
        </w:rPr>
        <w:t>ère du ministère pour contrebalancer</w:t>
      </w:r>
      <w:r w:rsidRPr="00DE222D">
        <w:rPr>
          <w:rFonts w:asciiTheme="minorHAnsi" w:hAnsiTheme="minorHAnsi" w:cstheme="minorHAnsi"/>
          <w:b/>
          <w:bCs/>
          <w:lang w:val="fr-CA"/>
        </w:rPr>
        <w:t xml:space="preserve"> </w:t>
      </w:r>
      <w:r w:rsidR="009B3571">
        <w:rPr>
          <w:rFonts w:asciiTheme="minorHAnsi" w:hAnsiTheme="minorHAnsi" w:cstheme="minorHAnsi"/>
          <w:b/>
          <w:bCs/>
          <w:lang w:val="fr-CA"/>
        </w:rPr>
        <w:t>les</w:t>
      </w:r>
      <w:r w:rsidRPr="00DE222D">
        <w:rPr>
          <w:rFonts w:asciiTheme="minorHAnsi" w:hAnsiTheme="minorHAnsi" w:cstheme="minorHAnsi"/>
          <w:b/>
          <w:bCs/>
          <w:lang w:val="fr-CA"/>
        </w:rPr>
        <w:t xml:space="preserve"> autres pressions du ministère. </w:t>
      </w:r>
    </w:p>
    <w:p w14:paraId="4BBE0A36" w14:textId="77777777" w:rsidR="003F63CD" w:rsidRPr="00881FDC" w:rsidRDefault="003F63CD" w:rsidP="003F63CD">
      <w:pPr>
        <w:rPr>
          <w:rFonts w:asciiTheme="minorHAnsi" w:hAnsiTheme="minorHAnsi" w:cstheme="minorHAnsi"/>
          <w:bCs/>
          <w:lang w:val="fr-CA"/>
        </w:rPr>
      </w:pPr>
    </w:p>
    <w:p w14:paraId="549A9F12" w14:textId="6E280A89" w:rsidR="003F63CD" w:rsidRPr="00C60292" w:rsidRDefault="003F63CD" w:rsidP="003F63CD">
      <w:pPr>
        <w:pStyle w:val="ListParagraph"/>
        <w:numPr>
          <w:ilvl w:val="0"/>
          <w:numId w:val="4"/>
        </w:numPr>
        <w:contextualSpacing/>
        <w:rPr>
          <w:rFonts w:asciiTheme="minorHAnsi" w:hAnsiTheme="minorHAnsi" w:cstheme="minorHAnsi"/>
          <w:bCs/>
          <w:lang w:val="fr-CA"/>
        </w:rPr>
      </w:pPr>
      <w:r w:rsidRPr="009E1C1C">
        <w:rPr>
          <w:rFonts w:asciiTheme="minorHAnsi" w:hAnsiTheme="minorHAnsi" w:cstheme="minorHAnsi"/>
          <w:bCs/>
          <w:lang w:val="fr-CA"/>
        </w:rPr>
        <w:t xml:space="preserve">Les CGF doivent produire le rapport BI Surplus/Déficit pour leur direction générale/région cliente, ajouter l’explication des écarts et obtenir l’approbation du </w:t>
      </w:r>
      <w:r w:rsidR="009E1C1C" w:rsidRPr="009E1C1C">
        <w:rPr>
          <w:rFonts w:asciiTheme="minorHAnsi" w:hAnsiTheme="minorHAnsi" w:cstheme="minorHAnsi"/>
          <w:bCs/>
          <w:lang w:val="fr-CA"/>
        </w:rPr>
        <w:t>SMA</w:t>
      </w:r>
      <w:r w:rsidRPr="009E1C1C">
        <w:rPr>
          <w:rFonts w:asciiTheme="minorHAnsi" w:hAnsiTheme="minorHAnsi" w:cstheme="minorHAnsi"/>
          <w:bCs/>
          <w:lang w:val="fr-CA"/>
        </w:rPr>
        <w:t xml:space="preserve"> et du CGF. Ce rapport doit être envoyé à la GRM selon le calendrier de l’Annexe A, au moyen de la boîte aux lettres réservée aux prévisions </w:t>
      </w:r>
      <w:r w:rsidRPr="009E1C1C">
        <w:rPr>
          <w:rFonts w:asciiTheme="minorHAnsi" w:hAnsiTheme="minorHAnsi" w:cstheme="minorHAnsi"/>
          <w:lang w:val="fr-CA"/>
        </w:rPr>
        <w:t xml:space="preserve">: </w:t>
      </w:r>
      <w:hyperlink r:id="rId13" w:history="1">
        <w:r w:rsidRPr="009E1C1C">
          <w:rPr>
            <w:rStyle w:val="Hyperlink"/>
            <w:rFonts w:asciiTheme="minorHAnsi" w:hAnsiTheme="minorHAnsi" w:cstheme="minorHAnsi"/>
            <w:lang w:val="fr-CA"/>
          </w:rPr>
          <w:t>NC-Forecasting-Mailbox-CRM_Boîtes-aux-lettres-Prévisions-GRM-GD</w:t>
        </w:r>
      </w:hyperlink>
      <w:r w:rsidRPr="009E1C1C">
        <w:rPr>
          <w:rFonts w:asciiTheme="minorHAnsi" w:hAnsiTheme="minorHAnsi" w:cstheme="minorHAnsi"/>
          <w:lang w:val="fr-CA"/>
        </w:rPr>
        <w:t>. Il est essentiel qu’une vérification de l’intégrité soit complétée avant la soumission des documents de prévisions de la direction générale ou de la région à la GRM.</w:t>
      </w:r>
    </w:p>
    <w:p w14:paraId="7A0CB09A" w14:textId="77777777" w:rsidR="00C60292" w:rsidRPr="009E576A" w:rsidRDefault="00C60292" w:rsidP="009E576A">
      <w:pPr>
        <w:pStyle w:val="ListParagraph"/>
        <w:rPr>
          <w:rFonts w:asciiTheme="minorHAnsi" w:hAnsiTheme="minorHAnsi" w:cstheme="minorHAnsi"/>
          <w:bCs/>
          <w:lang w:val="fr-CA"/>
        </w:rPr>
      </w:pPr>
    </w:p>
    <w:p w14:paraId="11290B41" w14:textId="0D21A525" w:rsidR="00C60292" w:rsidRPr="009E1C1C" w:rsidRDefault="00C60292" w:rsidP="003F63CD">
      <w:pPr>
        <w:pStyle w:val="ListParagraph"/>
        <w:numPr>
          <w:ilvl w:val="0"/>
          <w:numId w:val="4"/>
        </w:numPr>
        <w:contextualSpacing/>
        <w:rPr>
          <w:rFonts w:asciiTheme="minorHAnsi" w:hAnsiTheme="minorHAnsi" w:cstheme="minorHAnsi"/>
          <w:bCs/>
          <w:lang w:val="fr-CA"/>
        </w:rPr>
      </w:pPr>
      <w:r>
        <w:rPr>
          <w:rFonts w:asciiTheme="minorHAnsi" w:hAnsiTheme="minorHAnsi" w:cstheme="minorHAnsi"/>
          <w:bCs/>
          <w:lang w:val="fr-CA"/>
        </w:rPr>
        <w:t>Afin de respecter les sources de fonds du ministère et pour prévenir toutes surprises en fin d’année, il est important d’identifier de quelle source de fonds proviennent les surplus et dans quelle source de fonds sont les déficits.</w:t>
      </w:r>
    </w:p>
    <w:p w14:paraId="525A4081" w14:textId="77777777" w:rsidR="00DD42B6" w:rsidRPr="00C60292" w:rsidRDefault="00DD42B6" w:rsidP="00C60292">
      <w:pPr>
        <w:rPr>
          <w:bCs/>
          <w:lang w:val="fr-CA"/>
        </w:rPr>
      </w:pPr>
    </w:p>
    <w:p w14:paraId="6B69645C" w14:textId="4F9C2B4B" w:rsidR="003F63CD" w:rsidRPr="003F1788" w:rsidRDefault="003F63CD" w:rsidP="00E8661F">
      <w:pPr>
        <w:pStyle w:val="Heading2"/>
        <w:numPr>
          <w:ilvl w:val="1"/>
          <w:numId w:val="2"/>
        </w:numPr>
        <w:rPr>
          <w:lang w:val="fr-CA"/>
        </w:rPr>
      </w:pPr>
      <w:bookmarkStart w:id="17" w:name="_Toc513716495"/>
      <w:bookmarkStart w:id="18" w:name="_Toc72402506"/>
      <w:r w:rsidRPr="00D96C0B">
        <w:rPr>
          <w:lang w:val="fr-CA"/>
        </w:rPr>
        <w:t>Consolidation</w:t>
      </w:r>
      <w:r w:rsidRPr="003F1788">
        <w:rPr>
          <w:lang w:val="fr-CA"/>
        </w:rPr>
        <w:t xml:space="preserve"> des prévisions </w:t>
      </w:r>
      <w:bookmarkEnd w:id="17"/>
      <w:r w:rsidR="00DD42B6">
        <w:rPr>
          <w:lang w:val="fr-CA"/>
        </w:rPr>
        <w:t>ministérielles</w:t>
      </w:r>
      <w:bookmarkEnd w:id="18"/>
    </w:p>
    <w:p w14:paraId="453C12E9" w14:textId="77777777" w:rsidR="003F63CD" w:rsidRPr="003F1788" w:rsidRDefault="003F63CD" w:rsidP="003F63CD">
      <w:pPr>
        <w:rPr>
          <w:lang w:val="fr-CA"/>
        </w:rPr>
      </w:pPr>
    </w:p>
    <w:p w14:paraId="2CAE474B" w14:textId="05FEECDD" w:rsidR="003F63CD" w:rsidRPr="003F1788" w:rsidRDefault="003F63CD" w:rsidP="003F63CD">
      <w:pPr>
        <w:rPr>
          <w:lang w:val="fr-CA"/>
        </w:rPr>
      </w:pPr>
      <w:r w:rsidRPr="003F1788">
        <w:rPr>
          <w:lang w:val="fr-CA"/>
        </w:rPr>
        <w:t>La consolidation ministérielle</w:t>
      </w:r>
      <w:r>
        <w:rPr>
          <w:lang w:val="fr-CA"/>
        </w:rPr>
        <w:t xml:space="preserve"> </w:t>
      </w:r>
      <w:r w:rsidR="00DD42B6">
        <w:rPr>
          <w:lang w:val="fr-CA"/>
        </w:rPr>
        <w:t>est</w:t>
      </w:r>
      <w:r w:rsidR="00DD42B6" w:rsidRPr="003F1788">
        <w:rPr>
          <w:lang w:val="fr-CA"/>
        </w:rPr>
        <w:t xml:space="preserve"> effectuée</w:t>
      </w:r>
      <w:r w:rsidRPr="003F1788">
        <w:rPr>
          <w:lang w:val="fr-CA"/>
        </w:rPr>
        <w:t xml:space="preserve"> au moyen de maSGE</w:t>
      </w:r>
      <w:r w:rsidR="00C12C9E">
        <w:rPr>
          <w:lang w:val="fr-CA"/>
        </w:rPr>
        <w:t xml:space="preserve"> </w:t>
      </w:r>
      <w:r>
        <w:rPr>
          <w:lang w:val="fr-CA"/>
        </w:rPr>
        <w:t>(SAP)</w:t>
      </w:r>
      <w:r w:rsidRPr="003F1788">
        <w:rPr>
          <w:lang w:val="fr-CA"/>
        </w:rPr>
        <w:t xml:space="preserve"> et des rapports BI Surplus/Déficit reçus de toutes les directions générales/régions. </w:t>
      </w:r>
      <w:r>
        <w:rPr>
          <w:lang w:val="fr-CA"/>
        </w:rPr>
        <w:t>Les renseignements s</w:t>
      </w:r>
      <w:r w:rsidRPr="003F1788">
        <w:rPr>
          <w:lang w:val="fr-CA"/>
        </w:rPr>
        <w:t>ont ensuite consolidés dans le Rapport financier ministériel (RFM) et présentés à l’ADPF et au DPF qui, à leur tour, les présent</w:t>
      </w:r>
      <w:r>
        <w:rPr>
          <w:lang w:val="fr-CA"/>
        </w:rPr>
        <w:t>ent</w:t>
      </w:r>
      <w:r w:rsidRPr="003F1788">
        <w:rPr>
          <w:lang w:val="fr-CA"/>
        </w:rPr>
        <w:t xml:space="preserve"> aux sous</w:t>
      </w:r>
      <w:r w:rsidRPr="003F1788">
        <w:rPr>
          <w:lang w:val="fr-CA"/>
        </w:rPr>
        <w:noBreakHyphen/>
        <w:t>ministres et au Conseil de gestion du portefeuille</w:t>
      </w:r>
      <w:r w:rsidR="009B3571">
        <w:rPr>
          <w:lang w:val="fr-CA"/>
        </w:rPr>
        <w:t xml:space="preserve"> (CGP)</w:t>
      </w:r>
      <w:r w:rsidRPr="003F1788">
        <w:rPr>
          <w:lang w:val="fr-CA"/>
        </w:rPr>
        <w:t xml:space="preserve"> pour approbation finale.</w:t>
      </w:r>
    </w:p>
    <w:p w14:paraId="34F1C923" w14:textId="754345CB" w:rsidR="003F63CD" w:rsidRPr="003F1788" w:rsidRDefault="003F63CD" w:rsidP="00E8661F">
      <w:pPr>
        <w:pStyle w:val="Heading1"/>
        <w:numPr>
          <w:ilvl w:val="0"/>
          <w:numId w:val="2"/>
        </w:numPr>
        <w:rPr>
          <w:lang w:val="fr-CA"/>
        </w:rPr>
      </w:pPr>
      <w:bookmarkStart w:id="19" w:name="_Toc513716496"/>
      <w:bookmarkStart w:id="20" w:name="_Toc72402507"/>
      <w:r w:rsidRPr="003F1788">
        <w:rPr>
          <w:lang w:val="fr-CA"/>
        </w:rPr>
        <w:t>Lignes directrices détaillées</w:t>
      </w:r>
      <w:bookmarkEnd w:id="19"/>
      <w:bookmarkEnd w:id="20"/>
    </w:p>
    <w:p w14:paraId="3ABE02BB" w14:textId="77777777" w:rsidR="003F63CD" w:rsidRPr="003F1788" w:rsidRDefault="003F63CD" w:rsidP="003F63CD">
      <w:pPr>
        <w:rPr>
          <w:lang w:val="fr-CA"/>
        </w:rPr>
      </w:pPr>
    </w:p>
    <w:p w14:paraId="267B908F" w14:textId="4C64B303" w:rsidR="003F63CD" w:rsidRDefault="003F63CD" w:rsidP="003F63CD">
      <w:pPr>
        <w:rPr>
          <w:lang w:val="fr-CA"/>
        </w:rPr>
      </w:pPr>
      <w:r>
        <w:rPr>
          <w:lang w:val="fr-CA"/>
        </w:rPr>
        <w:t xml:space="preserve">Chaque </w:t>
      </w:r>
      <w:r w:rsidR="0038651D">
        <w:rPr>
          <w:lang w:val="fr-CA"/>
        </w:rPr>
        <w:t xml:space="preserve">GCF </w:t>
      </w:r>
      <w:r>
        <w:rPr>
          <w:lang w:val="fr-CA"/>
        </w:rPr>
        <w:t xml:space="preserve">qui possède une délégation d’autorité doit entrer une prévision </w:t>
      </w:r>
      <w:r w:rsidR="00954E13">
        <w:rPr>
          <w:lang w:val="fr-CA"/>
        </w:rPr>
        <w:t xml:space="preserve">pour les </w:t>
      </w:r>
      <w:r w:rsidRPr="00DB436F">
        <w:rPr>
          <w:lang w:val="fr-CA"/>
        </w:rPr>
        <w:t xml:space="preserve">fonds de fonctionnement régulier, </w:t>
      </w:r>
      <w:r w:rsidR="00954E13">
        <w:rPr>
          <w:lang w:val="fr-CA"/>
        </w:rPr>
        <w:t xml:space="preserve">les </w:t>
      </w:r>
      <w:r w:rsidRPr="00DB436F">
        <w:rPr>
          <w:lang w:val="fr-CA"/>
        </w:rPr>
        <w:t xml:space="preserve">affectations contrôlées séparément </w:t>
      </w:r>
      <w:r w:rsidR="009B3571">
        <w:rPr>
          <w:lang w:val="fr-CA"/>
        </w:rPr>
        <w:t>(</w:t>
      </w:r>
      <w:r w:rsidRPr="00DB436F">
        <w:rPr>
          <w:lang w:val="fr-CA"/>
        </w:rPr>
        <w:t>ACS</w:t>
      </w:r>
      <w:r w:rsidR="009B3571">
        <w:rPr>
          <w:lang w:val="fr-CA"/>
        </w:rPr>
        <w:t>)</w:t>
      </w:r>
      <w:r w:rsidRPr="00DB436F">
        <w:rPr>
          <w:lang w:val="fr-CA"/>
        </w:rPr>
        <w:t xml:space="preserve">, </w:t>
      </w:r>
      <w:r w:rsidR="00954E13">
        <w:rPr>
          <w:lang w:val="fr-CA"/>
        </w:rPr>
        <w:t xml:space="preserve">les </w:t>
      </w:r>
      <w:r w:rsidR="00DD42B6">
        <w:rPr>
          <w:lang w:val="fr-CA"/>
        </w:rPr>
        <w:t>ententes et partenariats de prestation de services</w:t>
      </w:r>
      <w:r w:rsidR="003234D1">
        <w:rPr>
          <w:lang w:val="fr-CA"/>
        </w:rPr>
        <w:t xml:space="preserve"> (sous LMEDS)</w:t>
      </w:r>
      <w:r w:rsidR="00DD42B6">
        <w:rPr>
          <w:lang w:val="fr-CA"/>
        </w:rPr>
        <w:t>,</w:t>
      </w:r>
      <w:r w:rsidR="00954E13">
        <w:rPr>
          <w:lang w:val="fr-CA"/>
        </w:rPr>
        <w:t xml:space="preserve"> les mesures en réponse à la COVID-19,</w:t>
      </w:r>
      <w:r w:rsidR="005866AF">
        <w:rPr>
          <w:lang w:val="fr-CA"/>
        </w:rPr>
        <w:t xml:space="preserve"> </w:t>
      </w:r>
      <w:r w:rsidR="00954E13">
        <w:rPr>
          <w:lang w:val="fr-CA"/>
        </w:rPr>
        <w:t>les</w:t>
      </w:r>
      <w:r w:rsidRPr="00DB436F">
        <w:rPr>
          <w:lang w:val="fr-CA"/>
        </w:rPr>
        <w:t xml:space="preserve"> subventions et contributions</w:t>
      </w:r>
      <w:r w:rsidR="00954E13">
        <w:rPr>
          <w:lang w:val="fr-CA"/>
        </w:rPr>
        <w:t xml:space="preserve"> et les RNC. Les prévisions doivent être entrées</w:t>
      </w:r>
      <w:r>
        <w:rPr>
          <w:lang w:val="fr-CA"/>
        </w:rPr>
        <w:t xml:space="preserve"> par fond</w:t>
      </w:r>
      <w:r w:rsidR="00CD2837">
        <w:rPr>
          <w:lang w:val="fr-CA"/>
        </w:rPr>
        <w:t>s</w:t>
      </w:r>
      <w:r>
        <w:rPr>
          <w:lang w:val="fr-CA"/>
        </w:rPr>
        <w:t xml:space="preserve"> et par compte budgétaire (groupe de prévision).</w:t>
      </w:r>
    </w:p>
    <w:p w14:paraId="6D658282" w14:textId="77777777" w:rsidR="003F63CD" w:rsidRDefault="003F63CD" w:rsidP="003F63CD">
      <w:pPr>
        <w:rPr>
          <w:lang w:val="fr-CA"/>
        </w:rPr>
      </w:pPr>
    </w:p>
    <w:p w14:paraId="6A4C96C8" w14:textId="75713AED" w:rsidR="003F63CD" w:rsidRPr="003F1788" w:rsidRDefault="003F63CD" w:rsidP="00E8661F">
      <w:pPr>
        <w:pStyle w:val="Heading2"/>
        <w:numPr>
          <w:ilvl w:val="1"/>
          <w:numId w:val="2"/>
        </w:numPr>
        <w:rPr>
          <w:szCs w:val="28"/>
          <w:lang w:val="fr-CA"/>
        </w:rPr>
      </w:pPr>
      <w:bookmarkStart w:id="21" w:name="_Toc513716497"/>
      <w:bookmarkStart w:id="22" w:name="_Toc72402508"/>
      <w:r w:rsidRPr="003F1788">
        <w:rPr>
          <w:szCs w:val="28"/>
          <w:lang w:val="fr-CA"/>
        </w:rPr>
        <w:t xml:space="preserve">Budget </w:t>
      </w:r>
      <w:r w:rsidR="009B3571">
        <w:rPr>
          <w:szCs w:val="28"/>
          <w:lang w:val="fr-CA"/>
        </w:rPr>
        <w:t>du</w:t>
      </w:r>
      <w:r w:rsidR="009A7BBA">
        <w:rPr>
          <w:szCs w:val="28"/>
          <w:lang w:val="fr-CA"/>
        </w:rPr>
        <w:t xml:space="preserve"> </w:t>
      </w:r>
      <w:r w:rsidR="009B3571">
        <w:rPr>
          <w:szCs w:val="28"/>
          <w:lang w:val="fr-CA"/>
        </w:rPr>
        <w:t>F</w:t>
      </w:r>
      <w:r w:rsidR="009A7BBA">
        <w:rPr>
          <w:szCs w:val="28"/>
          <w:lang w:val="fr-CA"/>
        </w:rPr>
        <w:t xml:space="preserve">inancement potentiel </w:t>
      </w:r>
      <w:r w:rsidR="009B3571">
        <w:rPr>
          <w:szCs w:val="28"/>
          <w:lang w:val="fr-CA"/>
        </w:rPr>
        <w:t xml:space="preserve">approuvé </w:t>
      </w:r>
      <w:r w:rsidR="009A7BBA">
        <w:rPr>
          <w:szCs w:val="28"/>
          <w:lang w:val="fr-CA"/>
        </w:rPr>
        <w:t>pour fin de plan</w:t>
      </w:r>
      <w:r w:rsidR="009B3571">
        <w:rPr>
          <w:szCs w:val="28"/>
          <w:lang w:val="fr-CA"/>
        </w:rPr>
        <w:t>i</w:t>
      </w:r>
      <w:r w:rsidR="009A7BBA">
        <w:rPr>
          <w:szCs w:val="28"/>
          <w:lang w:val="fr-CA"/>
        </w:rPr>
        <w:t>fication</w:t>
      </w:r>
      <w:r w:rsidR="009B3571">
        <w:rPr>
          <w:szCs w:val="28"/>
          <w:lang w:val="fr-CA"/>
        </w:rPr>
        <w:t xml:space="preserve"> (FPAFP)</w:t>
      </w:r>
      <w:bookmarkEnd w:id="21"/>
      <w:bookmarkEnd w:id="22"/>
    </w:p>
    <w:p w14:paraId="174163AE" w14:textId="77777777" w:rsidR="003F63CD" w:rsidRPr="003F1788" w:rsidRDefault="003F63CD" w:rsidP="003F63CD">
      <w:pPr>
        <w:rPr>
          <w:lang w:val="fr-CA"/>
        </w:rPr>
      </w:pPr>
    </w:p>
    <w:p w14:paraId="4299C8B4" w14:textId="45C11EBF" w:rsidR="003F63CD" w:rsidRPr="003F1788" w:rsidRDefault="003F63CD" w:rsidP="003F63CD">
      <w:pPr>
        <w:rPr>
          <w:lang w:val="fr-CA"/>
        </w:rPr>
      </w:pPr>
      <w:r w:rsidRPr="003F1788">
        <w:rPr>
          <w:lang w:val="fr-CA"/>
        </w:rPr>
        <w:t>L’allocation d</w:t>
      </w:r>
      <w:r w:rsidR="009A7BBA">
        <w:rPr>
          <w:lang w:val="fr-CA"/>
        </w:rPr>
        <w:t xml:space="preserve">u </w:t>
      </w:r>
      <w:r w:rsidR="009B3571">
        <w:rPr>
          <w:lang w:val="fr-CA"/>
        </w:rPr>
        <w:t>F</w:t>
      </w:r>
      <w:r w:rsidR="009A7BBA">
        <w:rPr>
          <w:lang w:val="fr-CA"/>
        </w:rPr>
        <w:t xml:space="preserve">inancement potentiel </w:t>
      </w:r>
      <w:r w:rsidR="009B3571">
        <w:rPr>
          <w:lang w:val="fr-CA"/>
        </w:rPr>
        <w:t xml:space="preserve">approuvé </w:t>
      </w:r>
      <w:r w:rsidR="009A7BBA">
        <w:rPr>
          <w:lang w:val="fr-CA"/>
        </w:rPr>
        <w:t>pour fin de planification</w:t>
      </w:r>
      <w:r w:rsidRPr="003F1788">
        <w:rPr>
          <w:lang w:val="fr-CA"/>
        </w:rPr>
        <w:t xml:space="preserve"> (</w:t>
      </w:r>
      <w:r w:rsidR="009B3571">
        <w:rPr>
          <w:lang w:val="fr-CA"/>
        </w:rPr>
        <w:t>FPAFP</w:t>
      </w:r>
      <w:r w:rsidRPr="003F1788">
        <w:rPr>
          <w:lang w:val="fr-CA"/>
        </w:rPr>
        <w:t xml:space="preserve">) sera </w:t>
      </w:r>
      <w:r w:rsidR="00DD42B6" w:rsidRPr="003F1788">
        <w:rPr>
          <w:lang w:val="fr-CA"/>
        </w:rPr>
        <w:t>saisie</w:t>
      </w:r>
      <w:r w:rsidRPr="003F1788">
        <w:rPr>
          <w:lang w:val="fr-CA"/>
        </w:rPr>
        <w:t xml:space="preserve"> dans le FMBB</w:t>
      </w:r>
      <w:r w:rsidR="009B3571">
        <w:rPr>
          <w:lang w:val="fr-CA"/>
        </w:rPr>
        <w:t xml:space="preserve">, </w:t>
      </w:r>
      <w:r w:rsidR="009B3571" w:rsidRPr="003F1788">
        <w:rPr>
          <w:lang w:val="fr-CA"/>
        </w:rPr>
        <w:t>en fonction des renseignements reçus par le CGF à l’Administration centrale</w:t>
      </w:r>
      <w:r w:rsidR="009B3571">
        <w:rPr>
          <w:lang w:val="fr-CA"/>
        </w:rPr>
        <w:t>,</w:t>
      </w:r>
      <w:r w:rsidRPr="003F1788">
        <w:rPr>
          <w:lang w:val="fr-CA"/>
        </w:rPr>
        <w:t xml:space="preserve"> dans une version distincte du budget</w:t>
      </w:r>
      <w:r w:rsidR="009B3571">
        <w:rPr>
          <w:lang w:val="fr-CA"/>
        </w:rPr>
        <w:t xml:space="preserve">. </w:t>
      </w:r>
      <w:r w:rsidR="0031526B">
        <w:rPr>
          <w:lang w:val="fr-CA"/>
        </w:rPr>
        <w:t>Ce budget est enregistré</w:t>
      </w:r>
      <w:r w:rsidRPr="003F1788">
        <w:rPr>
          <w:lang w:val="fr-CA"/>
        </w:rPr>
        <w:t xml:space="preserve"> </w:t>
      </w:r>
      <w:r w:rsidR="0031526B">
        <w:rPr>
          <w:lang w:val="fr-CA"/>
        </w:rPr>
        <w:t>pour</w:t>
      </w:r>
      <w:r w:rsidRPr="003F1788">
        <w:rPr>
          <w:lang w:val="fr-CA"/>
        </w:rPr>
        <w:t xml:space="preserve"> l’établissement des prévisions</w:t>
      </w:r>
      <w:r w:rsidR="0031526B">
        <w:rPr>
          <w:lang w:val="fr-CA"/>
        </w:rPr>
        <w:t xml:space="preserve"> seulement</w:t>
      </w:r>
      <w:r w:rsidRPr="003F1788">
        <w:rPr>
          <w:lang w:val="fr-CA"/>
        </w:rPr>
        <w:t>, avec un type de document et un type de budget spécifique.</w:t>
      </w:r>
    </w:p>
    <w:p w14:paraId="20B5679A" w14:textId="77777777" w:rsidR="003F63CD" w:rsidRPr="003F1788" w:rsidRDefault="003F63CD" w:rsidP="003F63CD">
      <w:pPr>
        <w:rPr>
          <w:lang w:val="fr-CA"/>
        </w:rPr>
      </w:pPr>
    </w:p>
    <w:p w14:paraId="6A5439FD" w14:textId="609049B4" w:rsidR="003F63CD" w:rsidRPr="003F1788" w:rsidRDefault="003F63CD" w:rsidP="003F63CD">
      <w:pPr>
        <w:rPr>
          <w:lang w:val="fr-CA"/>
        </w:rPr>
      </w:pPr>
      <w:r>
        <w:rPr>
          <w:lang w:val="fr-CA"/>
        </w:rPr>
        <w:t>Pendant le</w:t>
      </w:r>
      <w:r w:rsidRPr="00A0367E">
        <w:rPr>
          <w:lang w:val="fr-CA"/>
        </w:rPr>
        <w:t xml:space="preserve"> </w:t>
      </w:r>
      <w:r w:rsidR="000C2FCB" w:rsidRPr="00A0367E">
        <w:rPr>
          <w:lang w:val="fr-CA"/>
        </w:rPr>
        <w:t>mois</w:t>
      </w:r>
      <w:r w:rsidR="000C2FCB">
        <w:rPr>
          <w:lang w:val="fr-CA"/>
        </w:rPr>
        <w:t xml:space="preserve"> précédent </w:t>
      </w:r>
      <w:r w:rsidRPr="00A0367E">
        <w:rPr>
          <w:lang w:val="fr-CA"/>
        </w:rPr>
        <w:t>le début de la période de prévision, la GRM</w:t>
      </w:r>
      <w:r w:rsidRPr="003F1788">
        <w:rPr>
          <w:lang w:val="fr-CA"/>
        </w:rPr>
        <w:t xml:space="preserve"> </w:t>
      </w:r>
      <w:r>
        <w:rPr>
          <w:lang w:val="fr-CA"/>
        </w:rPr>
        <w:t>distribue</w:t>
      </w:r>
      <w:r w:rsidRPr="003F1788">
        <w:rPr>
          <w:lang w:val="fr-CA"/>
        </w:rPr>
        <w:t xml:space="preserve"> les budgets </w:t>
      </w:r>
      <w:r w:rsidR="0031526B">
        <w:rPr>
          <w:lang w:val="fr-CA"/>
        </w:rPr>
        <w:t>du FPAFP</w:t>
      </w:r>
      <w:r w:rsidRPr="003F1788">
        <w:rPr>
          <w:lang w:val="fr-CA"/>
        </w:rPr>
        <w:t xml:space="preserve"> aux niveaux des directions générales</w:t>
      </w:r>
      <w:r w:rsidR="00577F5B">
        <w:rPr>
          <w:lang w:val="fr-CA"/>
        </w:rPr>
        <w:t xml:space="preserve"> basés sur l’information fournie par le CGF en charge. Par la suite,</w:t>
      </w:r>
      <w:r w:rsidRPr="003F1788">
        <w:rPr>
          <w:lang w:val="fr-CA"/>
        </w:rPr>
        <w:t xml:space="preserve"> les CGF </w:t>
      </w:r>
      <w:r>
        <w:rPr>
          <w:lang w:val="fr-CA"/>
        </w:rPr>
        <w:t>distribue</w:t>
      </w:r>
      <w:r w:rsidRPr="003F1788">
        <w:rPr>
          <w:lang w:val="fr-CA"/>
        </w:rPr>
        <w:t>nt les montants aux niveaux appropriés dans la direction générale/région.</w:t>
      </w:r>
    </w:p>
    <w:p w14:paraId="3C417DD8" w14:textId="77777777" w:rsidR="003F63CD" w:rsidRPr="003F1788" w:rsidRDefault="003F63CD" w:rsidP="003F63CD">
      <w:pPr>
        <w:rPr>
          <w:lang w:val="fr-CA"/>
        </w:rPr>
      </w:pPr>
    </w:p>
    <w:p w14:paraId="3785A6A1" w14:textId="663411D9" w:rsidR="003F63CD" w:rsidRPr="003F1788" w:rsidRDefault="003F63CD" w:rsidP="003F63CD">
      <w:pPr>
        <w:rPr>
          <w:lang w:val="fr-CA"/>
        </w:rPr>
      </w:pPr>
      <w:r w:rsidRPr="006E06EE">
        <w:rPr>
          <w:lang w:val="fr-CA"/>
        </w:rPr>
        <w:t>Le budget actuel alloué dans maSGE</w:t>
      </w:r>
      <w:r>
        <w:rPr>
          <w:lang w:val="fr-CA"/>
        </w:rPr>
        <w:t xml:space="preserve"> (SAP)</w:t>
      </w:r>
      <w:r w:rsidRPr="006E06EE">
        <w:rPr>
          <w:lang w:val="fr-CA"/>
        </w:rPr>
        <w:t xml:space="preserve"> additionné au budget </w:t>
      </w:r>
      <w:r w:rsidR="0031526B">
        <w:rPr>
          <w:lang w:val="fr-CA"/>
        </w:rPr>
        <w:t>du FPAFP</w:t>
      </w:r>
      <w:r w:rsidR="0031526B" w:rsidRPr="006E06EE" w:rsidDel="0031526B">
        <w:rPr>
          <w:lang w:val="fr-CA"/>
        </w:rPr>
        <w:t xml:space="preserve"> </w:t>
      </w:r>
      <w:r w:rsidRPr="006E06EE">
        <w:rPr>
          <w:lang w:val="fr-CA"/>
        </w:rPr>
        <w:t xml:space="preserve"> constituent le budget théorique utilisé par les directions générales/régions pour établir leurs prévisions.</w:t>
      </w:r>
    </w:p>
    <w:p w14:paraId="1D563C31" w14:textId="77777777" w:rsidR="003F63CD" w:rsidRPr="003F1788" w:rsidRDefault="003F63CD" w:rsidP="003F63CD">
      <w:pPr>
        <w:rPr>
          <w:lang w:val="fr-CA"/>
        </w:rPr>
      </w:pPr>
    </w:p>
    <w:p w14:paraId="104FE524" w14:textId="55135ECE" w:rsidR="003F63CD" w:rsidRPr="00D96C0B" w:rsidRDefault="003F63CD" w:rsidP="003F63CD">
      <w:pPr>
        <w:rPr>
          <w:lang w:val="fr-CA"/>
        </w:rPr>
      </w:pPr>
      <w:r w:rsidRPr="006E06EE">
        <w:rPr>
          <w:lang w:val="fr-CA"/>
        </w:rPr>
        <w:t>Les liens ci</w:t>
      </w:r>
      <w:r w:rsidRPr="006E06EE">
        <w:rPr>
          <w:lang w:val="fr-CA"/>
        </w:rPr>
        <w:noBreakHyphen/>
        <w:t xml:space="preserve">dessous mènent à des </w:t>
      </w:r>
      <w:r w:rsidRPr="00F354B9">
        <w:rPr>
          <w:lang w:val="fr-CA"/>
        </w:rPr>
        <w:t>procédures détaillées</w:t>
      </w:r>
      <w:r w:rsidR="0031526B">
        <w:rPr>
          <w:lang w:val="fr-CA"/>
        </w:rPr>
        <w:t xml:space="preserve"> de maSGE (SAP)</w:t>
      </w:r>
      <w:r w:rsidRPr="006E06EE">
        <w:rPr>
          <w:lang w:val="fr-CA"/>
        </w:rPr>
        <w:t xml:space="preserve"> expliquant comment ajouter l</w:t>
      </w:r>
      <w:r w:rsidR="009A7BBA">
        <w:rPr>
          <w:lang w:val="fr-CA"/>
        </w:rPr>
        <w:t xml:space="preserve">e </w:t>
      </w:r>
      <w:r w:rsidR="0031526B">
        <w:rPr>
          <w:lang w:val="fr-CA"/>
        </w:rPr>
        <w:t>FPAFP</w:t>
      </w:r>
      <w:r w:rsidR="0031526B" w:rsidDel="0031526B">
        <w:rPr>
          <w:lang w:val="fr-CA"/>
        </w:rPr>
        <w:t xml:space="preserve"> </w:t>
      </w:r>
      <w:r w:rsidRPr="006E06EE">
        <w:rPr>
          <w:lang w:val="fr-CA"/>
        </w:rPr>
        <w:t>au budget théorique (c.</w:t>
      </w:r>
      <w:r w:rsidRPr="006E06EE">
        <w:rPr>
          <w:lang w:val="fr-CA"/>
        </w:rPr>
        <w:noBreakHyphen/>
        <w:t>à</w:t>
      </w:r>
      <w:r w:rsidRPr="006E06EE">
        <w:rPr>
          <w:lang w:val="fr-CA"/>
        </w:rPr>
        <w:noBreakHyphen/>
        <w:t xml:space="preserve">d. fonds </w:t>
      </w:r>
      <w:r w:rsidRPr="006E06EE">
        <w:rPr>
          <w:lang w:val="fr-CA"/>
        </w:rPr>
        <w:lastRenderedPageBreak/>
        <w:t>supplémentaires</w:t>
      </w:r>
      <w:r w:rsidRPr="00151D6C">
        <w:rPr>
          <w:lang w:val="fr-CA"/>
        </w:rPr>
        <w:t xml:space="preserve">). Aussi, vous trouverez </w:t>
      </w:r>
      <w:r w:rsidRPr="00D96C0B">
        <w:rPr>
          <w:lang w:val="fr-CA"/>
        </w:rPr>
        <w:t xml:space="preserve">à l’Annexe B de l’information technique sur la saisie des budgets </w:t>
      </w:r>
      <w:r w:rsidR="0031526B">
        <w:rPr>
          <w:lang w:val="fr-CA"/>
        </w:rPr>
        <w:t>FPAFP</w:t>
      </w:r>
      <w:r w:rsidR="0031526B" w:rsidRPr="00D96C0B" w:rsidDel="0031526B">
        <w:rPr>
          <w:lang w:val="fr-CA"/>
        </w:rPr>
        <w:t xml:space="preserve"> </w:t>
      </w:r>
      <w:r w:rsidRPr="00D96C0B">
        <w:rPr>
          <w:lang w:val="fr-CA"/>
        </w:rPr>
        <w:t xml:space="preserve"> dans le FMBB. À noter qu’uniquement la </w:t>
      </w:r>
      <w:r>
        <w:rPr>
          <w:lang w:val="fr-CA"/>
        </w:rPr>
        <w:t>DGDPF a les accès pour ces ajustements</w:t>
      </w:r>
      <w:r w:rsidRPr="00D96C0B">
        <w:rPr>
          <w:lang w:val="fr-CA"/>
        </w:rPr>
        <w:t>.</w:t>
      </w:r>
    </w:p>
    <w:p w14:paraId="6416588A" w14:textId="77777777" w:rsidR="003F63CD" w:rsidRPr="00D96C0B" w:rsidRDefault="003F63CD" w:rsidP="003F63CD">
      <w:pPr>
        <w:rPr>
          <w:rStyle w:val="Hyperlink"/>
          <w:lang w:val="fr-CA"/>
        </w:rPr>
      </w:pPr>
      <w:r w:rsidRPr="00D96C0B">
        <w:rPr>
          <w:lang w:val="fr-CA"/>
        </w:rPr>
        <w:fldChar w:fldCharType="begin"/>
      </w:r>
      <w:r w:rsidRPr="00D96C0B">
        <w:rPr>
          <w:lang w:val="fr-CA"/>
        </w:rPr>
        <w:instrText xml:space="preserve"> HYPERLINK "http://nspkipws.service.gc.ca/gm/folder-1.11.237172?mode=EU&amp;originalContext=1.11.236478" </w:instrText>
      </w:r>
      <w:r w:rsidRPr="00D96C0B">
        <w:rPr>
          <w:lang w:val="fr-CA"/>
        </w:rPr>
        <w:fldChar w:fldCharType="separate"/>
      </w:r>
    </w:p>
    <w:p w14:paraId="484F8464" w14:textId="77777777" w:rsidR="003F63CD" w:rsidRPr="00D96C0B" w:rsidRDefault="003F63CD" w:rsidP="003F63CD">
      <w:pPr>
        <w:rPr>
          <w:rStyle w:val="Hyperlink"/>
          <w:lang w:val="fr-CA"/>
        </w:rPr>
      </w:pPr>
      <w:r w:rsidRPr="00D96C0B">
        <w:rPr>
          <w:rStyle w:val="Hyperlink"/>
          <w:lang w:val="fr-CA"/>
        </w:rPr>
        <w:t>Postes de gestion du risque Fonds supplémentaires - GRM</w:t>
      </w:r>
    </w:p>
    <w:p w14:paraId="2D96DD80" w14:textId="77777777" w:rsidR="003F63CD" w:rsidRPr="00D96C0B" w:rsidRDefault="003F63CD" w:rsidP="003F63CD">
      <w:pPr>
        <w:rPr>
          <w:lang w:val="fr-CA"/>
        </w:rPr>
      </w:pPr>
      <w:r w:rsidRPr="00D96C0B">
        <w:rPr>
          <w:lang w:val="fr-CA"/>
        </w:rPr>
        <w:fldChar w:fldCharType="end"/>
      </w:r>
      <w:hyperlink r:id="rId14" w:history="1">
        <w:r w:rsidRPr="00D96C0B">
          <w:rPr>
            <w:rStyle w:val="Hyperlink"/>
            <w:lang w:val="fr-CA"/>
          </w:rPr>
          <w:t>Poste</w:t>
        </w:r>
        <w:r w:rsidR="007F0B0A">
          <w:rPr>
            <w:rStyle w:val="Hyperlink"/>
            <w:lang w:val="fr-CA"/>
          </w:rPr>
          <w:t>s</w:t>
        </w:r>
        <w:r w:rsidRPr="00D96C0B">
          <w:rPr>
            <w:rStyle w:val="Hyperlink"/>
            <w:lang w:val="fr-CA"/>
          </w:rPr>
          <w:t xml:space="preserve"> de gestion du risque Fonds supplémentaires Transfert - CGF</w:t>
        </w:r>
      </w:hyperlink>
    </w:p>
    <w:p w14:paraId="0FBC43EE" w14:textId="77777777" w:rsidR="003F63CD" w:rsidRPr="00D96C0B" w:rsidRDefault="003F63CD" w:rsidP="003F63CD">
      <w:pPr>
        <w:rPr>
          <w:lang w:val="fr-CA"/>
        </w:rPr>
      </w:pPr>
    </w:p>
    <w:p w14:paraId="4486BF6D" w14:textId="049CDD84" w:rsidR="003F63CD" w:rsidRPr="00D96C0B" w:rsidRDefault="003F63CD" w:rsidP="00E8661F">
      <w:pPr>
        <w:pStyle w:val="Heading2"/>
        <w:numPr>
          <w:ilvl w:val="1"/>
          <w:numId w:val="2"/>
        </w:numPr>
        <w:rPr>
          <w:lang w:val="fr-CA"/>
        </w:rPr>
      </w:pPr>
      <w:bookmarkStart w:id="23" w:name="_Toc356388381"/>
      <w:bookmarkStart w:id="24" w:name="_Toc513716498"/>
      <w:bookmarkStart w:id="25" w:name="_Toc72402509"/>
      <w:r w:rsidRPr="00D96C0B">
        <w:rPr>
          <w:lang w:val="fr-CA"/>
        </w:rPr>
        <w:t>Prévisions liées au personnel</w:t>
      </w:r>
      <w:bookmarkEnd w:id="23"/>
      <w:bookmarkEnd w:id="24"/>
      <w:bookmarkEnd w:id="25"/>
    </w:p>
    <w:p w14:paraId="006A9AC2" w14:textId="77777777" w:rsidR="003F63CD" w:rsidRPr="00D96C0B" w:rsidRDefault="003F63CD" w:rsidP="003F63CD">
      <w:pPr>
        <w:rPr>
          <w:lang w:val="fr-CA"/>
        </w:rPr>
      </w:pPr>
    </w:p>
    <w:p w14:paraId="14BFB602" w14:textId="77777777" w:rsidR="003F63CD" w:rsidRPr="003F1788" w:rsidRDefault="003F63CD" w:rsidP="003F63CD">
      <w:pPr>
        <w:rPr>
          <w:lang w:val="fr-CA"/>
        </w:rPr>
      </w:pPr>
      <w:r w:rsidRPr="00D96C0B">
        <w:rPr>
          <w:rFonts w:cs="Arial"/>
          <w:lang w:val="fr-CA"/>
        </w:rPr>
        <w:t>Les montants alloués aux ressources salariales représentent une partie importante du budget global du Ministère. Il est donc très important d’assurer un contrôle efficace des plans et des dépenses qui s’y</w:t>
      </w:r>
      <w:r w:rsidRPr="003F1788">
        <w:rPr>
          <w:rFonts w:cs="Arial"/>
          <w:lang w:val="fr-CA"/>
        </w:rPr>
        <w:t xml:space="preserve"> rattachent. Pour atteindre ces objectifs, les directions générales/régions doivent préparer des prévisions détaillées liées au personnel au moyen de l’outil de prévisions salariales (OPS).</w:t>
      </w:r>
    </w:p>
    <w:p w14:paraId="19B620AE" w14:textId="77777777" w:rsidR="003F63CD" w:rsidRPr="003F1788" w:rsidRDefault="003F63CD" w:rsidP="003F63CD">
      <w:pPr>
        <w:rPr>
          <w:lang w:val="fr-CA"/>
        </w:rPr>
      </w:pPr>
    </w:p>
    <w:p w14:paraId="7B1069CB" w14:textId="77777777" w:rsidR="003F63CD" w:rsidRPr="003F1788" w:rsidRDefault="003F63CD" w:rsidP="003F63CD">
      <w:pPr>
        <w:rPr>
          <w:lang w:val="fr-CA"/>
        </w:rPr>
      </w:pPr>
      <w:r w:rsidRPr="003F1788">
        <w:rPr>
          <w:lang w:val="fr-CA"/>
        </w:rPr>
        <w:t>Les prévisions doivent comprendre des plans pour chaque employé qui fait partie de l’effectif (au niveau du CIDP) ou dont la dotation est anticipée (au niveau du poste), ainsi que d’autres prévisions de haut niveau en lien avec des types de dépenses particulières (prévisions globales).</w:t>
      </w:r>
    </w:p>
    <w:p w14:paraId="3FB78A3E" w14:textId="77777777" w:rsidR="003F63CD" w:rsidRPr="003F1788" w:rsidRDefault="003F63CD" w:rsidP="003F63CD">
      <w:pPr>
        <w:rPr>
          <w:lang w:val="fr-CA"/>
        </w:rPr>
      </w:pPr>
    </w:p>
    <w:p w14:paraId="7F3F478F" w14:textId="77777777" w:rsidR="003F63CD" w:rsidRDefault="003F63CD" w:rsidP="003F63CD">
      <w:pPr>
        <w:rPr>
          <w:lang w:val="fr-CA"/>
        </w:rPr>
      </w:pPr>
      <w:r w:rsidRPr="003F1788">
        <w:rPr>
          <w:lang w:val="fr-CA"/>
        </w:rPr>
        <w:t>Chaque GCF ayant une délégation d’autorité est responsable de l’information prévisionnelle liée au personnel dans l’OPS sous leur CF</w:t>
      </w:r>
      <w:r w:rsidRPr="003F1788">
        <w:rPr>
          <w:rStyle w:val="FootnoteReference"/>
          <w:lang w:val="fr-CA"/>
        </w:rPr>
        <w:footnoteReference w:id="3"/>
      </w:r>
      <w:r w:rsidRPr="003F1788">
        <w:rPr>
          <w:lang w:val="fr-CA"/>
        </w:rPr>
        <w:t xml:space="preserve">. </w:t>
      </w:r>
    </w:p>
    <w:p w14:paraId="39A92D63" w14:textId="77777777" w:rsidR="0038651D" w:rsidRDefault="0038651D" w:rsidP="003F63CD">
      <w:pPr>
        <w:rPr>
          <w:lang w:val="fr-CA"/>
        </w:rPr>
      </w:pPr>
    </w:p>
    <w:p w14:paraId="2A3F134C" w14:textId="6328F00E" w:rsidR="0038651D" w:rsidRDefault="0038651D" w:rsidP="003F63CD">
      <w:pPr>
        <w:rPr>
          <w:lang w:val="fr-CA"/>
        </w:rPr>
      </w:pPr>
      <w:r>
        <w:rPr>
          <w:lang w:val="fr-CA"/>
        </w:rPr>
        <w:t xml:space="preserve">Pour de plus amples information sur comment mettre </w:t>
      </w:r>
      <w:r w:rsidR="00FC3DCF">
        <w:rPr>
          <w:lang w:val="fr-CA"/>
        </w:rPr>
        <w:t>à</w:t>
      </w:r>
      <w:r>
        <w:rPr>
          <w:lang w:val="fr-CA"/>
        </w:rPr>
        <w:t xml:space="preserve"> jour l’OPS, faites référence au </w:t>
      </w:r>
      <w:hyperlink r:id="rId15" w:history="1">
        <w:r w:rsidRPr="0038651D">
          <w:rPr>
            <w:rStyle w:val="Hyperlink"/>
            <w:lang w:val="fr-CA"/>
          </w:rPr>
          <w:t xml:space="preserve">Guide de </w:t>
        </w:r>
        <w:r w:rsidR="0031526B">
          <w:rPr>
            <w:rStyle w:val="Hyperlink"/>
            <w:lang w:val="fr-CA"/>
          </w:rPr>
          <w:t>référence</w:t>
        </w:r>
        <w:r w:rsidRPr="0038651D">
          <w:rPr>
            <w:rStyle w:val="Hyperlink"/>
            <w:lang w:val="fr-CA"/>
          </w:rPr>
          <w:t xml:space="preserve"> sur l’Outils des prévisions salariales</w:t>
        </w:r>
      </w:hyperlink>
      <w:r>
        <w:rPr>
          <w:lang w:val="fr-CA"/>
        </w:rPr>
        <w:t xml:space="preserve">. </w:t>
      </w:r>
    </w:p>
    <w:p w14:paraId="50D40667" w14:textId="77777777" w:rsidR="0038651D" w:rsidRPr="003F1788" w:rsidRDefault="0038651D" w:rsidP="003F63CD">
      <w:pPr>
        <w:rPr>
          <w:lang w:val="fr-CA"/>
        </w:rPr>
      </w:pPr>
    </w:p>
    <w:p w14:paraId="7106754E" w14:textId="40D43ED6" w:rsidR="003F63CD" w:rsidRPr="003F1788" w:rsidRDefault="003F63CD" w:rsidP="00E8661F">
      <w:pPr>
        <w:pStyle w:val="Heading3"/>
        <w:numPr>
          <w:ilvl w:val="2"/>
          <w:numId w:val="2"/>
        </w:numPr>
        <w:rPr>
          <w:lang w:val="fr-CA"/>
        </w:rPr>
      </w:pPr>
      <w:bookmarkStart w:id="26" w:name="_Toc513716499"/>
      <w:bookmarkStart w:id="27" w:name="_Toc72402510"/>
      <w:r w:rsidRPr="003F1788">
        <w:rPr>
          <w:lang w:val="fr-CA"/>
        </w:rPr>
        <w:t>Prévisions touchant les employés (au niveau des CIDP)</w:t>
      </w:r>
      <w:bookmarkEnd w:id="26"/>
      <w:bookmarkEnd w:id="27"/>
    </w:p>
    <w:p w14:paraId="1FCF3403" w14:textId="77777777" w:rsidR="003F63CD" w:rsidRPr="003F1788" w:rsidRDefault="003F63CD" w:rsidP="003F63CD">
      <w:pPr>
        <w:rPr>
          <w:lang w:val="fr-CA"/>
        </w:rPr>
      </w:pPr>
    </w:p>
    <w:p w14:paraId="6B0B2889" w14:textId="77777777" w:rsidR="003F63CD" w:rsidRDefault="003F63CD" w:rsidP="003F63CD">
      <w:pPr>
        <w:rPr>
          <w:bCs/>
          <w:lang w:val="fr-CA"/>
        </w:rPr>
      </w:pPr>
      <w:r w:rsidRPr="003F1788">
        <w:rPr>
          <w:bCs/>
          <w:lang w:val="fr-CA"/>
        </w:rPr>
        <w:t>Les prévisions touchant les employés (au niveau des CIDP) concernent les employés qui font actuellement partie de l’effectif du Ministère.</w:t>
      </w:r>
    </w:p>
    <w:p w14:paraId="261EFA9F" w14:textId="77777777" w:rsidR="003F63CD" w:rsidRPr="003F1788" w:rsidRDefault="003F63CD" w:rsidP="003F63CD">
      <w:pPr>
        <w:rPr>
          <w:bCs/>
          <w:lang w:val="fr-CA"/>
        </w:rPr>
      </w:pPr>
    </w:p>
    <w:p w14:paraId="0D815A24" w14:textId="51341257" w:rsidR="003F63CD" w:rsidRPr="003F1788" w:rsidRDefault="00D86894" w:rsidP="003F63CD">
      <w:pPr>
        <w:rPr>
          <w:lang w:val="fr-CA"/>
        </w:rPr>
      </w:pPr>
      <w:r>
        <w:rPr>
          <w:lang w:val="fr-CA"/>
        </w:rPr>
        <w:t>Le</w:t>
      </w:r>
      <w:r w:rsidR="003F63CD" w:rsidRPr="003F1788">
        <w:rPr>
          <w:lang w:val="fr-CA"/>
        </w:rPr>
        <w:t xml:space="preserve"> fichier de registre de l’employé (données de référence du CIDP) doit être créé dans l’OPS pour chaque employé avant de cré</w:t>
      </w:r>
      <w:r>
        <w:rPr>
          <w:lang w:val="fr-CA"/>
        </w:rPr>
        <w:t>er</w:t>
      </w:r>
      <w:r w:rsidR="003F63CD" w:rsidRPr="003F1788">
        <w:rPr>
          <w:lang w:val="fr-CA"/>
        </w:rPr>
        <w:t xml:space="preserve"> un événement et d’effectuer une répartition de coûts. Chaque fichier d’employé doit comporter un numéro personnel (le CIDP), un nom de famille, un prénom et une date de début. L’OPS ne permet pas la création de CIDP en double.</w:t>
      </w:r>
    </w:p>
    <w:p w14:paraId="366BC948" w14:textId="77777777" w:rsidR="003F63CD" w:rsidRPr="003F1788" w:rsidRDefault="003F63CD" w:rsidP="003F63CD">
      <w:pPr>
        <w:rPr>
          <w:lang w:val="fr-CA"/>
        </w:rPr>
      </w:pPr>
    </w:p>
    <w:p w14:paraId="60159D74" w14:textId="266C7B20" w:rsidR="003F63CD" w:rsidRDefault="003F63CD" w:rsidP="003F63CD">
      <w:pPr>
        <w:rPr>
          <w:lang w:val="fr-CA"/>
        </w:rPr>
      </w:pPr>
      <w:r w:rsidRPr="003F1788">
        <w:rPr>
          <w:lang w:val="fr-CA"/>
        </w:rPr>
        <w:t xml:space="preserve">L’information salariale de l’employé est sauvegardée dans un fichier d’événement qui comporte une période d’affectation. </w:t>
      </w:r>
      <w:r w:rsidR="00D86894">
        <w:rPr>
          <w:lang w:val="fr-CA"/>
        </w:rPr>
        <w:t>Un employé</w:t>
      </w:r>
      <w:r w:rsidRPr="003F1788">
        <w:rPr>
          <w:lang w:val="fr-CA"/>
        </w:rPr>
        <w:t xml:space="preserve"> peut avoir plusieurs événements de prévision (c.</w:t>
      </w:r>
      <w:r w:rsidRPr="003F1788">
        <w:rPr>
          <w:lang w:val="fr-CA"/>
        </w:rPr>
        <w:noBreakHyphen/>
        <w:t>à</w:t>
      </w:r>
      <w:r w:rsidRPr="003F1788">
        <w:rPr>
          <w:lang w:val="fr-CA"/>
        </w:rPr>
        <w:noBreakHyphen/>
        <w:t>d. des mesures de dotation comme un poste par intérim, une affectation, un détachement, un congé</w:t>
      </w:r>
      <w:r>
        <w:rPr>
          <w:lang w:val="fr-CA"/>
        </w:rPr>
        <w:t xml:space="preserve"> sans solde</w:t>
      </w:r>
      <w:r w:rsidRPr="003F1788">
        <w:rPr>
          <w:lang w:val="fr-CA"/>
        </w:rPr>
        <w:t xml:space="preserve">, etc.), mais il ne peut avoir qu’un seul </w:t>
      </w:r>
      <w:r w:rsidRPr="00D96C0B">
        <w:rPr>
          <w:lang w:val="fr-CA"/>
        </w:rPr>
        <w:t xml:space="preserve">événement de prévision par période d’affectation. </w:t>
      </w:r>
    </w:p>
    <w:p w14:paraId="3846643A" w14:textId="77777777" w:rsidR="00FC3DCF" w:rsidRPr="00D96C0B" w:rsidRDefault="00FC3DCF" w:rsidP="003F63CD">
      <w:pPr>
        <w:rPr>
          <w:lang w:val="fr-CA"/>
        </w:rPr>
      </w:pPr>
    </w:p>
    <w:p w14:paraId="7F7FCCEC" w14:textId="5323A445" w:rsidR="003F63CD" w:rsidRPr="00D96C0B" w:rsidRDefault="003F63CD" w:rsidP="003F63CD">
      <w:pPr>
        <w:rPr>
          <w:lang w:val="fr-CA"/>
        </w:rPr>
      </w:pPr>
      <w:r w:rsidRPr="00D96C0B">
        <w:rPr>
          <w:lang w:val="fr-CA"/>
        </w:rPr>
        <w:t xml:space="preserve">Les prévisions touchant les employés peuvent être créées ou modifiées dans l’OPS au moyen du code de transaction ZZSF01. Vous trouverez ci-dessous les liens des </w:t>
      </w:r>
      <w:hyperlink r:id="rId16" w:history="1">
        <w:r w:rsidRPr="00881FDC">
          <w:rPr>
            <w:lang w:val="fr-CA"/>
          </w:rPr>
          <w:t>procédures détaillées</w:t>
        </w:r>
      </w:hyperlink>
      <w:r w:rsidRPr="00D96C0B">
        <w:rPr>
          <w:lang w:val="fr-CA"/>
        </w:rPr>
        <w:t xml:space="preserve"> </w:t>
      </w:r>
      <w:r w:rsidR="008A7033">
        <w:rPr>
          <w:lang w:val="fr-CA"/>
        </w:rPr>
        <w:t xml:space="preserve">de maSGE (SAP) </w:t>
      </w:r>
      <w:r w:rsidRPr="00D96C0B">
        <w:rPr>
          <w:lang w:val="fr-CA"/>
        </w:rPr>
        <w:t>relativement aux prévisions touchant les employés.</w:t>
      </w:r>
    </w:p>
    <w:p w14:paraId="64E5815A" w14:textId="77777777" w:rsidR="003F63CD" w:rsidRPr="00D96C0B" w:rsidRDefault="003F63CD" w:rsidP="003F63CD">
      <w:pPr>
        <w:rPr>
          <w:lang w:val="fr-CA"/>
        </w:rPr>
      </w:pPr>
    </w:p>
    <w:p w14:paraId="53A05134" w14:textId="7D1E66FB" w:rsidR="00C12C9E" w:rsidRDefault="003F63CD" w:rsidP="003F63CD">
      <w:pPr>
        <w:rPr>
          <w:lang w:val="fr-CA"/>
        </w:rPr>
      </w:pPr>
      <w:r w:rsidRPr="00D96C0B">
        <w:rPr>
          <w:lang w:val="fr-CA"/>
        </w:rPr>
        <w:t xml:space="preserve">À noter également que </w:t>
      </w:r>
      <w:r w:rsidR="00D86894">
        <w:rPr>
          <w:lang w:val="fr-CA"/>
        </w:rPr>
        <w:t xml:space="preserve">les transactions générées par les fichiers de paye reçus </w:t>
      </w:r>
      <w:r w:rsidR="008A7033">
        <w:rPr>
          <w:lang w:val="fr-CA"/>
        </w:rPr>
        <w:t xml:space="preserve">de Services Partagés et Approvisionnement Canada (SPAC) provenant </w:t>
      </w:r>
      <w:r w:rsidRPr="00D96C0B">
        <w:rPr>
          <w:lang w:val="fr-CA"/>
        </w:rPr>
        <w:t xml:space="preserve">du système Phénix </w:t>
      </w:r>
      <w:r w:rsidR="008A7033">
        <w:rPr>
          <w:lang w:val="fr-CA"/>
        </w:rPr>
        <w:t>sont enregistrées dans maSGE (SAP), en fonction du codage financier de l’employé dans l’OPS (</w:t>
      </w:r>
      <w:r w:rsidR="008A7033" w:rsidRPr="003F1788">
        <w:rPr>
          <w:lang w:val="fr-CA"/>
        </w:rPr>
        <w:t>c.</w:t>
      </w:r>
      <w:r w:rsidR="008A7033" w:rsidRPr="003F1788">
        <w:rPr>
          <w:lang w:val="fr-CA"/>
        </w:rPr>
        <w:noBreakHyphen/>
        <w:t>à</w:t>
      </w:r>
      <w:r w:rsidR="008A7033" w:rsidRPr="003F1788">
        <w:rPr>
          <w:lang w:val="fr-CA"/>
        </w:rPr>
        <w:noBreakHyphen/>
        <w:t>d.</w:t>
      </w:r>
      <w:r w:rsidR="008A7033">
        <w:rPr>
          <w:lang w:val="fr-CA"/>
        </w:rPr>
        <w:t xml:space="preserve"> l</w:t>
      </w:r>
      <w:r>
        <w:rPr>
          <w:lang w:val="fr-CA"/>
        </w:rPr>
        <w:t>es transactions s</w:t>
      </w:r>
      <w:r w:rsidRPr="00D96C0B">
        <w:rPr>
          <w:lang w:val="fr-CA"/>
        </w:rPr>
        <w:t xml:space="preserve">ont </w:t>
      </w:r>
      <w:r w:rsidR="008A7033">
        <w:rPr>
          <w:lang w:val="fr-CA"/>
        </w:rPr>
        <w:t>enregistrées</w:t>
      </w:r>
      <w:r w:rsidRPr="00D96C0B">
        <w:rPr>
          <w:lang w:val="fr-CA"/>
        </w:rPr>
        <w:t xml:space="preserve"> par CIDP </w:t>
      </w:r>
      <w:r w:rsidR="008A7033">
        <w:rPr>
          <w:lang w:val="fr-CA"/>
        </w:rPr>
        <w:t>avec</w:t>
      </w:r>
      <w:r w:rsidRPr="00D96C0B">
        <w:rPr>
          <w:lang w:val="fr-CA"/>
        </w:rPr>
        <w:t xml:space="preserve"> le cod</w:t>
      </w:r>
      <w:r w:rsidR="008A7033">
        <w:rPr>
          <w:lang w:val="fr-CA"/>
        </w:rPr>
        <w:t>age</w:t>
      </w:r>
      <w:r w:rsidRPr="00D96C0B">
        <w:rPr>
          <w:lang w:val="fr-CA"/>
        </w:rPr>
        <w:t xml:space="preserve"> financier attribué dans les événements de prévision</w:t>
      </w:r>
      <w:r w:rsidR="008A7033">
        <w:rPr>
          <w:lang w:val="fr-CA"/>
        </w:rPr>
        <w:t>)</w:t>
      </w:r>
      <w:r w:rsidRPr="00D96C0B">
        <w:rPr>
          <w:lang w:val="fr-CA"/>
        </w:rPr>
        <w:t xml:space="preserve">. </w:t>
      </w:r>
    </w:p>
    <w:p w14:paraId="539EBF65" w14:textId="77777777" w:rsidR="008A7033" w:rsidRDefault="008A7033" w:rsidP="003F63CD">
      <w:pPr>
        <w:rPr>
          <w:lang w:val="fr-CA"/>
        </w:rPr>
      </w:pPr>
    </w:p>
    <w:p w14:paraId="48582D3A" w14:textId="130F4B09" w:rsidR="003F63CD" w:rsidRPr="00D96C0B" w:rsidRDefault="008A7033" w:rsidP="003F63CD">
      <w:pPr>
        <w:rPr>
          <w:lang w:val="fr-CA"/>
        </w:rPr>
      </w:pPr>
      <w:r>
        <w:rPr>
          <w:lang w:val="fr-CA"/>
        </w:rPr>
        <w:t>P</w:t>
      </w:r>
      <w:r w:rsidRPr="00D96C0B">
        <w:rPr>
          <w:lang w:val="fr-CA"/>
        </w:rPr>
        <w:t>uisqu’il existe un lien direct entre la saisie des dépenses salariales (paye) et l’information de codage de l’employé dans l’OPS</w:t>
      </w:r>
      <w:r>
        <w:rPr>
          <w:lang w:val="fr-CA"/>
        </w:rPr>
        <w:t xml:space="preserve">, </w:t>
      </w:r>
      <w:r>
        <w:rPr>
          <w:b/>
          <w:u w:val="single"/>
          <w:lang w:val="fr-CA"/>
        </w:rPr>
        <w:t>i</w:t>
      </w:r>
      <w:r w:rsidR="003F63CD" w:rsidRPr="005E1274">
        <w:rPr>
          <w:b/>
          <w:u w:val="single"/>
          <w:lang w:val="fr-CA"/>
        </w:rPr>
        <w:t>l est donc essentiel de mettre à jour l’OPS dès qu’une mesure de dotation est connue</w:t>
      </w:r>
      <w:r w:rsidR="003F63CD" w:rsidRPr="00D96C0B">
        <w:rPr>
          <w:lang w:val="fr-CA"/>
        </w:rPr>
        <w:t>, et non uniquement durant les périodes de prévision. Si ce n’est pas fait en temps</w:t>
      </w:r>
      <w:r>
        <w:rPr>
          <w:lang w:val="fr-CA"/>
        </w:rPr>
        <w:t xml:space="preserve"> opportun</w:t>
      </w:r>
      <w:r w:rsidR="003F63CD" w:rsidRPr="00D96C0B">
        <w:rPr>
          <w:lang w:val="fr-CA"/>
        </w:rPr>
        <w:t>, des ajustements (corrections, pièces de journal) devront être effectuées.</w:t>
      </w:r>
    </w:p>
    <w:p w14:paraId="79CBF524" w14:textId="77777777" w:rsidR="003F63CD" w:rsidRPr="00D96C0B" w:rsidRDefault="003F63CD" w:rsidP="003F63CD">
      <w:pPr>
        <w:rPr>
          <w:lang w:val="fr-CA"/>
        </w:rPr>
      </w:pPr>
    </w:p>
    <w:p w14:paraId="20885593" w14:textId="77777777" w:rsidR="003F63CD" w:rsidRPr="00D96C0B" w:rsidRDefault="00D45BCF" w:rsidP="003F63CD">
      <w:pPr>
        <w:rPr>
          <w:lang w:val="fr-CA"/>
        </w:rPr>
      </w:pPr>
      <w:hyperlink r:id="rId17" w:history="1">
        <w:r w:rsidR="003F63CD" w:rsidRPr="00D96C0B">
          <w:rPr>
            <w:rStyle w:val="Hyperlink"/>
            <w:lang w:val="fr-CA"/>
          </w:rPr>
          <w:t xml:space="preserve">Créer une prévision pour employé et une </w:t>
        </w:r>
        <w:r w:rsidR="0071166B">
          <w:rPr>
            <w:rStyle w:val="Hyperlink"/>
            <w:lang w:val="fr-CA"/>
          </w:rPr>
          <w:t>assignation</w:t>
        </w:r>
        <w:r w:rsidR="0071166B" w:rsidRPr="00D96C0B">
          <w:rPr>
            <w:rStyle w:val="Hyperlink"/>
            <w:lang w:val="fr-CA"/>
          </w:rPr>
          <w:t xml:space="preserve"> </w:t>
        </w:r>
        <w:r w:rsidR="003F63CD" w:rsidRPr="00D96C0B">
          <w:rPr>
            <w:rStyle w:val="Hyperlink"/>
            <w:lang w:val="fr-CA"/>
          </w:rPr>
          <w:t>de</w:t>
        </w:r>
        <w:r w:rsidR="0071166B">
          <w:rPr>
            <w:rStyle w:val="Hyperlink"/>
            <w:lang w:val="fr-CA"/>
          </w:rPr>
          <w:t>s</w:t>
        </w:r>
        <w:r w:rsidR="003F63CD" w:rsidRPr="00D96C0B">
          <w:rPr>
            <w:rStyle w:val="Hyperlink"/>
            <w:lang w:val="fr-CA"/>
          </w:rPr>
          <w:t xml:space="preserve"> coûts</w:t>
        </w:r>
      </w:hyperlink>
    </w:p>
    <w:p w14:paraId="2947A6AB" w14:textId="77777777" w:rsidR="003F63CD" w:rsidRPr="00D96C0B" w:rsidRDefault="00D45BCF" w:rsidP="003F63CD">
      <w:pPr>
        <w:rPr>
          <w:lang w:val="fr-CA"/>
        </w:rPr>
      </w:pPr>
      <w:hyperlink r:id="rId18" w:history="1">
        <w:r w:rsidR="003F63CD" w:rsidRPr="00D96C0B">
          <w:rPr>
            <w:rStyle w:val="Hyperlink"/>
            <w:rFonts w:cs="Arial"/>
            <w:lang w:val="fr-CA"/>
          </w:rPr>
          <w:t>Modifier une assignation des coûts</w:t>
        </w:r>
      </w:hyperlink>
    </w:p>
    <w:p w14:paraId="3CD1C5CA" w14:textId="77777777" w:rsidR="003F63CD" w:rsidRPr="00D96C0B" w:rsidRDefault="003F63CD" w:rsidP="003F63CD">
      <w:pPr>
        <w:rPr>
          <w:rStyle w:val="Hyperlink"/>
          <w:lang w:val="fr-CA"/>
        </w:rPr>
      </w:pPr>
      <w:r w:rsidRPr="00D96C0B">
        <w:rPr>
          <w:rFonts w:cs="Arial"/>
          <w:lang w:val="fr-CA"/>
        </w:rPr>
        <w:fldChar w:fldCharType="begin"/>
      </w:r>
      <w:r w:rsidRPr="00D96C0B">
        <w:rPr>
          <w:rFonts w:cs="Arial"/>
          <w:lang w:val="fr-CA"/>
        </w:rPr>
        <w:instrText xml:space="preserve"> HYPERLINK "http://nspkipws.service.gc.ca/gm/folder-1.11.197214?mode=EU&amp;originalContext=1.11.199336" </w:instrText>
      </w:r>
      <w:r w:rsidRPr="00D96C0B">
        <w:rPr>
          <w:rFonts w:cs="Arial"/>
          <w:lang w:val="fr-CA"/>
        </w:rPr>
        <w:fldChar w:fldCharType="separate"/>
      </w:r>
      <w:r w:rsidRPr="00D96C0B">
        <w:rPr>
          <w:rStyle w:val="Hyperlink"/>
          <w:rFonts w:cs="Arial"/>
          <w:lang w:val="fr-CA"/>
        </w:rPr>
        <w:t>Supprimer la prévision d’un employé</w:t>
      </w:r>
    </w:p>
    <w:p w14:paraId="569D9DCA" w14:textId="77777777" w:rsidR="003F63CD" w:rsidRPr="00D96C0B" w:rsidRDefault="003F63CD" w:rsidP="003F63CD">
      <w:pPr>
        <w:rPr>
          <w:rStyle w:val="Hyperlink"/>
          <w:lang w:val="fr-CA"/>
        </w:rPr>
      </w:pPr>
      <w:r w:rsidRPr="00D96C0B">
        <w:rPr>
          <w:rFonts w:cs="Arial"/>
          <w:lang w:val="fr-CA"/>
        </w:rPr>
        <w:fldChar w:fldCharType="end"/>
      </w:r>
      <w:r w:rsidRPr="00D96C0B">
        <w:rPr>
          <w:rFonts w:cs="Arial"/>
          <w:lang w:val="fr-CA"/>
        </w:rPr>
        <w:fldChar w:fldCharType="begin"/>
      </w:r>
      <w:r w:rsidRPr="00D96C0B">
        <w:rPr>
          <w:rFonts w:cs="Arial"/>
          <w:lang w:val="fr-CA"/>
        </w:rPr>
        <w:instrText xml:space="preserve"> HYPERLINK "http://nspkipws.service.gc.ca/gm/folder-1.11.197216?mode=EU&amp;originalContext=1.11.199336" </w:instrText>
      </w:r>
      <w:r w:rsidRPr="00D96C0B">
        <w:rPr>
          <w:rFonts w:cs="Arial"/>
          <w:lang w:val="fr-CA"/>
        </w:rPr>
        <w:fldChar w:fldCharType="separate"/>
      </w:r>
      <w:r w:rsidRPr="00D96C0B">
        <w:rPr>
          <w:rStyle w:val="Hyperlink"/>
          <w:rFonts w:cs="Arial"/>
          <w:lang w:val="fr-CA"/>
        </w:rPr>
        <w:t>Supprimer une affectation de coûts</w:t>
      </w:r>
    </w:p>
    <w:p w14:paraId="77BB2C31" w14:textId="77777777" w:rsidR="003F63CD" w:rsidRPr="00D96C0B" w:rsidRDefault="003F63CD" w:rsidP="003F63CD">
      <w:pPr>
        <w:rPr>
          <w:lang w:val="fr-CA"/>
        </w:rPr>
      </w:pPr>
      <w:r w:rsidRPr="00D96C0B">
        <w:rPr>
          <w:rFonts w:cs="Arial"/>
          <w:lang w:val="fr-CA"/>
        </w:rPr>
        <w:fldChar w:fldCharType="end"/>
      </w:r>
    </w:p>
    <w:p w14:paraId="629B3D86" w14:textId="734E1B66" w:rsidR="003F63CD" w:rsidRPr="003F1788" w:rsidRDefault="003F63CD" w:rsidP="00E8661F">
      <w:pPr>
        <w:pStyle w:val="Heading3"/>
        <w:numPr>
          <w:ilvl w:val="2"/>
          <w:numId w:val="2"/>
        </w:numPr>
        <w:rPr>
          <w:lang w:val="fr-CA"/>
        </w:rPr>
      </w:pPr>
      <w:bookmarkStart w:id="28" w:name="_Toc513716500"/>
      <w:bookmarkStart w:id="29" w:name="_Toc72402511"/>
      <w:r w:rsidRPr="00D96C0B">
        <w:rPr>
          <w:lang w:val="fr-CA"/>
        </w:rPr>
        <w:t>Prévision</w:t>
      </w:r>
      <w:r w:rsidRPr="003F1788">
        <w:rPr>
          <w:lang w:val="fr-CA"/>
        </w:rPr>
        <w:t xml:space="preserve"> de la rémunération au rendement</w:t>
      </w:r>
      <w:bookmarkEnd w:id="28"/>
      <w:bookmarkEnd w:id="29"/>
    </w:p>
    <w:p w14:paraId="789422E8" w14:textId="77777777" w:rsidR="003F63CD" w:rsidRPr="003F1788" w:rsidRDefault="003F63CD" w:rsidP="003F63CD">
      <w:pPr>
        <w:rPr>
          <w:lang w:val="fr-CA"/>
        </w:rPr>
      </w:pPr>
    </w:p>
    <w:p w14:paraId="660C0754" w14:textId="77777777" w:rsidR="003F63CD" w:rsidRPr="00A05194" w:rsidRDefault="003F63CD" w:rsidP="003F63CD">
      <w:pPr>
        <w:rPr>
          <w:rFonts w:ascii="Times New Roman" w:eastAsiaTheme="minorEastAsia" w:hAnsi="Times New Roman"/>
          <w:lang w:val="fr-CA"/>
        </w:rPr>
      </w:pPr>
      <w:r w:rsidRPr="003F1788">
        <w:rPr>
          <w:rStyle w:val="hps"/>
          <w:rFonts w:cs="Arial"/>
          <w:lang w:val="fr-FR"/>
        </w:rPr>
        <w:t>Comme</w:t>
      </w:r>
      <w:r w:rsidRPr="003F1788">
        <w:rPr>
          <w:rFonts w:cs="Arial"/>
          <w:lang w:val="fr-FR"/>
        </w:rPr>
        <w:t xml:space="preserve"> </w:t>
      </w:r>
      <w:r w:rsidRPr="003F1788">
        <w:rPr>
          <w:rStyle w:val="hps"/>
          <w:rFonts w:cs="Arial"/>
          <w:lang w:val="fr-FR"/>
        </w:rPr>
        <w:t>les dépenses</w:t>
      </w:r>
      <w:r w:rsidRPr="003F1788">
        <w:rPr>
          <w:rFonts w:cs="Arial"/>
          <w:lang w:val="fr-FR"/>
        </w:rPr>
        <w:t xml:space="preserve"> </w:t>
      </w:r>
      <w:r w:rsidRPr="003F1788">
        <w:rPr>
          <w:rStyle w:val="hps"/>
          <w:rFonts w:cs="Arial"/>
          <w:lang w:val="fr-FR"/>
        </w:rPr>
        <w:t>liées à la rémunération au rendement</w:t>
      </w:r>
      <w:r w:rsidRPr="003F1788">
        <w:rPr>
          <w:rFonts w:cs="Arial"/>
          <w:lang w:val="fr-FR"/>
        </w:rPr>
        <w:t xml:space="preserve"> </w:t>
      </w:r>
      <w:r w:rsidRPr="003F1788">
        <w:rPr>
          <w:rStyle w:val="hps"/>
          <w:rFonts w:cs="Arial"/>
          <w:lang w:val="fr-FR"/>
        </w:rPr>
        <w:t>sont payées</w:t>
      </w:r>
      <w:r w:rsidRPr="003F1788">
        <w:rPr>
          <w:rFonts w:cs="Arial"/>
          <w:lang w:val="fr-FR"/>
        </w:rPr>
        <w:t xml:space="preserve"> </w:t>
      </w:r>
      <w:r w:rsidRPr="003F1788">
        <w:rPr>
          <w:rStyle w:val="hps"/>
          <w:rFonts w:cs="Arial"/>
          <w:lang w:val="fr-FR"/>
        </w:rPr>
        <w:t>dans</w:t>
      </w:r>
      <w:r w:rsidRPr="003F1788">
        <w:rPr>
          <w:rFonts w:cs="Arial"/>
          <w:lang w:val="fr-FR"/>
        </w:rPr>
        <w:t xml:space="preserve"> </w:t>
      </w:r>
      <w:r w:rsidRPr="003F1788">
        <w:rPr>
          <w:rStyle w:val="hps"/>
          <w:rFonts w:cs="Arial"/>
          <w:lang w:val="fr-FR"/>
        </w:rPr>
        <w:t>l'exercice suivant</w:t>
      </w:r>
      <w:r w:rsidRPr="003F1788">
        <w:rPr>
          <w:rFonts w:cs="Arial"/>
          <w:lang w:val="fr-FR"/>
        </w:rPr>
        <w:t xml:space="preserve">, </w:t>
      </w:r>
      <w:r w:rsidRPr="003F1788">
        <w:rPr>
          <w:rStyle w:val="hps"/>
          <w:rFonts w:cs="Arial"/>
          <w:lang w:val="fr-FR"/>
        </w:rPr>
        <w:t xml:space="preserve">un </w:t>
      </w:r>
      <w:r w:rsidRPr="003F1788">
        <w:rPr>
          <w:lang w:val="fr-CA"/>
        </w:rPr>
        <w:t>créditeur à la fin de l’exercice</w:t>
      </w:r>
      <w:r w:rsidRPr="003F1788">
        <w:rPr>
          <w:rStyle w:val="hps"/>
          <w:rFonts w:cs="Arial"/>
          <w:lang w:val="fr-FR"/>
        </w:rPr>
        <w:t xml:space="preserve"> (CAFE</w:t>
      </w:r>
      <w:r w:rsidRPr="003F1788">
        <w:rPr>
          <w:rFonts w:cs="Arial"/>
          <w:lang w:val="fr-FR"/>
        </w:rPr>
        <w:t xml:space="preserve">) </w:t>
      </w:r>
      <w:r w:rsidRPr="003F1788">
        <w:rPr>
          <w:rStyle w:val="hps"/>
          <w:rFonts w:cs="Arial"/>
          <w:lang w:val="fr-FR"/>
        </w:rPr>
        <w:t>est</w:t>
      </w:r>
      <w:r w:rsidRPr="003F1788">
        <w:rPr>
          <w:rFonts w:cs="Arial"/>
          <w:lang w:val="fr-FR"/>
        </w:rPr>
        <w:t xml:space="preserve"> </w:t>
      </w:r>
      <w:r w:rsidRPr="003F1788">
        <w:rPr>
          <w:rStyle w:val="hps"/>
          <w:rFonts w:cs="Arial"/>
          <w:lang w:val="fr-FR"/>
        </w:rPr>
        <w:t>établi</w:t>
      </w:r>
      <w:r w:rsidRPr="003F1788">
        <w:rPr>
          <w:rFonts w:cs="Arial"/>
          <w:lang w:val="fr-FR"/>
        </w:rPr>
        <w:t>,</w:t>
      </w:r>
      <w:r w:rsidRPr="003F1788">
        <w:rPr>
          <w:rStyle w:val="hps"/>
          <w:rFonts w:cs="Arial"/>
          <w:lang w:val="fr-FR"/>
        </w:rPr>
        <w:t xml:space="preserve"> basé sur le montant estimé pour</w:t>
      </w:r>
      <w:r w:rsidRPr="003F1788">
        <w:rPr>
          <w:rFonts w:cs="Arial"/>
          <w:lang w:val="fr-FR"/>
        </w:rPr>
        <w:t xml:space="preserve"> </w:t>
      </w:r>
      <w:r w:rsidRPr="003F1788">
        <w:rPr>
          <w:rStyle w:val="hps"/>
          <w:rFonts w:cs="Arial"/>
          <w:lang w:val="fr-FR"/>
        </w:rPr>
        <w:t>ce type de paiement</w:t>
      </w:r>
      <w:r w:rsidRPr="003F1788">
        <w:rPr>
          <w:rFonts w:cs="Arial"/>
          <w:lang w:val="fr-FR"/>
        </w:rPr>
        <w:t xml:space="preserve">. </w:t>
      </w:r>
      <w:r w:rsidRPr="003F1788">
        <w:rPr>
          <w:rStyle w:val="hps"/>
          <w:rFonts w:cs="Arial"/>
          <w:lang w:val="fr-FR"/>
        </w:rPr>
        <w:t>Le</w:t>
      </w:r>
      <w:r w:rsidRPr="003F1788">
        <w:rPr>
          <w:rFonts w:cs="Arial"/>
          <w:lang w:val="fr-FR"/>
        </w:rPr>
        <w:t xml:space="preserve"> </w:t>
      </w:r>
      <w:r w:rsidRPr="003F1788">
        <w:rPr>
          <w:rStyle w:val="hps"/>
          <w:rFonts w:cs="Arial"/>
          <w:lang w:val="fr-FR"/>
        </w:rPr>
        <w:t>CAFE</w:t>
      </w:r>
      <w:r w:rsidRPr="003F1788">
        <w:rPr>
          <w:rFonts w:cs="Arial"/>
          <w:lang w:val="fr-FR"/>
        </w:rPr>
        <w:t xml:space="preserve"> </w:t>
      </w:r>
      <w:r>
        <w:rPr>
          <w:rStyle w:val="hps"/>
          <w:rFonts w:cs="Arial"/>
          <w:lang w:val="fr-FR"/>
        </w:rPr>
        <w:t>est</w:t>
      </w:r>
      <w:r w:rsidRPr="003F1788">
        <w:rPr>
          <w:rStyle w:val="hps"/>
          <w:rFonts w:cs="Arial"/>
          <w:lang w:val="fr-FR"/>
        </w:rPr>
        <w:t xml:space="preserve"> établi</w:t>
      </w:r>
      <w:r w:rsidRPr="003F1788">
        <w:rPr>
          <w:rFonts w:cs="Arial"/>
          <w:lang w:val="fr-FR"/>
        </w:rPr>
        <w:t xml:space="preserve"> </w:t>
      </w:r>
      <w:r w:rsidRPr="003F1788">
        <w:rPr>
          <w:rStyle w:val="hps"/>
          <w:rFonts w:cs="Arial"/>
          <w:lang w:val="fr-FR"/>
        </w:rPr>
        <w:t>selon le</w:t>
      </w:r>
      <w:r w:rsidRPr="003F1788">
        <w:rPr>
          <w:rFonts w:cs="Arial"/>
          <w:lang w:val="fr-FR"/>
        </w:rPr>
        <w:t xml:space="preserve"> </w:t>
      </w:r>
      <w:r w:rsidRPr="003F1788">
        <w:rPr>
          <w:rStyle w:val="hps"/>
          <w:rFonts w:cs="Arial"/>
          <w:lang w:val="fr-FR"/>
        </w:rPr>
        <w:t>montant identifié</w:t>
      </w:r>
      <w:r w:rsidRPr="003F1788">
        <w:rPr>
          <w:rFonts w:cs="Arial"/>
          <w:lang w:val="fr-FR"/>
        </w:rPr>
        <w:t xml:space="preserve"> </w:t>
      </w:r>
      <w:r w:rsidRPr="003F1788">
        <w:rPr>
          <w:rStyle w:val="hps"/>
          <w:rFonts w:cs="Arial"/>
          <w:lang w:val="fr-FR"/>
        </w:rPr>
        <w:t>dans</w:t>
      </w:r>
      <w:r w:rsidRPr="003F1788">
        <w:rPr>
          <w:rFonts w:cs="Arial"/>
          <w:lang w:val="fr-FR"/>
        </w:rPr>
        <w:t xml:space="preserve"> </w:t>
      </w:r>
      <w:r w:rsidRPr="003F1788">
        <w:rPr>
          <w:rStyle w:val="hps"/>
          <w:rFonts w:cs="Arial"/>
          <w:lang w:val="fr-FR"/>
        </w:rPr>
        <w:t>l’OPS</w:t>
      </w:r>
      <w:r w:rsidRPr="003F1788">
        <w:rPr>
          <w:rFonts w:cs="Arial"/>
          <w:lang w:val="fr-FR"/>
        </w:rPr>
        <w:t xml:space="preserve"> </w:t>
      </w:r>
      <w:r w:rsidRPr="003F1788">
        <w:rPr>
          <w:rStyle w:val="hps"/>
          <w:rFonts w:cs="Arial"/>
          <w:lang w:val="fr-FR"/>
        </w:rPr>
        <w:t xml:space="preserve">dans le </w:t>
      </w:r>
      <w:r w:rsidR="00A05194">
        <w:rPr>
          <w:rStyle w:val="hps"/>
          <w:rFonts w:cs="Arial"/>
          <w:lang w:val="fr-FR"/>
        </w:rPr>
        <w:t>CB</w:t>
      </w:r>
      <w:r w:rsidR="00A05194">
        <w:rPr>
          <w:rStyle w:val="FootnoteReference"/>
          <w:rFonts w:eastAsiaTheme="majorEastAsia"/>
          <w:lang w:val="en-US"/>
        </w:rPr>
        <w:footnoteReference w:id="4"/>
      </w:r>
      <w:r w:rsidR="00A05194">
        <w:rPr>
          <w:rStyle w:val="hps"/>
          <w:rFonts w:cs="Arial"/>
          <w:lang w:val="fr-FR"/>
        </w:rPr>
        <w:t xml:space="preserve"> (</w:t>
      </w:r>
      <w:r w:rsidRPr="003F1788">
        <w:rPr>
          <w:rStyle w:val="hps"/>
          <w:rFonts w:cs="Arial"/>
          <w:lang w:val="fr-FR"/>
        </w:rPr>
        <w:t>GP</w:t>
      </w:r>
      <w:r w:rsidR="00A05194">
        <w:rPr>
          <w:rStyle w:val="hps"/>
          <w:rFonts w:cs="Arial"/>
          <w:lang w:val="fr-FR"/>
        </w:rPr>
        <w:t>)</w:t>
      </w:r>
      <w:r w:rsidRPr="003F1788">
        <w:rPr>
          <w:rFonts w:cs="Arial"/>
          <w:lang w:val="fr-FR"/>
        </w:rPr>
        <w:t xml:space="preserve"> </w:t>
      </w:r>
      <w:r w:rsidRPr="003F1788">
        <w:rPr>
          <w:rStyle w:val="hps"/>
          <w:rFonts w:cs="Arial"/>
          <w:lang w:val="fr-FR"/>
        </w:rPr>
        <w:t>91125</w:t>
      </w:r>
      <w:r w:rsidRPr="003F1788">
        <w:rPr>
          <w:rFonts w:cs="Arial"/>
          <w:lang w:val="fr-FR"/>
        </w:rPr>
        <w:t xml:space="preserve"> </w:t>
      </w:r>
      <w:r w:rsidRPr="003F1788">
        <w:rPr>
          <w:rStyle w:val="hps"/>
          <w:rFonts w:cs="Arial"/>
          <w:lang w:val="fr-FR"/>
        </w:rPr>
        <w:t>et toute rémunération au rendement</w:t>
      </w:r>
      <w:r w:rsidRPr="003F1788">
        <w:rPr>
          <w:rFonts w:cs="Arial"/>
          <w:lang w:val="fr-FR"/>
        </w:rPr>
        <w:t xml:space="preserve"> </w:t>
      </w:r>
      <w:r>
        <w:rPr>
          <w:rStyle w:val="hps"/>
          <w:rFonts w:cs="Arial"/>
          <w:lang w:val="fr-FR"/>
        </w:rPr>
        <w:t>devrait</w:t>
      </w:r>
      <w:r w:rsidRPr="003F1788">
        <w:rPr>
          <w:rStyle w:val="hps"/>
          <w:rFonts w:cs="Arial"/>
          <w:lang w:val="fr-FR"/>
        </w:rPr>
        <w:t xml:space="preserve"> être</w:t>
      </w:r>
      <w:r w:rsidRPr="003F1788">
        <w:rPr>
          <w:rFonts w:cs="Arial"/>
          <w:lang w:val="fr-FR"/>
        </w:rPr>
        <w:t xml:space="preserve"> </w:t>
      </w:r>
      <w:r w:rsidRPr="003F1788">
        <w:rPr>
          <w:rStyle w:val="hps"/>
          <w:rFonts w:cs="Arial"/>
          <w:lang w:val="fr-FR"/>
        </w:rPr>
        <w:t>prévue</w:t>
      </w:r>
      <w:r w:rsidRPr="003F1788">
        <w:rPr>
          <w:rFonts w:cs="Arial"/>
          <w:lang w:val="fr-FR"/>
        </w:rPr>
        <w:t xml:space="preserve"> </w:t>
      </w:r>
      <w:r w:rsidRPr="003F1788">
        <w:rPr>
          <w:rStyle w:val="hps"/>
          <w:rFonts w:cs="Arial"/>
          <w:lang w:val="fr-FR"/>
        </w:rPr>
        <w:t>au niveau</w:t>
      </w:r>
      <w:r w:rsidRPr="003F1788">
        <w:rPr>
          <w:rFonts w:cs="Arial"/>
          <w:lang w:val="fr-FR"/>
        </w:rPr>
        <w:t xml:space="preserve"> CIDP </w:t>
      </w:r>
      <w:r w:rsidRPr="003F1788">
        <w:rPr>
          <w:rStyle w:val="hps"/>
          <w:rFonts w:cs="Arial"/>
          <w:lang w:val="fr-FR"/>
        </w:rPr>
        <w:t>en utilisant une Indemnité non-récurrente</w:t>
      </w:r>
      <w:r w:rsidRPr="003F1788">
        <w:rPr>
          <w:rFonts w:cs="Arial"/>
          <w:lang w:val="fr-FR"/>
        </w:rPr>
        <w:t>.</w:t>
      </w:r>
    </w:p>
    <w:p w14:paraId="768214D4" w14:textId="77777777" w:rsidR="003F63CD" w:rsidRDefault="003F63CD" w:rsidP="003F63CD">
      <w:pPr>
        <w:rPr>
          <w:rFonts w:cs="Arial"/>
          <w:lang w:val="fr-FR"/>
        </w:rPr>
      </w:pPr>
    </w:p>
    <w:p w14:paraId="7765F7C2" w14:textId="6BA1FC15" w:rsidR="003F63CD" w:rsidRDefault="003F63CD" w:rsidP="003F63CD">
      <w:pPr>
        <w:rPr>
          <w:rFonts w:cs="Arial"/>
          <w:lang w:val="fr-FR"/>
        </w:rPr>
      </w:pPr>
      <w:r w:rsidRPr="003F1788">
        <w:rPr>
          <w:rFonts w:cs="Arial"/>
          <w:lang w:val="fr-FR"/>
        </w:rPr>
        <w:t xml:space="preserve">En règle générale, la rémunération au </w:t>
      </w:r>
      <w:r w:rsidRPr="003F1788">
        <w:rPr>
          <w:rStyle w:val="hps"/>
          <w:rFonts w:cs="Arial"/>
          <w:lang w:val="fr-FR"/>
        </w:rPr>
        <w:t>rendement devrait</w:t>
      </w:r>
      <w:r w:rsidRPr="003F1788">
        <w:rPr>
          <w:rFonts w:cs="Arial"/>
          <w:lang w:val="fr-FR"/>
        </w:rPr>
        <w:t xml:space="preserve"> </w:t>
      </w:r>
      <w:r w:rsidRPr="003F1788">
        <w:rPr>
          <w:rStyle w:val="hps"/>
          <w:rFonts w:cs="Arial"/>
          <w:lang w:val="fr-FR"/>
        </w:rPr>
        <w:t>être payé</w:t>
      </w:r>
      <w:r w:rsidR="008A7033">
        <w:rPr>
          <w:rStyle w:val="hps"/>
          <w:rFonts w:cs="Arial"/>
          <w:lang w:val="fr-FR"/>
        </w:rPr>
        <w:t>e</w:t>
      </w:r>
      <w:r w:rsidRPr="003F1788">
        <w:rPr>
          <w:rStyle w:val="hps"/>
          <w:rFonts w:cs="Arial"/>
          <w:lang w:val="fr-FR"/>
        </w:rPr>
        <w:t xml:space="preserve"> par le ministère pour</w:t>
      </w:r>
      <w:r w:rsidRPr="003F1788">
        <w:rPr>
          <w:rFonts w:cs="Arial"/>
          <w:lang w:val="fr-FR"/>
        </w:rPr>
        <w:t xml:space="preserve"> </w:t>
      </w:r>
      <w:r w:rsidRPr="003F1788">
        <w:rPr>
          <w:rStyle w:val="hps"/>
          <w:rFonts w:cs="Arial"/>
          <w:lang w:val="fr-FR"/>
        </w:rPr>
        <w:t xml:space="preserve">tous les employés de </w:t>
      </w:r>
      <w:r w:rsidR="00D015ED" w:rsidRPr="003F1788">
        <w:rPr>
          <w:rStyle w:val="hps"/>
          <w:rFonts w:cs="Arial"/>
          <w:lang w:val="fr-FR"/>
        </w:rPr>
        <w:t>leur effectif admissible</w:t>
      </w:r>
      <w:r w:rsidRPr="003F1788">
        <w:rPr>
          <w:rFonts w:cs="Arial"/>
          <w:lang w:val="fr-FR"/>
        </w:rPr>
        <w:t xml:space="preserve"> </w:t>
      </w:r>
      <w:r w:rsidRPr="003F1788">
        <w:rPr>
          <w:rStyle w:val="hps"/>
          <w:rFonts w:cs="Arial"/>
          <w:lang w:val="fr-FR"/>
        </w:rPr>
        <w:t>au 31</w:t>
      </w:r>
      <w:r w:rsidRPr="003F1788">
        <w:rPr>
          <w:rFonts w:cs="Arial"/>
          <w:lang w:val="fr-FR"/>
        </w:rPr>
        <w:t xml:space="preserve"> </w:t>
      </w:r>
      <w:r w:rsidRPr="003F1788">
        <w:rPr>
          <w:rStyle w:val="hps"/>
          <w:rFonts w:cs="Arial"/>
          <w:lang w:val="fr-FR"/>
        </w:rPr>
        <w:t>mars</w:t>
      </w:r>
      <w:r w:rsidRPr="003F1788">
        <w:rPr>
          <w:rFonts w:cs="Arial"/>
          <w:lang w:val="fr-FR"/>
        </w:rPr>
        <w:t xml:space="preserve"> </w:t>
      </w:r>
      <w:r w:rsidRPr="003F1788">
        <w:rPr>
          <w:rStyle w:val="hps"/>
          <w:rFonts w:cs="Arial"/>
          <w:lang w:val="fr-FR"/>
        </w:rPr>
        <w:t>(</w:t>
      </w:r>
      <w:r w:rsidRPr="003F1788">
        <w:rPr>
          <w:rFonts w:cs="Arial"/>
          <w:lang w:val="fr-FR"/>
        </w:rPr>
        <w:t xml:space="preserve">quelle que soit la </w:t>
      </w:r>
      <w:r w:rsidRPr="003F1788">
        <w:rPr>
          <w:rStyle w:val="hps"/>
          <w:rFonts w:cs="Arial"/>
          <w:lang w:val="fr-FR"/>
        </w:rPr>
        <w:t>quantité de temps passé</w:t>
      </w:r>
      <w:r w:rsidRPr="003F1788">
        <w:rPr>
          <w:rFonts w:cs="Arial"/>
          <w:lang w:val="fr-FR"/>
        </w:rPr>
        <w:t xml:space="preserve"> </w:t>
      </w:r>
      <w:r w:rsidRPr="003F1788">
        <w:rPr>
          <w:rStyle w:val="hps"/>
          <w:rFonts w:cs="Arial"/>
          <w:lang w:val="fr-FR"/>
        </w:rPr>
        <w:t>dans le ministère</w:t>
      </w:r>
      <w:r w:rsidRPr="003F1788">
        <w:rPr>
          <w:rFonts w:cs="Arial"/>
          <w:lang w:val="fr-FR"/>
        </w:rPr>
        <w:t>). Ceci est applicable à moins qu’une entente ait été prise au préalable entre les deux ministères.</w:t>
      </w:r>
    </w:p>
    <w:p w14:paraId="1DDEB94D" w14:textId="77777777" w:rsidR="003F63CD" w:rsidRPr="003F1788" w:rsidRDefault="003F63CD" w:rsidP="003F63CD">
      <w:pPr>
        <w:rPr>
          <w:rFonts w:cs="Arial"/>
          <w:lang w:val="fr-FR"/>
        </w:rPr>
      </w:pPr>
    </w:p>
    <w:p w14:paraId="04778123" w14:textId="77777777" w:rsidR="003F63CD" w:rsidRPr="003F1788" w:rsidRDefault="003F63CD" w:rsidP="003F63CD">
      <w:pPr>
        <w:rPr>
          <w:rFonts w:cs="Arial"/>
          <w:lang w:val="fr-FR"/>
        </w:rPr>
      </w:pPr>
      <w:r w:rsidRPr="003F1788">
        <w:rPr>
          <w:rStyle w:val="hps"/>
          <w:rFonts w:cs="Arial"/>
          <w:lang w:val="fr-FR"/>
        </w:rPr>
        <w:t>Notez</w:t>
      </w:r>
      <w:r w:rsidRPr="003F1788">
        <w:rPr>
          <w:rFonts w:cs="Arial"/>
          <w:lang w:val="fr-FR"/>
        </w:rPr>
        <w:t xml:space="preserve"> </w:t>
      </w:r>
      <w:r w:rsidRPr="003F1788">
        <w:rPr>
          <w:rStyle w:val="hps"/>
          <w:rFonts w:cs="Arial"/>
          <w:lang w:val="fr-FR"/>
        </w:rPr>
        <w:t>qu'il y aura</w:t>
      </w:r>
      <w:r w:rsidRPr="003F1788">
        <w:rPr>
          <w:rFonts w:cs="Arial"/>
          <w:lang w:val="fr-FR"/>
        </w:rPr>
        <w:t xml:space="preserve"> </w:t>
      </w:r>
      <w:r w:rsidRPr="003F1788">
        <w:rPr>
          <w:rStyle w:val="hps"/>
          <w:rFonts w:cs="Arial"/>
          <w:lang w:val="fr-FR"/>
        </w:rPr>
        <w:t>une règle de substitution</w:t>
      </w:r>
      <w:r w:rsidRPr="003F1788">
        <w:rPr>
          <w:rFonts w:cs="Arial"/>
          <w:lang w:val="fr-FR"/>
        </w:rPr>
        <w:t xml:space="preserve"> </w:t>
      </w:r>
      <w:r w:rsidRPr="003F1788">
        <w:rPr>
          <w:rStyle w:val="hps"/>
          <w:rFonts w:cs="Arial"/>
          <w:lang w:val="fr-FR"/>
        </w:rPr>
        <w:t>dans</w:t>
      </w:r>
      <w:r w:rsidRPr="003F1788">
        <w:rPr>
          <w:rFonts w:cs="Arial"/>
          <w:lang w:val="fr-FR"/>
        </w:rPr>
        <w:t xml:space="preserve"> </w:t>
      </w:r>
      <w:r w:rsidRPr="003F1788">
        <w:rPr>
          <w:rStyle w:val="hps"/>
          <w:rFonts w:cs="Arial"/>
          <w:lang w:val="fr-FR"/>
        </w:rPr>
        <w:t>l’OPS</w:t>
      </w:r>
      <w:r w:rsidRPr="003F1788">
        <w:rPr>
          <w:rFonts w:cs="Arial"/>
          <w:lang w:val="fr-FR"/>
        </w:rPr>
        <w:t xml:space="preserve"> </w:t>
      </w:r>
      <w:r w:rsidRPr="003F1788">
        <w:rPr>
          <w:rStyle w:val="hps"/>
          <w:rFonts w:cs="Arial"/>
          <w:lang w:val="fr-FR"/>
        </w:rPr>
        <w:t>qui fera en sorte que</w:t>
      </w:r>
      <w:r w:rsidRPr="003F1788">
        <w:rPr>
          <w:rFonts w:cs="Arial"/>
          <w:lang w:val="fr-FR"/>
        </w:rPr>
        <w:t xml:space="preserve"> </w:t>
      </w:r>
      <w:r w:rsidRPr="003F1788">
        <w:rPr>
          <w:rStyle w:val="hps"/>
          <w:rFonts w:cs="Arial"/>
          <w:lang w:val="fr-FR"/>
        </w:rPr>
        <w:t>la dépense réelle liée à la rémunération au rendement</w:t>
      </w:r>
      <w:r w:rsidRPr="003F1788">
        <w:rPr>
          <w:rFonts w:cs="Arial"/>
          <w:lang w:val="fr-FR"/>
        </w:rPr>
        <w:t xml:space="preserve"> </w:t>
      </w:r>
      <w:r w:rsidRPr="003F1788">
        <w:rPr>
          <w:rStyle w:val="hps"/>
          <w:rFonts w:cs="Arial"/>
          <w:lang w:val="fr-FR"/>
        </w:rPr>
        <w:t>sera codée directement</w:t>
      </w:r>
      <w:r w:rsidRPr="003F1788">
        <w:rPr>
          <w:rFonts w:cs="Arial"/>
          <w:lang w:val="fr-FR"/>
        </w:rPr>
        <w:t xml:space="preserve"> </w:t>
      </w:r>
      <w:r w:rsidRPr="003F1788">
        <w:rPr>
          <w:rStyle w:val="hps"/>
          <w:rFonts w:cs="Arial"/>
          <w:lang w:val="fr-FR"/>
        </w:rPr>
        <w:t>contre le</w:t>
      </w:r>
      <w:r w:rsidRPr="003F1788">
        <w:rPr>
          <w:rFonts w:cs="Arial"/>
          <w:lang w:val="fr-FR"/>
        </w:rPr>
        <w:t xml:space="preserve"> </w:t>
      </w:r>
      <w:r w:rsidRPr="003F1788">
        <w:rPr>
          <w:rStyle w:val="hps"/>
          <w:rFonts w:cs="Arial"/>
          <w:lang w:val="fr-FR"/>
        </w:rPr>
        <w:t>CAFE</w:t>
      </w:r>
      <w:r w:rsidRPr="003F1788">
        <w:rPr>
          <w:rFonts w:cs="Arial"/>
          <w:lang w:val="fr-FR"/>
        </w:rPr>
        <w:t xml:space="preserve"> </w:t>
      </w:r>
      <w:r w:rsidRPr="003F1788">
        <w:rPr>
          <w:rStyle w:val="hps"/>
          <w:rFonts w:cs="Arial"/>
          <w:lang w:val="fr-FR"/>
        </w:rPr>
        <w:t>établi et</w:t>
      </w:r>
      <w:r w:rsidRPr="003F1788">
        <w:rPr>
          <w:rFonts w:cs="Arial"/>
          <w:lang w:val="fr-FR"/>
        </w:rPr>
        <w:t xml:space="preserve"> par conséquent, </w:t>
      </w:r>
      <w:r w:rsidRPr="003F1788">
        <w:rPr>
          <w:rStyle w:val="hps"/>
          <w:rFonts w:cs="Arial"/>
          <w:lang w:val="fr-FR"/>
        </w:rPr>
        <w:t>ne sera pas affichée</w:t>
      </w:r>
      <w:r w:rsidRPr="003F1788">
        <w:rPr>
          <w:rFonts w:cs="Arial"/>
          <w:lang w:val="fr-FR"/>
        </w:rPr>
        <w:t xml:space="preserve"> </w:t>
      </w:r>
      <w:r w:rsidRPr="003F1788">
        <w:rPr>
          <w:rStyle w:val="hps"/>
          <w:rFonts w:cs="Arial"/>
          <w:lang w:val="fr-FR"/>
        </w:rPr>
        <w:t>dans</w:t>
      </w:r>
      <w:r w:rsidRPr="003F1788">
        <w:rPr>
          <w:rFonts w:cs="Arial"/>
          <w:lang w:val="fr-FR"/>
        </w:rPr>
        <w:t xml:space="preserve"> </w:t>
      </w:r>
      <w:r w:rsidRPr="003F1788">
        <w:rPr>
          <w:rStyle w:val="hps"/>
          <w:rFonts w:cs="Arial"/>
          <w:lang w:val="fr-FR"/>
        </w:rPr>
        <w:t>l’OPS pour des fins</w:t>
      </w:r>
      <w:r w:rsidRPr="003F1788">
        <w:rPr>
          <w:rFonts w:cs="Arial"/>
          <w:lang w:val="fr-FR"/>
        </w:rPr>
        <w:t xml:space="preserve"> </w:t>
      </w:r>
      <w:r w:rsidRPr="003F1788">
        <w:rPr>
          <w:rStyle w:val="hps"/>
          <w:rFonts w:cs="Arial"/>
          <w:lang w:val="fr-FR"/>
        </w:rPr>
        <w:t>de confidentialité/sensibilité</w:t>
      </w:r>
      <w:r w:rsidRPr="003F1788">
        <w:rPr>
          <w:rFonts w:cs="Arial"/>
          <w:lang w:val="fr-FR"/>
        </w:rPr>
        <w:t>.</w:t>
      </w:r>
    </w:p>
    <w:p w14:paraId="77A1DE19" w14:textId="77777777" w:rsidR="003F63CD" w:rsidRPr="003F1788" w:rsidRDefault="003F63CD" w:rsidP="003F63CD">
      <w:pPr>
        <w:rPr>
          <w:lang w:val="fr-CA"/>
        </w:rPr>
      </w:pPr>
    </w:p>
    <w:p w14:paraId="17D262BD" w14:textId="4CBE56D6" w:rsidR="003F63CD" w:rsidRPr="00886822" w:rsidRDefault="003F63CD" w:rsidP="003F63CD">
      <w:pPr>
        <w:rPr>
          <w:lang w:val="fr-CA"/>
        </w:rPr>
      </w:pPr>
      <w:r w:rsidRPr="003F1788">
        <w:rPr>
          <w:lang w:val="fr-CA"/>
        </w:rPr>
        <w:t xml:space="preserve">Ci-dessous est le lien le plus à jour du </w:t>
      </w:r>
      <w:r w:rsidR="008A7033">
        <w:rPr>
          <w:lang w:val="fr-CA"/>
        </w:rPr>
        <w:t>Secrétariat du Conseil du Trésor (</w:t>
      </w:r>
      <w:r w:rsidRPr="003F1788">
        <w:rPr>
          <w:lang w:val="fr-CA"/>
        </w:rPr>
        <w:t>SCT</w:t>
      </w:r>
      <w:r w:rsidR="008A7033">
        <w:rPr>
          <w:lang w:val="fr-CA"/>
        </w:rPr>
        <w:t>)</w:t>
      </w:r>
      <w:r w:rsidRPr="003F1788">
        <w:rPr>
          <w:lang w:val="fr-CA"/>
        </w:rPr>
        <w:t xml:space="preserve"> </w:t>
      </w:r>
      <w:r w:rsidR="008A7033">
        <w:rPr>
          <w:lang w:val="fr-CA"/>
        </w:rPr>
        <w:t>e</w:t>
      </w:r>
      <w:r w:rsidRPr="003F1788">
        <w:rPr>
          <w:lang w:val="fr-CA"/>
        </w:rPr>
        <w:t xml:space="preserve">n lien avec le Programme de gestion du rendement pour les cadres supérieurs. Ce </w:t>
      </w:r>
      <w:r w:rsidRPr="003F1788">
        <w:rPr>
          <w:lang w:val="fr-CA"/>
        </w:rPr>
        <w:lastRenderedPageBreak/>
        <w:t xml:space="preserve">document est habituellement mis à jour par le </w:t>
      </w:r>
      <w:r w:rsidRPr="00886822">
        <w:rPr>
          <w:lang w:val="fr-CA"/>
        </w:rPr>
        <w:t>Bureau du dirigeant principal des ressources humaines (BDPRH) en janvier/février de chaque année financière.</w:t>
      </w:r>
    </w:p>
    <w:p w14:paraId="7D22B7A9" w14:textId="77777777" w:rsidR="003F63CD" w:rsidRPr="00886822" w:rsidRDefault="003F63CD" w:rsidP="003F63CD">
      <w:pPr>
        <w:rPr>
          <w:lang w:val="fr-CA"/>
        </w:rPr>
      </w:pPr>
    </w:p>
    <w:p w14:paraId="2C3BFA08" w14:textId="6C86813E" w:rsidR="00EF5AB4" w:rsidRDefault="00D45BCF" w:rsidP="003F63CD">
      <w:pPr>
        <w:rPr>
          <w:lang w:val="fr-CA"/>
        </w:rPr>
      </w:pPr>
      <w:hyperlink r:id="rId19" w:history="1">
        <w:r w:rsidR="003F63CD" w:rsidRPr="00886822">
          <w:rPr>
            <w:rStyle w:val="Hyperlink"/>
            <w:lang w:val="fr-CA"/>
          </w:rPr>
          <w:t>https://www.canada.ca/fr/secretariat-conseil-tresor/services/gestion-rendement-talents/programme-gestion-rendement-cadres-superieurs.html</w:t>
        </w:r>
      </w:hyperlink>
    </w:p>
    <w:p w14:paraId="13F3D7A1" w14:textId="77777777" w:rsidR="00EF5AB4" w:rsidRPr="00886822" w:rsidRDefault="00EF5AB4" w:rsidP="003F63CD">
      <w:pPr>
        <w:rPr>
          <w:lang w:val="fr-CA"/>
        </w:rPr>
      </w:pPr>
    </w:p>
    <w:p w14:paraId="0CA40359" w14:textId="12B22303" w:rsidR="00D015ED" w:rsidRDefault="00D015ED" w:rsidP="00E8661F">
      <w:pPr>
        <w:pStyle w:val="Heading3"/>
        <w:numPr>
          <w:ilvl w:val="2"/>
          <w:numId w:val="2"/>
        </w:numPr>
        <w:rPr>
          <w:lang w:val="fr-CA"/>
        </w:rPr>
      </w:pPr>
      <w:bookmarkStart w:id="30" w:name="_Toc72402512"/>
      <w:bookmarkStart w:id="31" w:name="_Toc513716501"/>
      <w:r>
        <w:rPr>
          <w:lang w:val="fr-CA"/>
        </w:rPr>
        <w:t>Prévision pour le paiement en argent des congés annuels</w:t>
      </w:r>
      <w:bookmarkEnd w:id="30"/>
    </w:p>
    <w:p w14:paraId="0B21283B" w14:textId="77777777" w:rsidR="00D015ED" w:rsidRDefault="00D015ED" w:rsidP="00D015ED">
      <w:pPr>
        <w:rPr>
          <w:lang w:val="fr-CA"/>
        </w:rPr>
      </w:pPr>
    </w:p>
    <w:p w14:paraId="26FFCDD7" w14:textId="601E142F" w:rsidR="000F5BDA" w:rsidRDefault="00D015ED" w:rsidP="00D015ED">
      <w:pPr>
        <w:rPr>
          <w:lang w:val="fr-CA"/>
        </w:rPr>
      </w:pPr>
      <w:r w:rsidRPr="00D015ED">
        <w:rPr>
          <w:lang w:val="fr-CA"/>
        </w:rPr>
        <w:t>Les prévisions</w:t>
      </w:r>
      <w:r w:rsidR="004A2BD2">
        <w:rPr>
          <w:lang w:val="fr-CA"/>
        </w:rPr>
        <w:t xml:space="preserve"> pour le paiement en argent</w:t>
      </w:r>
      <w:r>
        <w:rPr>
          <w:lang w:val="fr-CA"/>
        </w:rPr>
        <w:t xml:space="preserve"> des congés annuels doivent être inscrit dans l’OPS par l’entremise du Groupe de prévision (GP) 91035 (</w:t>
      </w:r>
      <w:r w:rsidR="006D7B36">
        <w:rPr>
          <w:lang w:val="fr-CA"/>
        </w:rPr>
        <w:t>Prime lieu de congé stat.)</w:t>
      </w:r>
      <w:r w:rsidR="000F5BDA">
        <w:rPr>
          <w:lang w:val="fr-CA"/>
        </w:rPr>
        <w:t>.</w:t>
      </w:r>
      <w:r w:rsidR="006D7B36">
        <w:rPr>
          <w:lang w:val="fr-CA"/>
        </w:rPr>
        <w:t xml:space="preserve"> </w:t>
      </w:r>
      <w:r w:rsidR="000F5BDA" w:rsidRPr="000F5BDA">
        <w:rPr>
          <w:lang w:val="fr-CA"/>
        </w:rPr>
        <w:t xml:space="preserve">Le </w:t>
      </w:r>
      <w:r w:rsidR="005E46EF">
        <w:rPr>
          <w:lang w:val="fr-CA"/>
        </w:rPr>
        <w:t xml:space="preserve">SCT </w:t>
      </w:r>
      <w:r w:rsidR="000F5BDA" w:rsidRPr="000F5BDA">
        <w:rPr>
          <w:lang w:val="fr-CA"/>
        </w:rPr>
        <w:t>a convenu que le paiement des congés annuels et compensatoires ne se fera pas automatiquement en 2021, sauf pour les employés qui en font la demande.</w:t>
      </w:r>
    </w:p>
    <w:p w14:paraId="12110A12" w14:textId="617EB35F" w:rsidR="00D015ED" w:rsidRDefault="00D015ED" w:rsidP="00D015ED">
      <w:pPr>
        <w:rPr>
          <w:lang w:val="fr-CA"/>
        </w:rPr>
      </w:pPr>
    </w:p>
    <w:p w14:paraId="32BC1594" w14:textId="794C2E10" w:rsidR="003F63CD" w:rsidRPr="00886822" w:rsidRDefault="003F63CD" w:rsidP="00E8661F">
      <w:pPr>
        <w:pStyle w:val="Heading3"/>
        <w:numPr>
          <w:ilvl w:val="2"/>
          <w:numId w:val="2"/>
        </w:numPr>
        <w:rPr>
          <w:lang w:val="fr-CA"/>
        </w:rPr>
      </w:pPr>
      <w:bookmarkStart w:id="32" w:name="_Toc72402513"/>
      <w:r w:rsidRPr="00886822">
        <w:rPr>
          <w:lang w:val="fr-CA"/>
        </w:rPr>
        <w:t>Coûts à exclure des prévisions liées au personnel</w:t>
      </w:r>
      <w:bookmarkEnd w:id="31"/>
      <w:bookmarkEnd w:id="32"/>
    </w:p>
    <w:p w14:paraId="74949BB7" w14:textId="77777777" w:rsidR="003F63CD" w:rsidRPr="00886822" w:rsidRDefault="003F63CD" w:rsidP="003F63CD">
      <w:pPr>
        <w:rPr>
          <w:bCs/>
          <w:lang w:val="fr-CA"/>
        </w:rPr>
      </w:pPr>
    </w:p>
    <w:p w14:paraId="0426AA3A" w14:textId="54916085" w:rsidR="006D7B36" w:rsidRDefault="003F63CD" w:rsidP="003F63CD">
      <w:pPr>
        <w:autoSpaceDE w:val="0"/>
        <w:autoSpaceDN w:val="0"/>
        <w:adjustRightInd w:val="0"/>
        <w:rPr>
          <w:rFonts w:cs="Arial"/>
          <w:lang w:val="fr-CA"/>
        </w:rPr>
      </w:pPr>
      <w:r w:rsidRPr="00886822">
        <w:rPr>
          <w:rFonts w:cs="Arial"/>
          <w:lang w:val="fr-CA"/>
        </w:rPr>
        <w:t>À noter que les coûts suivants ne doivent pas être inclus dans les prévisions liées au personnel puisqu’ils sont couverts par le Con</w:t>
      </w:r>
      <w:r>
        <w:rPr>
          <w:rFonts w:cs="Arial"/>
          <w:lang w:val="fr-CA"/>
        </w:rPr>
        <w:t>seil du Trésor et que les dépenses sont</w:t>
      </w:r>
      <w:r w:rsidRPr="00886822">
        <w:rPr>
          <w:rFonts w:cs="Arial"/>
          <w:lang w:val="fr-CA"/>
        </w:rPr>
        <w:t xml:space="preserve"> </w:t>
      </w:r>
      <w:r w:rsidR="00C559A6">
        <w:rPr>
          <w:rFonts w:cs="Arial"/>
          <w:lang w:val="fr-CA"/>
        </w:rPr>
        <w:t>enregistrées</w:t>
      </w:r>
      <w:r w:rsidRPr="00886822">
        <w:rPr>
          <w:rFonts w:cs="Arial"/>
          <w:lang w:val="fr-CA"/>
        </w:rPr>
        <w:t xml:space="preserve"> sous </w:t>
      </w:r>
      <w:r w:rsidR="006D7B36">
        <w:rPr>
          <w:rFonts w:cs="Arial"/>
          <w:lang w:val="fr-CA"/>
        </w:rPr>
        <w:t>des fonds séparés :</w:t>
      </w:r>
    </w:p>
    <w:p w14:paraId="5A5D3887" w14:textId="77777777" w:rsidR="006D7B36" w:rsidRDefault="006D7B36" w:rsidP="003F63CD">
      <w:pPr>
        <w:autoSpaceDE w:val="0"/>
        <w:autoSpaceDN w:val="0"/>
        <w:adjustRightInd w:val="0"/>
        <w:rPr>
          <w:rFonts w:cs="Arial"/>
          <w:lang w:val="fr-CA"/>
        </w:rPr>
      </w:pPr>
    </w:p>
    <w:p w14:paraId="454E7B7E" w14:textId="77777777" w:rsidR="003F63CD" w:rsidRPr="00886822" w:rsidRDefault="006D7B36" w:rsidP="003F63CD">
      <w:pPr>
        <w:autoSpaceDE w:val="0"/>
        <w:autoSpaceDN w:val="0"/>
        <w:adjustRightInd w:val="0"/>
        <w:rPr>
          <w:rFonts w:cs="Arial"/>
          <w:lang w:val="fr-CA"/>
        </w:rPr>
      </w:pPr>
      <w:r>
        <w:rPr>
          <w:rFonts w:cs="Arial"/>
          <w:lang w:val="fr-CA"/>
        </w:rPr>
        <w:t>Fond</w:t>
      </w:r>
      <w:r w:rsidR="003F63CD" w:rsidRPr="00886822">
        <w:rPr>
          <w:rFonts w:cs="Arial"/>
          <w:lang w:val="fr-CA"/>
        </w:rPr>
        <w:t xml:space="preserve"> B099 :</w:t>
      </w:r>
    </w:p>
    <w:p w14:paraId="6EE4728D" w14:textId="47B6B41C" w:rsidR="003F63CD" w:rsidRPr="003F1788" w:rsidRDefault="00CD7BF8" w:rsidP="003F63CD">
      <w:pPr>
        <w:numPr>
          <w:ilvl w:val="0"/>
          <w:numId w:val="5"/>
        </w:numPr>
        <w:tabs>
          <w:tab w:val="clear" w:pos="720"/>
          <w:tab w:val="num" w:pos="1080"/>
        </w:tabs>
        <w:autoSpaceDE w:val="0"/>
        <w:autoSpaceDN w:val="0"/>
        <w:adjustRightInd w:val="0"/>
        <w:spacing w:before="120"/>
        <w:ind w:left="1077" w:hanging="357"/>
        <w:rPr>
          <w:rFonts w:cs="Arial"/>
          <w:lang w:val="fr-CA"/>
        </w:rPr>
      </w:pPr>
      <w:r w:rsidRPr="00886822">
        <w:rPr>
          <w:rFonts w:cs="Arial"/>
          <w:lang w:val="fr-CA"/>
        </w:rPr>
        <w:t>Les</w:t>
      </w:r>
      <w:r w:rsidR="003F63CD" w:rsidRPr="00886822">
        <w:rPr>
          <w:rFonts w:cs="Arial"/>
          <w:lang w:val="fr-CA"/>
        </w:rPr>
        <w:t xml:space="preserve"> prestations</w:t>
      </w:r>
      <w:r w:rsidR="003F63CD" w:rsidRPr="003F1788">
        <w:rPr>
          <w:rFonts w:cs="Arial"/>
          <w:lang w:val="fr-CA"/>
        </w:rPr>
        <w:t xml:space="preserve"> de congé de maternité ou de congé parental;</w:t>
      </w:r>
    </w:p>
    <w:p w14:paraId="4D0B8CFF" w14:textId="472883B8" w:rsidR="003F63CD" w:rsidRDefault="00CD7BF8" w:rsidP="003F63CD">
      <w:pPr>
        <w:numPr>
          <w:ilvl w:val="0"/>
          <w:numId w:val="5"/>
        </w:numPr>
        <w:tabs>
          <w:tab w:val="clear" w:pos="720"/>
          <w:tab w:val="num" w:pos="1080"/>
        </w:tabs>
        <w:autoSpaceDE w:val="0"/>
        <w:autoSpaceDN w:val="0"/>
        <w:adjustRightInd w:val="0"/>
        <w:spacing w:before="120"/>
        <w:ind w:left="1077" w:hanging="357"/>
        <w:rPr>
          <w:rFonts w:cs="Arial"/>
          <w:lang w:val="fr-CA"/>
        </w:rPr>
      </w:pPr>
      <w:r>
        <w:rPr>
          <w:rFonts w:cs="Arial"/>
          <w:lang w:val="fr-CA"/>
        </w:rPr>
        <w:t>Les</w:t>
      </w:r>
      <w:r w:rsidR="002A4D36">
        <w:rPr>
          <w:rFonts w:cs="Arial"/>
          <w:lang w:val="fr-CA"/>
        </w:rPr>
        <w:t xml:space="preserve"> </w:t>
      </w:r>
      <w:r w:rsidR="003C247C">
        <w:rPr>
          <w:rFonts w:cs="Arial"/>
          <w:lang w:val="fr-CA"/>
        </w:rPr>
        <w:t>indemnité</w:t>
      </w:r>
      <w:r w:rsidR="002A4D36">
        <w:rPr>
          <w:rFonts w:cs="Arial"/>
          <w:lang w:val="fr-CA"/>
        </w:rPr>
        <w:t>s</w:t>
      </w:r>
      <w:r w:rsidR="003C247C">
        <w:rPr>
          <w:rFonts w:cs="Arial"/>
          <w:lang w:val="fr-CA"/>
        </w:rPr>
        <w:t xml:space="preserve"> à </w:t>
      </w:r>
      <w:r w:rsidR="003F63CD" w:rsidRPr="003F1788">
        <w:rPr>
          <w:rFonts w:cs="Arial"/>
          <w:lang w:val="fr-CA"/>
        </w:rPr>
        <w:t xml:space="preserve">la cessation d’emploi </w:t>
      </w:r>
      <w:r w:rsidR="003C247C">
        <w:rPr>
          <w:rFonts w:cs="Arial"/>
          <w:lang w:val="fr-CA"/>
        </w:rPr>
        <w:t>ou de service;</w:t>
      </w:r>
    </w:p>
    <w:p w14:paraId="4F2D038E" w14:textId="77777777" w:rsidR="003C247C" w:rsidRDefault="003C247C" w:rsidP="003C247C">
      <w:pPr>
        <w:autoSpaceDE w:val="0"/>
        <w:autoSpaceDN w:val="0"/>
        <w:adjustRightInd w:val="0"/>
        <w:spacing w:before="120"/>
        <w:rPr>
          <w:rFonts w:cs="Arial"/>
          <w:lang w:val="fr-CA"/>
        </w:rPr>
      </w:pPr>
    </w:p>
    <w:p w14:paraId="0CEE2E2A" w14:textId="77777777" w:rsidR="003C247C" w:rsidRPr="003F1788" w:rsidRDefault="003C247C" w:rsidP="003C247C">
      <w:pPr>
        <w:autoSpaceDE w:val="0"/>
        <w:autoSpaceDN w:val="0"/>
        <w:adjustRightInd w:val="0"/>
        <w:spacing w:before="120"/>
        <w:rPr>
          <w:rFonts w:cs="Arial"/>
          <w:lang w:val="fr-CA"/>
        </w:rPr>
      </w:pPr>
      <w:r>
        <w:rPr>
          <w:rFonts w:cs="Arial"/>
          <w:lang w:val="fr-CA"/>
        </w:rPr>
        <w:t>Fond A140 :</w:t>
      </w:r>
    </w:p>
    <w:p w14:paraId="286DB0FD" w14:textId="7851F2BF" w:rsidR="003F63CD" w:rsidRPr="003F1788" w:rsidRDefault="00CD7BF8" w:rsidP="003F63CD">
      <w:pPr>
        <w:numPr>
          <w:ilvl w:val="0"/>
          <w:numId w:val="5"/>
        </w:numPr>
        <w:tabs>
          <w:tab w:val="clear" w:pos="720"/>
          <w:tab w:val="num" w:pos="1080"/>
        </w:tabs>
        <w:autoSpaceDE w:val="0"/>
        <w:autoSpaceDN w:val="0"/>
        <w:adjustRightInd w:val="0"/>
        <w:spacing w:before="120"/>
        <w:ind w:left="1077" w:hanging="357"/>
        <w:rPr>
          <w:rFonts w:cs="Arial"/>
          <w:lang w:val="fr-CA"/>
        </w:rPr>
      </w:pPr>
      <w:r w:rsidRPr="003F1788">
        <w:rPr>
          <w:rFonts w:cs="Arial"/>
          <w:lang w:val="fr-CA"/>
        </w:rPr>
        <w:t>Les</w:t>
      </w:r>
      <w:r w:rsidR="003F63CD" w:rsidRPr="003F1788">
        <w:rPr>
          <w:rFonts w:cs="Arial"/>
          <w:lang w:val="fr-CA"/>
        </w:rPr>
        <w:t xml:space="preserve"> paiements découlant du régime d’avantages sociaux des employés (RASE).</w:t>
      </w:r>
    </w:p>
    <w:p w14:paraId="132BA870" w14:textId="77777777" w:rsidR="003F63CD" w:rsidRPr="003F1788" w:rsidRDefault="003F63CD" w:rsidP="003F63CD">
      <w:pPr>
        <w:rPr>
          <w:bCs/>
          <w:lang w:val="fr-CA"/>
        </w:rPr>
      </w:pPr>
    </w:p>
    <w:p w14:paraId="0CE991F4" w14:textId="77777777" w:rsidR="003F63CD" w:rsidRDefault="003F63CD" w:rsidP="003F63CD">
      <w:pPr>
        <w:rPr>
          <w:bCs/>
          <w:lang w:val="fr-CA"/>
        </w:rPr>
      </w:pPr>
      <w:r>
        <w:rPr>
          <w:bCs/>
          <w:lang w:val="fr-CA"/>
        </w:rPr>
        <w:t>De plus,</w:t>
      </w:r>
      <w:r w:rsidRPr="003F1788">
        <w:rPr>
          <w:bCs/>
          <w:lang w:val="fr-CA"/>
        </w:rPr>
        <w:t xml:space="preserve"> tous les employés en détachement </w:t>
      </w:r>
      <w:r w:rsidR="00DE5D30">
        <w:rPr>
          <w:bCs/>
          <w:lang w:val="fr-CA"/>
        </w:rPr>
        <w:t xml:space="preserve">(en marquant leur salaire comme « recouvrable » dans l’OPS) ou transférés dans un autre ministère </w:t>
      </w:r>
      <w:r w:rsidRPr="003F1788">
        <w:rPr>
          <w:bCs/>
          <w:lang w:val="fr-CA"/>
        </w:rPr>
        <w:t>sont exclus des prévisions.</w:t>
      </w:r>
    </w:p>
    <w:p w14:paraId="7790F921" w14:textId="77777777" w:rsidR="004552F6" w:rsidRDefault="004552F6" w:rsidP="003F63CD">
      <w:pPr>
        <w:rPr>
          <w:bCs/>
          <w:lang w:val="fr-CA"/>
        </w:rPr>
      </w:pPr>
    </w:p>
    <w:p w14:paraId="0FB26FBC" w14:textId="2E341241" w:rsidR="004552F6" w:rsidRDefault="004552F6" w:rsidP="004552F6">
      <w:pPr>
        <w:rPr>
          <w:bCs/>
          <w:lang w:val="fr-CA"/>
        </w:rPr>
      </w:pPr>
      <w:r w:rsidRPr="004552F6">
        <w:rPr>
          <w:bCs/>
          <w:lang w:val="fr-CA"/>
        </w:rPr>
        <w:t>Les trop-payés liés aux Probl</w:t>
      </w:r>
      <w:r>
        <w:rPr>
          <w:bCs/>
          <w:lang w:val="fr-CA"/>
        </w:rPr>
        <w:t>èmes de paie ne devraient pas être inclu</w:t>
      </w:r>
      <w:r w:rsidR="00C559A6">
        <w:rPr>
          <w:bCs/>
          <w:lang w:val="fr-CA"/>
        </w:rPr>
        <w:t>s</w:t>
      </w:r>
      <w:r>
        <w:rPr>
          <w:bCs/>
          <w:lang w:val="fr-CA"/>
        </w:rPr>
        <w:t xml:space="preserve"> dans le</w:t>
      </w:r>
      <w:r w:rsidR="002A4D36">
        <w:rPr>
          <w:bCs/>
          <w:lang w:val="fr-CA"/>
        </w:rPr>
        <w:t>s</w:t>
      </w:r>
      <w:r>
        <w:rPr>
          <w:bCs/>
          <w:lang w:val="fr-CA"/>
        </w:rPr>
        <w:t xml:space="preserve"> prévisions salariales étant donné que le financement requis pour ces coûts sera </w:t>
      </w:r>
      <w:r w:rsidR="00C559A6">
        <w:rPr>
          <w:bCs/>
          <w:lang w:val="fr-CA"/>
        </w:rPr>
        <w:t xml:space="preserve">reçu </w:t>
      </w:r>
      <w:r>
        <w:rPr>
          <w:bCs/>
          <w:lang w:val="fr-CA"/>
        </w:rPr>
        <w:t xml:space="preserve">par le Secrétariat du Conseil du trésor (SCT) en fin d’exercice. </w:t>
      </w:r>
    </w:p>
    <w:p w14:paraId="4B7545CE" w14:textId="77777777" w:rsidR="004552F6" w:rsidRDefault="004552F6" w:rsidP="004552F6">
      <w:pPr>
        <w:rPr>
          <w:bCs/>
          <w:lang w:val="fr-CA"/>
        </w:rPr>
      </w:pPr>
    </w:p>
    <w:p w14:paraId="6D03C6C0" w14:textId="01A16D7D" w:rsidR="003F63CD" w:rsidRPr="003F1788" w:rsidRDefault="003F63CD" w:rsidP="00E8661F">
      <w:pPr>
        <w:pStyle w:val="Heading3"/>
        <w:numPr>
          <w:ilvl w:val="2"/>
          <w:numId w:val="2"/>
        </w:numPr>
        <w:rPr>
          <w:lang w:val="fr-CA"/>
        </w:rPr>
      </w:pPr>
      <w:bookmarkStart w:id="33" w:name="_Toc513716502"/>
      <w:bookmarkStart w:id="34" w:name="_Toc72402514"/>
      <w:r w:rsidRPr="003F1788">
        <w:rPr>
          <w:lang w:val="fr-CA"/>
        </w:rPr>
        <w:t>Augmentations liées aux conventions collectives</w:t>
      </w:r>
      <w:bookmarkEnd w:id="33"/>
      <w:bookmarkEnd w:id="34"/>
    </w:p>
    <w:p w14:paraId="44ECA890" w14:textId="77777777" w:rsidR="003F63CD" w:rsidRPr="003F1788" w:rsidRDefault="003F63CD" w:rsidP="003F63CD">
      <w:pPr>
        <w:rPr>
          <w:lang w:val="fr-CA"/>
        </w:rPr>
      </w:pPr>
    </w:p>
    <w:p w14:paraId="15D51CF8" w14:textId="1EAD2341" w:rsidR="00C559A6" w:rsidRDefault="003F63CD" w:rsidP="003F63CD">
      <w:pPr>
        <w:rPr>
          <w:lang w:val="fr-CA"/>
        </w:rPr>
      </w:pPr>
      <w:r>
        <w:rPr>
          <w:lang w:val="fr-CA"/>
        </w:rPr>
        <w:t>Les taux de rémunération sont mis à jour dans l’OPS une fois que</w:t>
      </w:r>
      <w:r w:rsidRPr="00151D6C">
        <w:rPr>
          <w:lang w:val="fr-CA"/>
        </w:rPr>
        <w:t xml:space="preserve"> les conventions collectives so</w:t>
      </w:r>
      <w:r>
        <w:rPr>
          <w:lang w:val="fr-CA"/>
        </w:rPr>
        <w:t>nt entérinées</w:t>
      </w:r>
      <w:r w:rsidR="00D4525A">
        <w:rPr>
          <w:lang w:val="fr-CA"/>
        </w:rPr>
        <w:t xml:space="preserve"> et </w:t>
      </w:r>
      <w:r w:rsidR="00C053E9">
        <w:rPr>
          <w:lang w:val="fr-CA"/>
        </w:rPr>
        <w:t>payées.</w:t>
      </w:r>
      <w:r>
        <w:rPr>
          <w:lang w:val="fr-CA"/>
        </w:rPr>
        <w:t xml:space="preserve"> Des informations spécifiques concernant</w:t>
      </w:r>
      <w:r w:rsidR="00C053E9">
        <w:rPr>
          <w:lang w:val="fr-CA"/>
        </w:rPr>
        <w:t xml:space="preserve"> les </w:t>
      </w:r>
      <w:r w:rsidR="00C053E9">
        <w:rPr>
          <w:lang w:val="fr-CA"/>
        </w:rPr>
        <w:lastRenderedPageBreak/>
        <w:t>budgets et prévisions liés aux conventions</w:t>
      </w:r>
      <w:r>
        <w:rPr>
          <w:lang w:val="fr-CA"/>
        </w:rPr>
        <w:t xml:space="preserve"> </w:t>
      </w:r>
      <w:r w:rsidR="00C053E9">
        <w:rPr>
          <w:lang w:val="fr-CA"/>
        </w:rPr>
        <w:t>collectives sont fournies séparément</w:t>
      </w:r>
      <w:r w:rsidR="006C1E9F">
        <w:rPr>
          <w:lang w:val="fr-CA"/>
        </w:rPr>
        <w:t xml:space="preserve"> si nécessaire. </w:t>
      </w:r>
    </w:p>
    <w:p w14:paraId="04A95045" w14:textId="77777777" w:rsidR="00EF5AB4" w:rsidRDefault="00EF5AB4" w:rsidP="003F63CD">
      <w:pPr>
        <w:rPr>
          <w:lang w:val="fr-CA"/>
        </w:rPr>
      </w:pPr>
    </w:p>
    <w:p w14:paraId="6E790C87" w14:textId="348607B2" w:rsidR="003F63CD" w:rsidRPr="003F1788" w:rsidRDefault="003F63CD" w:rsidP="00E8661F">
      <w:pPr>
        <w:pStyle w:val="Heading3"/>
        <w:numPr>
          <w:ilvl w:val="2"/>
          <w:numId w:val="2"/>
        </w:numPr>
        <w:rPr>
          <w:lang w:val="fr-CA"/>
        </w:rPr>
      </w:pPr>
      <w:bookmarkStart w:id="35" w:name="_Toc513716503"/>
      <w:bookmarkStart w:id="36" w:name="_Toc72402515"/>
      <w:r w:rsidRPr="00151D6C">
        <w:rPr>
          <w:lang w:val="fr-CA"/>
        </w:rPr>
        <w:t>Prévisions par poste (dotation prévue</w:t>
      </w:r>
      <w:r w:rsidRPr="003F1788">
        <w:rPr>
          <w:lang w:val="fr-CA"/>
        </w:rPr>
        <w:t>)</w:t>
      </w:r>
      <w:bookmarkEnd w:id="35"/>
      <w:bookmarkEnd w:id="36"/>
    </w:p>
    <w:p w14:paraId="34E2905A" w14:textId="77777777" w:rsidR="003F63CD" w:rsidRPr="003F1788" w:rsidRDefault="003F63CD" w:rsidP="003F63CD">
      <w:pPr>
        <w:rPr>
          <w:lang w:val="fr-CA"/>
        </w:rPr>
      </w:pPr>
    </w:p>
    <w:p w14:paraId="72C8A987" w14:textId="77777777" w:rsidR="003F63CD" w:rsidRPr="003F1788" w:rsidRDefault="003F63CD" w:rsidP="003F63CD">
      <w:pPr>
        <w:rPr>
          <w:lang w:val="fr-CA"/>
        </w:rPr>
      </w:pPr>
      <w:r w:rsidRPr="003F1788">
        <w:rPr>
          <w:lang w:val="fr-CA"/>
        </w:rPr>
        <w:t>Une prévision concernant la dotation prévue devrait être créée lorsqu’il est nécessaire de faire une prévision pour:</w:t>
      </w:r>
    </w:p>
    <w:p w14:paraId="171CA245" w14:textId="77777777" w:rsidR="003F63CD" w:rsidRPr="003F1788" w:rsidRDefault="003F63CD" w:rsidP="003F63CD">
      <w:pPr>
        <w:spacing w:before="60"/>
        <w:ind w:left="760" w:hanging="357"/>
        <w:rPr>
          <w:rFonts w:eastAsia="Arial Unicode MS" w:cs="Arial"/>
          <w:lang w:val="fr-CA" w:eastAsia="en-US"/>
        </w:rPr>
      </w:pPr>
      <w:r w:rsidRPr="003F1788">
        <w:rPr>
          <w:lang w:val="fr-CA"/>
        </w:rPr>
        <w:t>1</w:t>
      </w:r>
      <w:r w:rsidRPr="003F1788">
        <w:rPr>
          <w:rFonts w:eastAsia="Arial Unicode MS" w:cs="Arial"/>
          <w:lang w:val="fr-CA" w:eastAsia="en-US"/>
        </w:rPr>
        <w:t>.</w:t>
      </w:r>
      <w:r w:rsidRPr="003F1788">
        <w:rPr>
          <w:rFonts w:eastAsia="Arial Unicode MS" w:cs="Arial"/>
          <w:lang w:val="fr-CA" w:eastAsia="en-US"/>
        </w:rPr>
        <w:tab/>
        <w:t>Des postes vacants existants;</w:t>
      </w:r>
    </w:p>
    <w:p w14:paraId="4089FF38" w14:textId="77777777" w:rsidR="003F63CD" w:rsidRPr="003F1788" w:rsidRDefault="003F63CD" w:rsidP="003F63CD">
      <w:pPr>
        <w:spacing w:before="60"/>
        <w:ind w:left="760" w:hanging="357"/>
        <w:rPr>
          <w:rFonts w:eastAsia="Arial Unicode MS" w:cs="Arial"/>
          <w:lang w:val="fr-CA" w:eastAsia="en-US"/>
        </w:rPr>
      </w:pPr>
      <w:r w:rsidRPr="003F1788">
        <w:rPr>
          <w:rFonts w:eastAsia="Arial Unicode MS" w:cs="Arial"/>
          <w:lang w:val="fr-CA" w:eastAsia="en-US"/>
        </w:rPr>
        <w:t>2.</w:t>
      </w:r>
      <w:r w:rsidRPr="003F1788">
        <w:rPr>
          <w:rFonts w:eastAsia="Arial Unicode MS" w:cs="Arial"/>
          <w:lang w:val="fr-CA" w:eastAsia="en-US"/>
        </w:rPr>
        <w:tab/>
        <w:t>Une position qui deviendra vacante dans le futur;</w:t>
      </w:r>
    </w:p>
    <w:p w14:paraId="0910CC22" w14:textId="77777777" w:rsidR="003F63CD" w:rsidRPr="003F1788" w:rsidRDefault="003F63CD" w:rsidP="003F63CD">
      <w:pPr>
        <w:spacing w:before="60"/>
        <w:ind w:left="760" w:hanging="357"/>
        <w:rPr>
          <w:rFonts w:eastAsia="Arial Unicode MS" w:cs="Arial"/>
          <w:lang w:val="fr-CA" w:eastAsia="en-US"/>
        </w:rPr>
      </w:pPr>
      <w:r w:rsidRPr="003F1788">
        <w:rPr>
          <w:rFonts w:eastAsia="Arial Unicode MS" w:cs="Arial"/>
          <w:lang w:val="fr-CA" w:eastAsia="en-US"/>
        </w:rPr>
        <w:t>3.</w:t>
      </w:r>
      <w:r w:rsidRPr="003F1788">
        <w:rPr>
          <w:rFonts w:eastAsia="Arial Unicode MS" w:cs="Arial"/>
          <w:lang w:val="fr-CA" w:eastAsia="en-US"/>
        </w:rPr>
        <w:tab/>
        <w:t>Des positions nouvellement créées;</w:t>
      </w:r>
    </w:p>
    <w:p w14:paraId="6473DE16" w14:textId="77777777" w:rsidR="003F63CD" w:rsidRPr="00486FAA" w:rsidRDefault="003F63CD" w:rsidP="003F63CD">
      <w:pPr>
        <w:spacing w:before="60"/>
        <w:ind w:left="760" w:hanging="357"/>
        <w:rPr>
          <w:rFonts w:eastAsia="Arial Unicode MS" w:cs="Arial"/>
          <w:u w:val="single"/>
          <w:lang w:val="fr-CA" w:eastAsia="en-US"/>
        </w:rPr>
      </w:pPr>
      <w:r w:rsidRPr="003F1788">
        <w:rPr>
          <w:rFonts w:eastAsia="Arial Unicode MS" w:cs="Arial"/>
          <w:lang w:val="fr-CA" w:eastAsia="en-US"/>
        </w:rPr>
        <w:t>4.</w:t>
      </w:r>
      <w:r w:rsidRPr="003F1788">
        <w:rPr>
          <w:rFonts w:eastAsia="Arial Unicode MS" w:cs="Arial"/>
          <w:lang w:val="fr-CA" w:eastAsia="en-US"/>
        </w:rPr>
        <w:tab/>
        <w:t xml:space="preserve">Un employé pour lequel le CIDP n’est pas encore disponible dans l’OPS </w:t>
      </w:r>
      <w:r w:rsidRPr="00486FAA">
        <w:rPr>
          <w:rFonts w:eastAsia="Arial Unicode MS" w:cs="Arial"/>
          <w:b/>
          <w:u w:val="single"/>
          <w:lang w:val="fr-CA" w:eastAsia="en-US"/>
        </w:rPr>
        <w:t>(Notez que dès que le CIDP est disponible dans l’OPS, la dotation prévue doit être supprimée afin d’éviter une prévision en double pour le même employé).</w:t>
      </w:r>
    </w:p>
    <w:p w14:paraId="4C1BD280" w14:textId="77777777" w:rsidR="003F63CD" w:rsidRPr="003F1788" w:rsidRDefault="003F63CD" w:rsidP="003F63CD">
      <w:pPr>
        <w:rPr>
          <w:lang w:val="fr-CA"/>
        </w:rPr>
      </w:pPr>
    </w:p>
    <w:p w14:paraId="6267508A" w14:textId="732E2DB5" w:rsidR="003F63CD" w:rsidRPr="003F1788" w:rsidRDefault="003F63CD" w:rsidP="003F63CD">
      <w:pPr>
        <w:rPr>
          <w:lang w:val="fr-CA"/>
        </w:rPr>
      </w:pPr>
      <w:r w:rsidRPr="003F1788">
        <w:rPr>
          <w:lang w:val="fr-CA"/>
        </w:rPr>
        <w:t xml:space="preserve">En règle générale, pour les trois premiers cas énumérés ci-dessus, une prévision de dotation prévue devrait uniquement être créée lorsque l'employé qui occupera le poste </w:t>
      </w:r>
      <w:r>
        <w:rPr>
          <w:lang w:val="fr-CA"/>
        </w:rPr>
        <w:t>est</w:t>
      </w:r>
      <w:r w:rsidRPr="003F1788">
        <w:rPr>
          <w:lang w:val="fr-CA"/>
        </w:rPr>
        <w:t xml:space="preserve"> inconnu. Si l'employé qui comblera le poste</w:t>
      </w:r>
      <w:r>
        <w:rPr>
          <w:lang w:val="fr-CA"/>
        </w:rPr>
        <w:t xml:space="preserve"> est au ministère</w:t>
      </w:r>
      <w:r w:rsidRPr="003F1788">
        <w:rPr>
          <w:lang w:val="fr-CA"/>
        </w:rPr>
        <w:t xml:space="preserve"> </w:t>
      </w:r>
      <w:r w:rsidR="002E1B44">
        <w:rPr>
          <w:lang w:val="fr-CA"/>
        </w:rPr>
        <w:t xml:space="preserve">et </w:t>
      </w:r>
      <w:r w:rsidRPr="003F1788">
        <w:rPr>
          <w:lang w:val="fr-CA"/>
        </w:rPr>
        <w:t>existe dans l’OPS, la prévision devrait être entrée directement dans la prévision de l’employé en créant un événement.</w:t>
      </w:r>
    </w:p>
    <w:p w14:paraId="3089A862" w14:textId="77777777" w:rsidR="003F63CD" w:rsidRPr="003F1788" w:rsidRDefault="003F63CD" w:rsidP="003F63CD">
      <w:pPr>
        <w:rPr>
          <w:lang w:val="fr-CA"/>
        </w:rPr>
      </w:pPr>
    </w:p>
    <w:p w14:paraId="2C0D80CF" w14:textId="77777777" w:rsidR="003F63CD" w:rsidRPr="003F1788" w:rsidRDefault="003F63CD" w:rsidP="003F63CD">
      <w:pPr>
        <w:rPr>
          <w:lang w:val="fr-CA"/>
        </w:rPr>
      </w:pPr>
      <w:r w:rsidRPr="003F1788">
        <w:rPr>
          <w:lang w:val="fr-CA"/>
        </w:rPr>
        <w:t xml:space="preserve">Tel que mentionné précédemment, </w:t>
      </w:r>
      <w:r w:rsidRPr="00486FAA">
        <w:rPr>
          <w:b/>
          <w:u w:val="single"/>
          <w:lang w:val="fr-CA"/>
        </w:rPr>
        <w:t>il est essentiel de mettre à jour l’OPS dès qu’une mesure de dotation est connue et que les dates de début soient revues de façon régulière afin d’avoir des prévisions plus réalistes.</w:t>
      </w:r>
      <w:r w:rsidRPr="003F1788">
        <w:rPr>
          <w:lang w:val="fr-CA"/>
        </w:rPr>
        <w:t xml:space="preserve"> </w:t>
      </w:r>
      <w:r>
        <w:rPr>
          <w:lang w:val="fr-CA"/>
        </w:rPr>
        <w:t>Ces mises à jour devraient être faites de façon continue et non uniquement aux périodes de prévisions</w:t>
      </w:r>
      <w:r w:rsidRPr="003F1788">
        <w:rPr>
          <w:lang w:val="fr-CA"/>
        </w:rPr>
        <w:t>. Ceci permettra d’éviter les doublons dans l’OPS (c.-à-d. une prévision par employé et une prévision par poste pour la même personne).</w:t>
      </w:r>
    </w:p>
    <w:p w14:paraId="1D134A6F" w14:textId="77777777" w:rsidR="003F63CD" w:rsidRPr="003F1788" w:rsidRDefault="003F63CD" w:rsidP="003F63CD">
      <w:pPr>
        <w:rPr>
          <w:lang w:val="fr-CA"/>
        </w:rPr>
      </w:pPr>
    </w:p>
    <w:p w14:paraId="081B57DF" w14:textId="77777777" w:rsidR="003F63CD" w:rsidRPr="003F1788" w:rsidRDefault="003F63CD" w:rsidP="003F63CD">
      <w:pPr>
        <w:rPr>
          <w:lang w:val="fr-CA"/>
        </w:rPr>
      </w:pPr>
      <w:r w:rsidRPr="003F1788">
        <w:rPr>
          <w:lang w:val="fr-CA"/>
        </w:rPr>
        <w:t>Les prévisions par poste sont amorties sur une base mensuelle, c. à d. que les prévisions diminueront au prorata au fil de l’année si les mesures planifiées ne se réalisent pas.</w:t>
      </w:r>
    </w:p>
    <w:p w14:paraId="1C06CDCC" w14:textId="77777777" w:rsidR="003F63CD" w:rsidRPr="003F1788" w:rsidRDefault="003F63CD" w:rsidP="003F63CD">
      <w:pPr>
        <w:rPr>
          <w:lang w:val="fr-CA"/>
        </w:rPr>
      </w:pPr>
    </w:p>
    <w:p w14:paraId="4C11BF09" w14:textId="4D9C6254" w:rsidR="003F63CD" w:rsidRDefault="003F63CD" w:rsidP="003F63CD">
      <w:pPr>
        <w:rPr>
          <w:lang w:val="fr-CA"/>
        </w:rPr>
      </w:pPr>
      <w:r w:rsidRPr="003F1788">
        <w:rPr>
          <w:lang w:val="fr-CA"/>
        </w:rPr>
        <w:t xml:space="preserve">Les postes prévus (non classifiés) sont créés lorsque le gestionnaire du centre financier détermine que des postes additionnels, qui n’ont pas encore été créés, sont nécessaires au sein de son organisme. Les postes classifiés doivent être traités selon le processus des ressources humaines, </w:t>
      </w:r>
      <w:r>
        <w:rPr>
          <w:lang w:val="fr-CA"/>
        </w:rPr>
        <w:t xml:space="preserve">indépendamment </w:t>
      </w:r>
      <w:r w:rsidRPr="003F1788">
        <w:rPr>
          <w:lang w:val="fr-CA"/>
        </w:rPr>
        <w:t xml:space="preserve">de l’OPS. Le gestionnaire du centre financier devra compléter </w:t>
      </w:r>
      <w:r w:rsidR="002E1B44">
        <w:rPr>
          <w:lang w:val="fr-CA"/>
        </w:rPr>
        <w:t>également la documentation des RH requise pour supporter l’action de dotation</w:t>
      </w:r>
      <w:r w:rsidRPr="003F1788">
        <w:rPr>
          <w:lang w:val="fr-CA"/>
        </w:rPr>
        <w:t xml:space="preserve"> (c.-à-d. formulaires, justifications, etc.).</w:t>
      </w:r>
    </w:p>
    <w:p w14:paraId="5FDA9163" w14:textId="77777777" w:rsidR="006B28F5" w:rsidRPr="003F1788" w:rsidRDefault="006B28F5" w:rsidP="003F63CD">
      <w:pPr>
        <w:rPr>
          <w:lang w:val="fr-CA"/>
        </w:rPr>
      </w:pPr>
    </w:p>
    <w:p w14:paraId="5F0869FD" w14:textId="77777777" w:rsidR="003F63CD" w:rsidRPr="003F1788" w:rsidRDefault="003F63CD" w:rsidP="003F63CD">
      <w:pPr>
        <w:rPr>
          <w:lang w:val="fr-CA"/>
        </w:rPr>
      </w:pPr>
      <w:r w:rsidRPr="003F1788">
        <w:rPr>
          <w:lang w:val="fr-CA"/>
        </w:rPr>
        <w:t>Une prévision de dotation prévue devrait être créée uniquement pour les mesures de dotation suivantes:</w:t>
      </w:r>
    </w:p>
    <w:p w14:paraId="60D705BF" w14:textId="77777777" w:rsidR="003F63CD" w:rsidRPr="001A3945" w:rsidRDefault="003F63CD" w:rsidP="003F63CD">
      <w:pPr>
        <w:pStyle w:val="ListParagraph"/>
        <w:numPr>
          <w:ilvl w:val="0"/>
          <w:numId w:val="16"/>
        </w:numPr>
        <w:spacing w:before="120"/>
        <w:ind w:left="709" w:hanging="352"/>
        <w:rPr>
          <w:rFonts w:asciiTheme="majorHAnsi" w:hAnsiTheme="majorHAnsi" w:cstheme="majorHAnsi"/>
          <w:lang w:val="fr-CA"/>
        </w:rPr>
      </w:pPr>
      <w:r w:rsidRPr="001A3945">
        <w:rPr>
          <w:rFonts w:asciiTheme="majorHAnsi" w:hAnsiTheme="majorHAnsi" w:cstheme="majorHAnsi"/>
          <w:lang w:val="fr-CA"/>
        </w:rPr>
        <w:t>Intérimaire de plus de quatre mois (si la personne est inconnue);</w:t>
      </w:r>
    </w:p>
    <w:p w14:paraId="34044D60" w14:textId="77777777" w:rsidR="003F63CD" w:rsidRPr="001A3945" w:rsidRDefault="003F63CD" w:rsidP="003F63CD">
      <w:pPr>
        <w:pStyle w:val="ListParagraph"/>
        <w:numPr>
          <w:ilvl w:val="0"/>
          <w:numId w:val="16"/>
        </w:numPr>
        <w:spacing w:before="60"/>
        <w:ind w:left="709" w:hanging="352"/>
        <w:rPr>
          <w:rFonts w:asciiTheme="majorHAnsi" w:hAnsiTheme="majorHAnsi" w:cstheme="majorHAnsi"/>
          <w:lang w:val="fr-CA"/>
        </w:rPr>
      </w:pPr>
      <w:r w:rsidRPr="001A3945">
        <w:rPr>
          <w:rFonts w:asciiTheme="majorHAnsi" w:hAnsiTheme="majorHAnsi" w:cstheme="majorHAnsi"/>
          <w:lang w:val="fr-CA"/>
        </w:rPr>
        <w:lastRenderedPageBreak/>
        <w:t>Nomination (indéterminée et terme);</w:t>
      </w:r>
    </w:p>
    <w:p w14:paraId="24191F50" w14:textId="77777777" w:rsidR="003F63CD" w:rsidRPr="001A3945" w:rsidRDefault="003F63CD" w:rsidP="003F63CD">
      <w:pPr>
        <w:pStyle w:val="ListParagraph"/>
        <w:numPr>
          <w:ilvl w:val="0"/>
          <w:numId w:val="16"/>
        </w:numPr>
        <w:spacing w:before="60"/>
        <w:ind w:left="709" w:hanging="352"/>
        <w:rPr>
          <w:rFonts w:asciiTheme="majorHAnsi" w:hAnsiTheme="majorHAnsi" w:cstheme="majorHAnsi"/>
          <w:lang w:val="fr-CA"/>
        </w:rPr>
      </w:pPr>
      <w:r w:rsidRPr="001A3945">
        <w:rPr>
          <w:rFonts w:asciiTheme="majorHAnsi" w:hAnsiTheme="majorHAnsi" w:cstheme="majorHAnsi"/>
          <w:lang w:val="fr-CA"/>
        </w:rPr>
        <w:t>Mutation;</w:t>
      </w:r>
    </w:p>
    <w:p w14:paraId="72D305D1" w14:textId="77777777" w:rsidR="003F63CD" w:rsidRPr="001A3945" w:rsidRDefault="003F63CD" w:rsidP="003F63CD">
      <w:pPr>
        <w:pStyle w:val="ListParagraph"/>
        <w:numPr>
          <w:ilvl w:val="0"/>
          <w:numId w:val="16"/>
        </w:numPr>
        <w:spacing w:before="60"/>
        <w:ind w:left="709" w:hanging="352"/>
        <w:rPr>
          <w:rFonts w:asciiTheme="majorHAnsi" w:hAnsiTheme="majorHAnsi" w:cstheme="majorHAnsi"/>
          <w:lang w:val="fr-CA"/>
        </w:rPr>
      </w:pPr>
      <w:r w:rsidRPr="001A3945">
        <w:rPr>
          <w:rFonts w:asciiTheme="majorHAnsi" w:hAnsiTheme="majorHAnsi" w:cstheme="majorHAnsi"/>
          <w:lang w:val="fr-CA"/>
        </w:rPr>
        <w:t xml:space="preserve">Détachement (provenant d’un autre ministère); </w:t>
      </w:r>
    </w:p>
    <w:p w14:paraId="24932740" w14:textId="77777777" w:rsidR="003F63CD" w:rsidRPr="001A3945" w:rsidRDefault="003F63CD" w:rsidP="003F63CD">
      <w:pPr>
        <w:pStyle w:val="ListParagraph"/>
        <w:numPr>
          <w:ilvl w:val="0"/>
          <w:numId w:val="16"/>
        </w:numPr>
        <w:spacing w:before="60"/>
        <w:ind w:left="709" w:hanging="352"/>
        <w:rPr>
          <w:rFonts w:asciiTheme="majorHAnsi" w:hAnsiTheme="majorHAnsi" w:cstheme="majorHAnsi"/>
          <w:lang w:val="fr-CA"/>
        </w:rPr>
      </w:pPr>
      <w:r w:rsidRPr="001A3945">
        <w:rPr>
          <w:rFonts w:asciiTheme="majorHAnsi" w:hAnsiTheme="majorHAnsi" w:cstheme="majorHAnsi"/>
          <w:lang w:val="fr-CA"/>
        </w:rPr>
        <w:t>Emploi occasionnel;</w:t>
      </w:r>
    </w:p>
    <w:p w14:paraId="3C5593B3" w14:textId="77777777" w:rsidR="003F63CD" w:rsidRPr="001A3945" w:rsidRDefault="003F63CD" w:rsidP="003F63CD">
      <w:pPr>
        <w:pStyle w:val="ListParagraph"/>
        <w:numPr>
          <w:ilvl w:val="0"/>
          <w:numId w:val="16"/>
        </w:numPr>
        <w:spacing w:before="60"/>
        <w:ind w:left="709" w:hanging="352"/>
        <w:rPr>
          <w:rFonts w:asciiTheme="majorHAnsi" w:hAnsiTheme="majorHAnsi" w:cstheme="majorHAnsi"/>
          <w:lang w:val="fr-CA"/>
        </w:rPr>
      </w:pPr>
      <w:r w:rsidRPr="001A3945">
        <w:rPr>
          <w:rFonts w:asciiTheme="majorHAnsi" w:hAnsiTheme="majorHAnsi" w:cstheme="majorHAnsi"/>
          <w:lang w:val="fr-CA"/>
        </w:rPr>
        <w:t>Emploi étudiant;</w:t>
      </w:r>
    </w:p>
    <w:p w14:paraId="3A0FFE83" w14:textId="77777777" w:rsidR="003F63CD" w:rsidRPr="001A3945" w:rsidRDefault="003F63CD" w:rsidP="003F63CD">
      <w:pPr>
        <w:pStyle w:val="ListParagraph"/>
        <w:numPr>
          <w:ilvl w:val="0"/>
          <w:numId w:val="16"/>
        </w:numPr>
        <w:spacing w:before="60"/>
        <w:ind w:left="709" w:hanging="352"/>
        <w:rPr>
          <w:rFonts w:asciiTheme="majorHAnsi" w:hAnsiTheme="majorHAnsi" w:cstheme="majorHAnsi"/>
          <w:lang w:val="fr-CA"/>
        </w:rPr>
      </w:pPr>
      <w:r w:rsidRPr="001A3945">
        <w:rPr>
          <w:rFonts w:asciiTheme="majorHAnsi" w:hAnsiTheme="majorHAnsi" w:cstheme="majorHAnsi"/>
          <w:lang w:val="fr-CA"/>
        </w:rPr>
        <w:t>Travailleurs à temps partiel.</w:t>
      </w:r>
    </w:p>
    <w:p w14:paraId="12A3C22E" w14:textId="77777777" w:rsidR="003F63CD" w:rsidRPr="007679DC" w:rsidRDefault="003F63CD" w:rsidP="003F63CD">
      <w:pPr>
        <w:spacing w:before="60"/>
        <w:rPr>
          <w:lang w:val="fr-CA"/>
        </w:rPr>
      </w:pPr>
    </w:p>
    <w:p w14:paraId="2F5D2957" w14:textId="50E9CD0A" w:rsidR="003F63CD" w:rsidRPr="00A622CC" w:rsidRDefault="003F63CD" w:rsidP="003F63CD">
      <w:pPr>
        <w:rPr>
          <w:rFonts w:eastAsia="Arial Unicode MS" w:cs="Arial"/>
          <w:lang w:val="fr-CA" w:eastAsia="en-US"/>
        </w:rPr>
      </w:pPr>
      <w:r>
        <w:rPr>
          <w:rFonts w:eastAsia="Arial Unicode MS" w:cs="Arial"/>
          <w:lang w:val="fr-CA" w:eastAsia="en-US"/>
        </w:rPr>
        <w:t>Il est</w:t>
      </w:r>
      <w:r w:rsidRPr="00151D6C">
        <w:rPr>
          <w:rFonts w:eastAsia="Arial Unicode MS" w:cs="Arial"/>
          <w:lang w:val="fr-CA" w:eastAsia="en-US"/>
        </w:rPr>
        <w:t xml:space="preserve"> </w:t>
      </w:r>
      <w:r w:rsidR="002E1B44">
        <w:rPr>
          <w:rFonts w:eastAsia="Arial Unicode MS" w:cs="Arial"/>
          <w:lang w:val="fr-CA" w:eastAsia="en-US"/>
        </w:rPr>
        <w:t>impératif</w:t>
      </w:r>
      <w:r w:rsidR="002E1B44" w:rsidRPr="00151D6C">
        <w:rPr>
          <w:rFonts w:eastAsia="Arial Unicode MS" w:cs="Arial"/>
          <w:lang w:val="fr-CA" w:eastAsia="en-US"/>
        </w:rPr>
        <w:t xml:space="preserve"> </w:t>
      </w:r>
      <w:r w:rsidRPr="00151D6C">
        <w:rPr>
          <w:rFonts w:eastAsia="Arial Unicode MS" w:cs="Arial"/>
          <w:lang w:val="fr-CA" w:eastAsia="en-US"/>
        </w:rPr>
        <w:t>d'indiquer pour chaque dotation prévue le Type de dotation prévu</w:t>
      </w:r>
      <w:r w:rsidR="001A3945">
        <w:rPr>
          <w:rFonts w:eastAsia="Arial Unicode MS" w:cs="Arial"/>
          <w:lang w:val="fr-CA" w:eastAsia="en-US"/>
        </w:rPr>
        <w:t xml:space="preserve"> (voir Annexe B)</w:t>
      </w:r>
      <w:r w:rsidRPr="00151D6C">
        <w:rPr>
          <w:rFonts w:eastAsia="Arial Unicode MS" w:cs="Arial"/>
          <w:lang w:val="fr-CA" w:eastAsia="en-US"/>
        </w:rPr>
        <w:t xml:space="preserve">, qui </w:t>
      </w:r>
      <w:r w:rsidR="002E1B44">
        <w:rPr>
          <w:rFonts w:eastAsia="Arial Unicode MS" w:cs="Arial"/>
          <w:lang w:val="fr-CA" w:eastAsia="en-US"/>
        </w:rPr>
        <w:t>détermine</w:t>
      </w:r>
      <w:r w:rsidR="002E1B44" w:rsidRPr="00151D6C">
        <w:rPr>
          <w:rFonts w:eastAsia="Arial Unicode MS" w:cs="Arial"/>
          <w:lang w:val="fr-CA" w:eastAsia="en-US"/>
        </w:rPr>
        <w:t xml:space="preserve"> </w:t>
      </w:r>
      <w:r w:rsidRPr="00151D6C">
        <w:rPr>
          <w:rFonts w:eastAsia="Arial Unicode MS" w:cs="Arial"/>
          <w:lang w:val="fr-CA" w:eastAsia="en-US"/>
        </w:rPr>
        <w:t>si la dotation prévue est interne ou externe; et l’Action de dotation prévue au meilleur de la connaissance du gestionnaire au moment de la création de la dotation prévue.</w:t>
      </w:r>
      <w:r w:rsidRPr="00151D6C">
        <w:rPr>
          <w:rFonts w:cs="Arial"/>
          <w:lang w:val="fr-CA"/>
        </w:rPr>
        <w:t xml:space="preserve"> </w:t>
      </w:r>
      <w:r w:rsidRPr="001A3945">
        <w:rPr>
          <w:b/>
          <w:u w:val="single"/>
          <w:lang w:val="fr-CA"/>
        </w:rPr>
        <w:t>Puisque la prévision de dotation prévue identifié</w:t>
      </w:r>
      <w:r w:rsidR="002E1B44">
        <w:rPr>
          <w:b/>
          <w:u w:val="single"/>
          <w:lang w:val="fr-CA"/>
        </w:rPr>
        <w:t>e</w:t>
      </w:r>
      <w:r w:rsidRPr="001A3945">
        <w:rPr>
          <w:b/>
          <w:u w:val="single"/>
          <w:lang w:val="fr-CA"/>
        </w:rPr>
        <w:t xml:space="preserve"> comme “Interne à la direction générale/région” n’est pas automatiquement exclue des prévisions, un ajustement dans FMBB sera nécessaire (en utilisant le type de budget (FAPS))</w:t>
      </w:r>
      <w:r w:rsidR="002E1B44">
        <w:rPr>
          <w:b/>
          <w:u w:val="single"/>
          <w:lang w:val="fr-CA"/>
        </w:rPr>
        <w:t xml:space="preserve"> </w:t>
      </w:r>
      <w:r w:rsidR="002E1B44" w:rsidRPr="001A3945">
        <w:rPr>
          <w:b/>
          <w:u w:val="single"/>
          <w:lang w:val="fr-CA"/>
        </w:rPr>
        <w:t>lors de la consolidation des prévisions au niveau de la direction générale</w:t>
      </w:r>
      <w:r w:rsidR="002E1B44">
        <w:rPr>
          <w:b/>
          <w:u w:val="single"/>
          <w:lang w:val="fr-CA"/>
        </w:rPr>
        <w:t xml:space="preserve"> et ce,</w:t>
      </w:r>
      <w:r w:rsidRPr="001A3945">
        <w:rPr>
          <w:b/>
          <w:u w:val="single"/>
          <w:lang w:val="fr-CA"/>
        </w:rPr>
        <w:t xml:space="preserve"> afin de réduire la prévision totale et de s’assurer que </w:t>
      </w:r>
      <w:r w:rsidRPr="001A3945">
        <w:rPr>
          <w:rFonts w:cs="Arial"/>
          <w:b/>
          <w:u w:val="single"/>
          <w:lang w:val="fr-CA"/>
        </w:rPr>
        <w:t>l’effet sur la prévision de dotation prévue est nulle.</w:t>
      </w:r>
      <w:r w:rsidRPr="00151D6C">
        <w:rPr>
          <w:rFonts w:cs="Arial"/>
          <w:lang w:val="fr-CA"/>
        </w:rPr>
        <w:t xml:space="preserve"> </w:t>
      </w:r>
      <w:r w:rsidRPr="00151D6C">
        <w:rPr>
          <w:rFonts w:eastAsia="Arial Unicode MS" w:cs="Arial"/>
          <w:lang w:val="fr-CA" w:eastAsia="en-US"/>
        </w:rPr>
        <w:t>Notez que les ajustements dans FMBB doivent être adéquatement identifiés en utilisant le code de type de dotation prévu approprié (i.e. I</w:t>
      </w:r>
      <w:r>
        <w:rPr>
          <w:rFonts w:eastAsia="Arial Unicode MS" w:cs="Arial"/>
          <w:lang w:val="fr-CA" w:eastAsia="en-US"/>
        </w:rPr>
        <w:t>NT BR/DG; INT DEP/MIN; INT PS/FP</w:t>
      </w:r>
      <w:r w:rsidRPr="00151D6C">
        <w:rPr>
          <w:rFonts w:eastAsia="Arial Unicode MS" w:cs="Arial"/>
          <w:lang w:val="fr-CA" w:eastAsia="en-US"/>
        </w:rPr>
        <w:t>; EXT PS/FP; PRI/CIDP).</w:t>
      </w:r>
      <w:r w:rsidRPr="00A622CC">
        <w:rPr>
          <w:rFonts w:eastAsia="Arial Unicode MS" w:cs="Arial"/>
          <w:lang w:val="fr-CA" w:eastAsia="en-US"/>
        </w:rPr>
        <w:t xml:space="preserve">  </w:t>
      </w:r>
    </w:p>
    <w:p w14:paraId="2407C526" w14:textId="77777777" w:rsidR="003F63CD" w:rsidRPr="00A622CC" w:rsidRDefault="003F63CD" w:rsidP="003F63CD">
      <w:pPr>
        <w:rPr>
          <w:rFonts w:cs="Arial"/>
          <w:lang w:val="fr-CA"/>
        </w:rPr>
      </w:pPr>
    </w:p>
    <w:p w14:paraId="592314C6" w14:textId="0DC3B89C" w:rsidR="003F63CD" w:rsidRPr="003F63CD" w:rsidRDefault="003F63CD" w:rsidP="003F63CD">
      <w:pPr>
        <w:rPr>
          <w:rFonts w:asciiTheme="minorHAnsi" w:hAnsiTheme="minorHAnsi" w:cstheme="minorHAnsi"/>
          <w:lang w:val="fr-CA"/>
        </w:rPr>
      </w:pPr>
      <w:r w:rsidRPr="002C3E35">
        <w:rPr>
          <w:lang w:val="fr-CA"/>
        </w:rPr>
        <w:t>Les liens ci</w:t>
      </w:r>
      <w:r w:rsidRPr="002C3E35">
        <w:rPr>
          <w:lang w:val="fr-CA"/>
        </w:rPr>
        <w:noBreakHyphen/>
        <w:t xml:space="preserve">dessous mènent à des </w:t>
      </w:r>
      <w:r w:rsidRPr="00534A17">
        <w:rPr>
          <w:lang w:val="fr-CA"/>
        </w:rPr>
        <w:t>procédures détaillées</w:t>
      </w:r>
      <w:r w:rsidRPr="003F63CD">
        <w:rPr>
          <w:rFonts w:asciiTheme="minorHAnsi" w:hAnsiTheme="minorHAnsi" w:cstheme="minorHAnsi"/>
          <w:lang w:val="fr-CA"/>
        </w:rPr>
        <w:t xml:space="preserve"> </w:t>
      </w:r>
      <w:r w:rsidR="002E1B44">
        <w:rPr>
          <w:rFonts w:asciiTheme="minorHAnsi" w:hAnsiTheme="minorHAnsi" w:cstheme="minorHAnsi"/>
          <w:lang w:val="fr-CA"/>
        </w:rPr>
        <w:t xml:space="preserve">de maSGE (SAP) </w:t>
      </w:r>
      <w:r w:rsidRPr="003F63CD">
        <w:rPr>
          <w:rFonts w:asciiTheme="minorHAnsi" w:hAnsiTheme="minorHAnsi" w:cstheme="minorHAnsi"/>
          <w:lang w:val="fr-CA"/>
        </w:rPr>
        <w:t>expliquant les différentes actions potentielles liées à une prévision par poste :</w:t>
      </w:r>
    </w:p>
    <w:p w14:paraId="31E0E532" w14:textId="77777777" w:rsidR="003F63CD" w:rsidRPr="003F63CD" w:rsidRDefault="003F63CD" w:rsidP="003F63CD">
      <w:pPr>
        <w:rPr>
          <w:rFonts w:asciiTheme="minorHAnsi" w:hAnsiTheme="minorHAnsi" w:cstheme="minorHAnsi"/>
          <w:lang w:val="fr-CA"/>
        </w:rPr>
      </w:pPr>
    </w:p>
    <w:p w14:paraId="1BC56CE8" w14:textId="77777777" w:rsidR="003F63CD" w:rsidRPr="003F63CD" w:rsidRDefault="003F63CD" w:rsidP="003F63CD">
      <w:pPr>
        <w:rPr>
          <w:rStyle w:val="Hyperlink"/>
          <w:rFonts w:asciiTheme="minorHAnsi" w:hAnsiTheme="minorHAnsi" w:cstheme="minorHAnsi"/>
          <w:lang w:val="fr-CA"/>
        </w:rPr>
      </w:pPr>
      <w:r w:rsidRPr="003F63CD">
        <w:rPr>
          <w:rFonts w:asciiTheme="minorHAnsi" w:hAnsiTheme="minorHAnsi" w:cstheme="minorHAnsi"/>
          <w:lang w:val="fr-CA"/>
        </w:rPr>
        <w:fldChar w:fldCharType="begin"/>
      </w:r>
      <w:r w:rsidRPr="003F63CD">
        <w:rPr>
          <w:rFonts w:asciiTheme="minorHAnsi" w:hAnsiTheme="minorHAnsi" w:cstheme="minorHAnsi"/>
          <w:lang w:val="fr-CA"/>
        </w:rPr>
        <w:instrText xml:space="preserve"> HYPERLINK "http://nspkipws.service.gc.ca/gm/folder-1.11.199210?mode=EU&amp;originalContext=1.11.199336" </w:instrText>
      </w:r>
      <w:r w:rsidRPr="003F63CD">
        <w:rPr>
          <w:rFonts w:asciiTheme="minorHAnsi" w:hAnsiTheme="minorHAnsi" w:cstheme="minorHAnsi"/>
          <w:lang w:val="fr-CA"/>
        </w:rPr>
        <w:fldChar w:fldCharType="separate"/>
      </w:r>
      <w:r w:rsidRPr="003F63CD">
        <w:rPr>
          <w:rStyle w:val="Hyperlink"/>
          <w:rFonts w:asciiTheme="minorHAnsi" w:hAnsiTheme="minorHAnsi" w:cstheme="minorHAnsi"/>
          <w:lang w:val="fr-CA"/>
        </w:rPr>
        <w:t>Créer un numéro de poste</w:t>
      </w:r>
    </w:p>
    <w:p w14:paraId="7FEFCD87" w14:textId="77777777" w:rsidR="003F63CD" w:rsidRPr="003F63CD" w:rsidRDefault="003F63CD" w:rsidP="003F63CD">
      <w:pPr>
        <w:rPr>
          <w:rStyle w:val="Hyperlink"/>
          <w:rFonts w:asciiTheme="minorHAnsi" w:hAnsiTheme="minorHAnsi" w:cstheme="minorHAnsi"/>
          <w:lang w:val="fr-CA"/>
        </w:rPr>
      </w:pPr>
      <w:r w:rsidRPr="003F63CD">
        <w:rPr>
          <w:rFonts w:asciiTheme="minorHAnsi" w:hAnsiTheme="minorHAnsi" w:cstheme="minorHAnsi"/>
          <w:lang w:val="fr-CA"/>
        </w:rPr>
        <w:fldChar w:fldCharType="end"/>
      </w:r>
      <w:r w:rsidRPr="003F63CD">
        <w:rPr>
          <w:rFonts w:asciiTheme="minorHAnsi" w:hAnsiTheme="minorHAnsi" w:cstheme="minorHAnsi"/>
          <w:lang w:val="fr-CA"/>
        </w:rPr>
        <w:fldChar w:fldCharType="begin"/>
      </w:r>
      <w:r w:rsidRPr="003F63CD">
        <w:rPr>
          <w:rFonts w:asciiTheme="minorHAnsi" w:hAnsiTheme="minorHAnsi" w:cstheme="minorHAnsi"/>
          <w:lang w:val="fr-CA"/>
        </w:rPr>
        <w:instrText xml:space="preserve"> HYPERLINK "http://nspkipws.service.gc.ca/gm/folder-1.11.197224?mode=EU&amp;originalContext=1.11.199336" </w:instrText>
      </w:r>
      <w:r w:rsidRPr="003F63CD">
        <w:rPr>
          <w:rFonts w:asciiTheme="minorHAnsi" w:hAnsiTheme="minorHAnsi" w:cstheme="minorHAnsi"/>
          <w:lang w:val="fr-CA"/>
        </w:rPr>
        <w:fldChar w:fldCharType="separate"/>
      </w:r>
      <w:r w:rsidRPr="003F63CD">
        <w:rPr>
          <w:rStyle w:val="Hyperlink"/>
          <w:rFonts w:asciiTheme="minorHAnsi" w:hAnsiTheme="minorHAnsi" w:cstheme="minorHAnsi"/>
          <w:lang w:val="fr-CA"/>
        </w:rPr>
        <w:t>Modifier le numéro de poste</w:t>
      </w:r>
    </w:p>
    <w:p w14:paraId="2DACBEA9"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fldChar w:fldCharType="end"/>
      </w:r>
      <w:hyperlink r:id="rId20" w:history="1">
        <w:r w:rsidR="00A87E8F" w:rsidRPr="00A87E8F">
          <w:rPr>
            <w:rStyle w:val="Hyperlink"/>
            <w:rFonts w:asciiTheme="minorHAnsi" w:hAnsiTheme="minorHAnsi" w:cstheme="minorHAnsi"/>
            <w:lang w:val="fr-CA"/>
          </w:rPr>
          <w:t>Créer une prévision par poste planifié</w:t>
        </w:r>
      </w:hyperlink>
      <w:r w:rsidRPr="003F63CD">
        <w:rPr>
          <w:rFonts w:asciiTheme="minorHAnsi" w:hAnsiTheme="minorHAnsi" w:cstheme="minorHAnsi"/>
          <w:lang w:val="fr-CA"/>
        </w:rPr>
        <w:t xml:space="preserve"> </w:t>
      </w:r>
    </w:p>
    <w:p w14:paraId="571B34BB" w14:textId="77777777" w:rsidR="003F63CD" w:rsidRPr="003F63CD" w:rsidRDefault="003F63CD" w:rsidP="003F63CD">
      <w:pPr>
        <w:rPr>
          <w:rStyle w:val="Hyperlink"/>
          <w:rFonts w:asciiTheme="minorHAnsi" w:hAnsiTheme="minorHAnsi" w:cstheme="minorHAnsi"/>
          <w:lang w:val="fr-CA"/>
        </w:rPr>
      </w:pPr>
      <w:r w:rsidRPr="003F63CD">
        <w:rPr>
          <w:rFonts w:asciiTheme="minorHAnsi" w:hAnsiTheme="minorHAnsi" w:cstheme="minorHAnsi"/>
          <w:lang w:val="fr-CA"/>
        </w:rPr>
        <w:fldChar w:fldCharType="begin"/>
      </w:r>
      <w:r w:rsidRPr="003F63CD">
        <w:rPr>
          <w:rFonts w:asciiTheme="minorHAnsi" w:hAnsiTheme="minorHAnsi" w:cstheme="minorHAnsi"/>
          <w:lang w:val="fr-CA"/>
        </w:rPr>
        <w:instrText xml:space="preserve"> HYPERLINK "http://nspkipws.service.gc.ca/gm/folder-1.11.199228?mode=EU&amp;originalContext=1.11.199336" </w:instrText>
      </w:r>
      <w:r w:rsidRPr="003F63CD">
        <w:rPr>
          <w:rFonts w:asciiTheme="minorHAnsi" w:hAnsiTheme="minorHAnsi" w:cstheme="minorHAnsi"/>
          <w:lang w:val="fr-CA"/>
        </w:rPr>
        <w:fldChar w:fldCharType="separate"/>
      </w:r>
      <w:r w:rsidRPr="003F63CD">
        <w:rPr>
          <w:rStyle w:val="Hyperlink"/>
          <w:rFonts w:asciiTheme="minorHAnsi" w:hAnsiTheme="minorHAnsi" w:cstheme="minorHAnsi"/>
          <w:lang w:val="fr-CA"/>
        </w:rPr>
        <w:t>Modifier une prévision de dotation prévue</w:t>
      </w:r>
    </w:p>
    <w:p w14:paraId="49C2D3E2"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fldChar w:fldCharType="end"/>
      </w:r>
      <w:hyperlink r:id="rId21" w:history="1">
        <w:r w:rsidR="00A87E8F" w:rsidRPr="00A87E8F">
          <w:rPr>
            <w:rStyle w:val="Hyperlink"/>
            <w:rFonts w:asciiTheme="minorHAnsi" w:hAnsiTheme="minorHAnsi" w:cstheme="minorHAnsi"/>
            <w:lang w:val="fr-CA"/>
          </w:rPr>
          <w:t>Supprimer un registre de prévision par poste</w:t>
        </w:r>
      </w:hyperlink>
      <w:r w:rsidRPr="003F63CD" w:rsidDel="007F7ADF">
        <w:rPr>
          <w:rFonts w:asciiTheme="minorHAnsi" w:hAnsiTheme="minorHAnsi" w:cstheme="minorHAnsi"/>
          <w:lang w:val="fr-CA"/>
        </w:rPr>
        <w:t xml:space="preserve"> </w:t>
      </w:r>
    </w:p>
    <w:p w14:paraId="524758CC" w14:textId="77777777" w:rsidR="003F63CD" w:rsidRPr="003F63CD" w:rsidRDefault="003F63CD" w:rsidP="003F63CD">
      <w:pPr>
        <w:spacing w:after="200" w:line="276" w:lineRule="auto"/>
        <w:rPr>
          <w:rFonts w:asciiTheme="minorHAnsi" w:hAnsiTheme="minorHAnsi" w:cstheme="minorHAnsi"/>
          <w:bCs/>
          <w:lang w:val="fr-CA"/>
        </w:rPr>
      </w:pPr>
    </w:p>
    <w:p w14:paraId="16265FD5" w14:textId="39B3ECB5" w:rsidR="003F63CD" w:rsidRPr="003F63CD" w:rsidRDefault="003F63CD" w:rsidP="00E8661F">
      <w:pPr>
        <w:pStyle w:val="Heading3"/>
        <w:numPr>
          <w:ilvl w:val="2"/>
          <w:numId w:val="2"/>
        </w:numPr>
        <w:rPr>
          <w:rFonts w:asciiTheme="minorHAnsi" w:hAnsiTheme="minorHAnsi" w:cstheme="minorHAnsi"/>
          <w:lang w:val="fr-CA"/>
        </w:rPr>
      </w:pPr>
      <w:bookmarkStart w:id="37" w:name="_Toc513716504"/>
      <w:bookmarkStart w:id="38" w:name="_Toc72402516"/>
      <w:r w:rsidRPr="003F63CD">
        <w:rPr>
          <w:rFonts w:asciiTheme="minorHAnsi" w:hAnsiTheme="minorHAnsi" w:cstheme="minorHAnsi"/>
          <w:lang w:val="fr-CA"/>
        </w:rPr>
        <w:t>Prévisions globales</w:t>
      </w:r>
      <w:bookmarkEnd w:id="37"/>
      <w:bookmarkEnd w:id="38"/>
    </w:p>
    <w:p w14:paraId="59371A10" w14:textId="77777777" w:rsidR="003F63CD" w:rsidRPr="003F63CD" w:rsidRDefault="003F63CD" w:rsidP="003F63CD">
      <w:pPr>
        <w:rPr>
          <w:rFonts w:asciiTheme="minorHAnsi" w:hAnsiTheme="minorHAnsi" w:cstheme="minorHAnsi"/>
          <w:bCs/>
          <w:lang w:val="fr-CA"/>
        </w:rPr>
      </w:pPr>
    </w:p>
    <w:p w14:paraId="31EFADAE" w14:textId="2B30E610" w:rsid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Les prévisions globales (prévisions de haut niveau) sont utilisées pour des types spécifiques de dépenses relatives aux employés qui sont comprises dans des prévisions plus générales (au niveau du centre financier</w:t>
      </w:r>
      <w:r w:rsidR="00CD2837" w:rsidRPr="00CD2837">
        <w:rPr>
          <w:rFonts w:eastAsiaTheme="majorEastAsia"/>
          <w:bCs/>
          <w:vertAlign w:val="superscript"/>
          <w:lang w:val="en-US"/>
        </w:rPr>
        <w:footnoteReference w:id="5"/>
      </w:r>
      <w:r w:rsidR="00CD2837" w:rsidRPr="00CD2837">
        <w:rPr>
          <w:bCs/>
          <w:lang w:val="fr-CA"/>
        </w:rPr>
        <w:t xml:space="preserve"> </w:t>
      </w:r>
      <w:r w:rsidRPr="003F63CD">
        <w:rPr>
          <w:rFonts w:asciiTheme="minorHAnsi" w:hAnsiTheme="minorHAnsi" w:cstheme="minorHAnsi"/>
          <w:bCs/>
          <w:lang w:val="fr-CA"/>
        </w:rPr>
        <w:t xml:space="preserve"> plutôt qu’au niveau du CIDP). Il faut seulement les utiliser pour les types de dépenses suivants : </w:t>
      </w:r>
    </w:p>
    <w:p w14:paraId="0DF6AD83" w14:textId="77777777" w:rsidR="00C60E4D" w:rsidRPr="003F63CD" w:rsidRDefault="00C60E4D" w:rsidP="003F63CD">
      <w:pPr>
        <w:rPr>
          <w:rFonts w:asciiTheme="minorHAnsi" w:hAnsiTheme="minorHAnsi" w:cstheme="minorHAnsi"/>
          <w:bCs/>
          <w:lang w:val="fr-CA"/>
        </w:rPr>
      </w:pPr>
    </w:p>
    <w:p w14:paraId="52E6CC31" w14:textId="77777777" w:rsidR="003F63CD" w:rsidRPr="003F63CD" w:rsidRDefault="003F63CD" w:rsidP="003F63CD">
      <w:pPr>
        <w:pStyle w:val="ListParagraph"/>
        <w:numPr>
          <w:ilvl w:val="0"/>
          <w:numId w:val="8"/>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t>Heures supplémentaires (GP 91115)</w:t>
      </w:r>
    </w:p>
    <w:p w14:paraId="7B3467C9" w14:textId="77777777" w:rsidR="003F63CD" w:rsidRPr="003F63CD" w:rsidRDefault="003F63CD" w:rsidP="003F63CD">
      <w:pPr>
        <w:pStyle w:val="ListParagraph"/>
        <w:numPr>
          <w:ilvl w:val="0"/>
          <w:numId w:val="8"/>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t>Paye rétroactive (GP 91140)</w:t>
      </w:r>
    </w:p>
    <w:p w14:paraId="247E911E" w14:textId="77777777" w:rsidR="003F63CD" w:rsidRPr="003F63CD" w:rsidRDefault="003F63CD" w:rsidP="003F63CD">
      <w:pPr>
        <w:pStyle w:val="ListParagraph"/>
        <w:numPr>
          <w:ilvl w:val="0"/>
          <w:numId w:val="8"/>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t>Prestation cessation d’emploi (incl. RE) (GP 91145)</w:t>
      </w:r>
    </w:p>
    <w:p w14:paraId="2691F28F" w14:textId="77777777" w:rsidR="003F63CD" w:rsidRPr="003F63CD" w:rsidRDefault="003F63CD" w:rsidP="003F63CD">
      <w:pPr>
        <w:pStyle w:val="ListParagraph"/>
        <w:numPr>
          <w:ilvl w:val="0"/>
          <w:numId w:val="8"/>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lastRenderedPageBreak/>
        <w:t>Voiture du ministre (GP 91160)</w:t>
      </w:r>
    </w:p>
    <w:p w14:paraId="48131670" w14:textId="77777777" w:rsidR="003F63CD" w:rsidRPr="003F63CD" w:rsidRDefault="003F63CD" w:rsidP="003F63CD">
      <w:pPr>
        <w:pStyle w:val="ListParagraph"/>
        <w:numPr>
          <w:ilvl w:val="0"/>
          <w:numId w:val="8"/>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t>Fierté et reconnaissance (GP 91165)</w:t>
      </w:r>
    </w:p>
    <w:p w14:paraId="1F50B343" w14:textId="273075E2" w:rsidR="003F63CD" w:rsidRPr="003F63CD" w:rsidRDefault="003F63CD" w:rsidP="003F63CD">
      <w:pPr>
        <w:pStyle w:val="ListParagraph"/>
        <w:numPr>
          <w:ilvl w:val="0"/>
          <w:numId w:val="8"/>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t xml:space="preserve">Autre – Personnel (GP 91110) (voir Annexe </w:t>
      </w:r>
      <w:r w:rsidR="00C60E4D">
        <w:rPr>
          <w:rFonts w:asciiTheme="minorHAnsi" w:hAnsiTheme="minorHAnsi" w:cstheme="minorHAnsi"/>
          <w:bCs/>
          <w:lang w:val="fr-CA"/>
        </w:rPr>
        <w:t>C</w:t>
      </w:r>
      <w:r w:rsidRPr="003F63CD">
        <w:rPr>
          <w:rFonts w:asciiTheme="minorHAnsi" w:hAnsiTheme="minorHAnsi" w:cstheme="minorHAnsi"/>
          <w:bCs/>
          <w:lang w:val="fr-CA"/>
        </w:rPr>
        <w:t xml:space="preserve"> pour l</w:t>
      </w:r>
      <w:r w:rsidR="00C60E4D">
        <w:rPr>
          <w:rFonts w:asciiTheme="minorHAnsi" w:hAnsiTheme="minorHAnsi" w:cstheme="minorHAnsi"/>
          <w:bCs/>
          <w:lang w:val="fr-CA"/>
        </w:rPr>
        <w:t>a</w:t>
      </w:r>
      <w:r w:rsidRPr="003F63CD">
        <w:rPr>
          <w:rFonts w:asciiTheme="minorHAnsi" w:hAnsiTheme="minorHAnsi" w:cstheme="minorHAnsi"/>
          <w:bCs/>
          <w:lang w:val="fr-CA"/>
        </w:rPr>
        <w:t xml:space="preserve"> </w:t>
      </w:r>
      <w:r w:rsidR="00C60E4D">
        <w:rPr>
          <w:rFonts w:asciiTheme="minorHAnsi" w:hAnsiTheme="minorHAnsi" w:cstheme="minorHAnsi"/>
          <w:bCs/>
          <w:lang w:val="fr-CA"/>
        </w:rPr>
        <w:t>liste</w:t>
      </w:r>
      <w:r w:rsidRPr="003F63CD">
        <w:rPr>
          <w:rFonts w:asciiTheme="minorHAnsi" w:hAnsiTheme="minorHAnsi" w:cstheme="minorHAnsi"/>
          <w:bCs/>
          <w:lang w:val="fr-CA"/>
        </w:rPr>
        <w:t xml:space="preserve"> des comptes d</w:t>
      </w:r>
      <w:r w:rsidR="00C60E4D">
        <w:rPr>
          <w:rFonts w:asciiTheme="minorHAnsi" w:hAnsiTheme="minorHAnsi" w:cstheme="minorHAnsi"/>
          <w:bCs/>
          <w:lang w:val="fr-CA"/>
        </w:rPr>
        <w:t>u</w:t>
      </w:r>
      <w:r w:rsidRPr="003F63CD">
        <w:rPr>
          <w:rFonts w:asciiTheme="minorHAnsi" w:hAnsiTheme="minorHAnsi" w:cstheme="minorHAnsi"/>
          <w:bCs/>
          <w:lang w:val="fr-CA"/>
        </w:rPr>
        <w:t xml:space="preserve"> GL)</w:t>
      </w:r>
    </w:p>
    <w:p w14:paraId="75F9CC61" w14:textId="77777777" w:rsidR="003F63CD" w:rsidRPr="003F63CD" w:rsidRDefault="003F63CD" w:rsidP="003F63CD">
      <w:pPr>
        <w:pStyle w:val="ListParagraph"/>
        <w:numPr>
          <w:ilvl w:val="0"/>
          <w:numId w:val="8"/>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t xml:space="preserve">Salaire transition (GP 91003) </w:t>
      </w:r>
    </w:p>
    <w:p w14:paraId="0B22AA8A" w14:textId="77777777" w:rsidR="003F63CD" w:rsidRPr="003F63CD" w:rsidRDefault="003F63CD" w:rsidP="003F63CD">
      <w:pPr>
        <w:spacing w:before="120"/>
        <w:ind w:left="357"/>
        <w:rPr>
          <w:rFonts w:asciiTheme="minorHAnsi" w:hAnsiTheme="minorHAnsi" w:cstheme="minorHAnsi"/>
          <w:bCs/>
          <w:lang w:val="fr-CA"/>
        </w:rPr>
      </w:pPr>
    </w:p>
    <w:p w14:paraId="4BF52901" w14:textId="0927247D"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 xml:space="preserve">Par ailleurs, le CB </w:t>
      </w:r>
      <w:r w:rsidR="00BA6C01">
        <w:rPr>
          <w:rFonts w:asciiTheme="minorHAnsi" w:hAnsiTheme="minorHAnsi" w:cstheme="minorHAnsi"/>
          <w:bCs/>
          <w:lang w:val="fr-CA"/>
        </w:rPr>
        <w:t xml:space="preserve">(GP) </w:t>
      </w:r>
      <w:r w:rsidRPr="003F63CD">
        <w:rPr>
          <w:rFonts w:asciiTheme="minorHAnsi" w:hAnsiTheme="minorHAnsi" w:cstheme="minorHAnsi"/>
          <w:bCs/>
          <w:lang w:val="fr-CA"/>
        </w:rPr>
        <w:t>91112 Autre personnel non-lié à un CIDP peut être utilisé pour faire des prévisions pour certains types de dépenses spécifiques (c.-à-d. compte de GL spécifique, voir la liste à l’annexe F) qui ne sont pas affichés dans l’OPS. Ce type de prévision doit être effectué en ajustement dans FMBB et les engagements doivent être faits manuellement.</w:t>
      </w:r>
    </w:p>
    <w:p w14:paraId="1732E009" w14:textId="77777777" w:rsidR="003F63CD" w:rsidRPr="003F63CD" w:rsidRDefault="003F63CD" w:rsidP="003F63CD">
      <w:pPr>
        <w:rPr>
          <w:rFonts w:asciiTheme="minorHAnsi" w:hAnsiTheme="minorHAnsi" w:cstheme="minorHAnsi"/>
          <w:bCs/>
          <w:lang w:val="fr-CA"/>
        </w:rPr>
      </w:pPr>
    </w:p>
    <w:p w14:paraId="15C9767D" w14:textId="77777777"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 xml:space="preserve">Les prévisions globales ne doivent pas être utilisées pour aucun autre type de dépenses prévues. Par exemple, la rémunération au rendement, la rémunération d’intérim, les augmentations et les dotations prévues </w:t>
      </w:r>
      <w:r w:rsidRPr="003F63CD">
        <w:rPr>
          <w:rFonts w:asciiTheme="minorHAnsi" w:hAnsiTheme="minorHAnsi" w:cstheme="minorHAnsi"/>
          <w:bCs/>
          <w:u w:val="single"/>
          <w:lang w:val="fr-CA"/>
        </w:rPr>
        <w:t>ne doivent pas</w:t>
      </w:r>
      <w:r w:rsidRPr="003F63CD">
        <w:rPr>
          <w:rFonts w:asciiTheme="minorHAnsi" w:hAnsiTheme="minorHAnsi" w:cstheme="minorHAnsi"/>
          <w:bCs/>
          <w:lang w:val="fr-CA"/>
        </w:rPr>
        <w:t xml:space="preserve"> faire l’objet de prévisions globales. Ces types de dépenses doivent être inclus dans les prévisions touchant les employés (au niveau des CIDP) ou dans les prévisions par poste (dotations prévues).</w:t>
      </w:r>
    </w:p>
    <w:p w14:paraId="6CD35C3E" w14:textId="77777777" w:rsidR="003F63CD" w:rsidRPr="003F63CD" w:rsidRDefault="003F63CD" w:rsidP="003F63CD">
      <w:pPr>
        <w:rPr>
          <w:rFonts w:asciiTheme="minorHAnsi" w:hAnsiTheme="minorHAnsi" w:cstheme="minorHAnsi"/>
          <w:bCs/>
          <w:lang w:val="fr-CA"/>
        </w:rPr>
      </w:pPr>
    </w:p>
    <w:p w14:paraId="0386B7A1" w14:textId="77777777"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Les prévisions globales doivent être saisies dans le CF auquel la dépense sera réellement imputée. On évitera ainsi des montants non prévus au moment de rapprocher les données réelles et les prévisions.</w:t>
      </w:r>
    </w:p>
    <w:p w14:paraId="623F4DC3" w14:textId="77777777" w:rsidR="003F63CD" w:rsidRPr="003F63CD" w:rsidRDefault="003F63CD" w:rsidP="003F63CD">
      <w:pPr>
        <w:rPr>
          <w:rFonts w:asciiTheme="minorHAnsi" w:hAnsiTheme="minorHAnsi" w:cstheme="minorHAnsi"/>
          <w:bCs/>
          <w:lang w:val="fr-CA"/>
        </w:rPr>
      </w:pPr>
    </w:p>
    <w:p w14:paraId="31972D79" w14:textId="3DAF8A87" w:rsidR="003F63CD" w:rsidRPr="003F63CD" w:rsidRDefault="00C60E4D" w:rsidP="003F63CD">
      <w:pPr>
        <w:rPr>
          <w:rFonts w:asciiTheme="minorHAnsi" w:hAnsiTheme="minorHAnsi" w:cstheme="minorHAnsi"/>
          <w:bCs/>
          <w:lang w:val="fr-CA"/>
        </w:rPr>
      </w:pPr>
      <w:r>
        <w:rPr>
          <w:rFonts w:asciiTheme="minorHAnsi" w:hAnsiTheme="minorHAnsi" w:cstheme="minorHAnsi"/>
          <w:bCs/>
          <w:lang w:val="fr-CA"/>
        </w:rPr>
        <w:t>Notez</w:t>
      </w:r>
      <w:r w:rsidR="003F63CD" w:rsidRPr="003F63CD">
        <w:rPr>
          <w:rFonts w:asciiTheme="minorHAnsi" w:hAnsiTheme="minorHAnsi" w:cstheme="minorHAnsi"/>
          <w:bCs/>
          <w:lang w:val="fr-CA"/>
        </w:rPr>
        <w:t xml:space="preserve"> que ce type de prévision représente un montant annuel et qu’il ne sera pas recalculé au prorata au fil de l’année. Cependant, il peut être modifié ou rajusté en tout temps. Si aucun exercice financier n’est précisé, la prévision s’appliquera indéfiniment.</w:t>
      </w:r>
    </w:p>
    <w:p w14:paraId="0FB8498F" w14:textId="77777777" w:rsidR="003F63CD" w:rsidRPr="003F63CD" w:rsidRDefault="003F63CD" w:rsidP="003F63CD">
      <w:pPr>
        <w:rPr>
          <w:rFonts w:asciiTheme="minorHAnsi" w:hAnsiTheme="minorHAnsi" w:cstheme="minorHAnsi"/>
          <w:bCs/>
          <w:lang w:val="fr-CA"/>
        </w:rPr>
      </w:pPr>
    </w:p>
    <w:p w14:paraId="2BEABB2F" w14:textId="35BF4713"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Les liens ci</w:t>
      </w:r>
      <w:r w:rsidRPr="003F63CD">
        <w:rPr>
          <w:rFonts w:asciiTheme="minorHAnsi" w:hAnsiTheme="minorHAnsi" w:cstheme="minorHAnsi"/>
          <w:lang w:val="fr-CA"/>
        </w:rPr>
        <w:noBreakHyphen/>
        <w:t xml:space="preserve">dessous mènent à des </w:t>
      </w:r>
      <w:r w:rsidRPr="0084732E">
        <w:rPr>
          <w:lang w:val="fr-CA"/>
        </w:rPr>
        <w:t>procédures détaillées</w:t>
      </w:r>
      <w:r w:rsidR="00C60E4D">
        <w:rPr>
          <w:lang w:val="fr-CA"/>
        </w:rPr>
        <w:t xml:space="preserve"> de maSGE (SAP)</w:t>
      </w:r>
      <w:r w:rsidRPr="003F63CD">
        <w:rPr>
          <w:rFonts w:asciiTheme="minorHAnsi" w:hAnsiTheme="minorHAnsi" w:cstheme="minorHAnsi"/>
          <w:lang w:val="fr-CA"/>
        </w:rPr>
        <w:t xml:space="preserve"> </w:t>
      </w:r>
      <w:r w:rsidR="00C60E4D">
        <w:rPr>
          <w:rFonts w:asciiTheme="minorHAnsi" w:hAnsiTheme="minorHAnsi" w:cstheme="minorHAnsi"/>
          <w:lang w:val="fr-CA"/>
        </w:rPr>
        <w:t>sur</w:t>
      </w:r>
      <w:r w:rsidRPr="003F63CD">
        <w:rPr>
          <w:rFonts w:asciiTheme="minorHAnsi" w:hAnsiTheme="minorHAnsi" w:cstheme="minorHAnsi"/>
          <w:lang w:val="fr-CA"/>
        </w:rPr>
        <w:t xml:space="preserve"> les prévisions globales</w:t>
      </w:r>
      <w:r w:rsidR="00C60E4D">
        <w:rPr>
          <w:rFonts w:asciiTheme="minorHAnsi" w:hAnsiTheme="minorHAnsi" w:cstheme="minorHAnsi"/>
          <w:lang w:val="fr-CA"/>
        </w:rPr>
        <w:t>. Voir également la section d</w:t>
      </w:r>
      <w:r w:rsidRPr="003F63CD">
        <w:rPr>
          <w:rFonts w:asciiTheme="minorHAnsi" w:hAnsiTheme="minorHAnsi" w:cstheme="minorHAnsi"/>
          <w:lang w:val="fr-CA"/>
        </w:rPr>
        <w:t xml:space="preserve">es </w:t>
      </w:r>
      <w:hyperlink r:id="rId22" w:history="1">
        <w:r w:rsidR="00F21838">
          <w:rPr>
            <w:rStyle w:val="Hyperlink"/>
            <w:rFonts w:asciiTheme="minorHAnsi" w:hAnsiTheme="minorHAnsi" w:cstheme="minorHAnsi"/>
            <w:lang w:val="fr-CA"/>
          </w:rPr>
          <w:t>C</w:t>
        </w:r>
        <w:r w:rsidRPr="003F63CD">
          <w:rPr>
            <w:rStyle w:val="Hyperlink"/>
            <w:rFonts w:asciiTheme="minorHAnsi" w:hAnsiTheme="minorHAnsi" w:cstheme="minorHAnsi"/>
            <w:lang w:val="fr-CA"/>
          </w:rPr>
          <w:t>omptes budgétaire</w:t>
        </w:r>
        <w:r w:rsidR="00F21838">
          <w:rPr>
            <w:rStyle w:val="Hyperlink"/>
            <w:rFonts w:asciiTheme="minorHAnsi" w:hAnsiTheme="minorHAnsi" w:cstheme="minorHAnsi"/>
            <w:lang w:val="fr-CA"/>
          </w:rPr>
          <w:t>s (CB)</w:t>
        </w:r>
      </w:hyperlink>
      <w:r w:rsidR="00C60E4D">
        <w:rPr>
          <w:rFonts w:asciiTheme="minorHAnsi" w:hAnsiTheme="minorHAnsi" w:cstheme="minorHAnsi"/>
          <w:lang w:val="fr-CA"/>
        </w:rPr>
        <w:t xml:space="preserve"> du </w:t>
      </w:r>
      <w:r w:rsidR="00F21838">
        <w:rPr>
          <w:rFonts w:asciiTheme="minorHAnsi" w:hAnsiTheme="minorHAnsi" w:cstheme="minorHAnsi"/>
          <w:lang w:val="fr-CA"/>
        </w:rPr>
        <w:t>Guide</w:t>
      </w:r>
      <w:r w:rsidR="00C60E4D" w:rsidRPr="003F63CD">
        <w:rPr>
          <w:rFonts w:asciiTheme="minorHAnsi" w:hAnsiTheme="minorHAnsi" w:cstheme="minorHAnsi"/>
          <w:lang w:val="fr-CA"/>
        </w:rPr>
        <w:t xml:space="preserve"> de codage financier</w:t>
      </w:r>
      <w:r w:rsidR="00C60E4D">
        <w:rPr>
          <w:rFonts w:asciiTheme="minorHAnsi" w:hAnsiTheme="minorHAnsi" w:cstheme="minorHAnsi"/>
          <w:lang w:val="fr-CA"/>
        </w:rPr>
        <w:t xml:space="preserve"> </w:t>
      </w:r>
      <w:r w:rsidR="00F21838">
        <w:rPr>
          <w:rFonts w:asciiTheme="minorHAnsi" w:hAnsiTheme="minorHAnsi" w:cstheme="minorHAnsi"/>
          <w:lang w:val="fr-CA"/>
        </w:rPr>
        <w:t xml:space="preserve">ministériel </w:t>
      </w:r>
      <w:r w:rsidR="00C60E4D">
        <w:rPr>
          <w:rFonts w:asciiTheme="minorHAnsi" w:hAnsiTheme="minorHAnsi" w:cstheme="minorHAnsi"/>
          <w:lang w:val="fr-CA"/>
        </w:rPr>
        <w:t>pour la liste des comptes du GL qui se rapportent à chaque compte budgétaire.</w:t>
      </w:r>
    </w:p>
    <w:p w14:paraId="671BB172" w14:textId="77777777" w:rsidR="003F63CD" w:rsidRPr="003F63CD" w:rsidRDefault="003F63CD" w:rsidP="003F63CD">
      <w:pPr>
        <w:rPr>
          <w:rFonts w:asciiTheme="minorHAnsi" w:hAnsiTheme="minorHAnsi" w:cstheme="minorHAnsi"/>
          <w:lang w:val="fr-CA"/>
        </w:rPr>
      </w:pPr>
    </w:p>
    <w:p w14:paraId="2C73452C" w14:textId="77777777" w:rsidR="003F63CD" w:rsidRPr="001350BB" w:rsidRDefault="001350BB" w:rsidP="003F63CD">
      <w:pPr>
        <w:rPr>
          <w:rStyle w:val="Hyperlink"/>
          <w:rFonts w:asciiTheme="minorHAnsi" w:hAnsiTheme="minorHAnsi" w:cstheme="minorHAnsi"/>
          <w:lang w:val="fr-CA"/>
        </w:rPr>
      </w:pPr>
      <w:r>
        <w:rPr>
          <w:rFonts w:asciiTheme="minorHAnsi" w:hAnsiTheme="minorHAnsi" w:cstheme="minorHAnsi"/>
          <w:lang w:val="fr-CA"/>
        </w:rPr>
        <w:fldChar w:fldCharType="begin"/>
      </w:r>
      <w:r>
        <w:rPr>
          <w:rFonts w:asciiTheme="minorHAnsi" w:hAnsiTheme="minorHAnsi" w:cstheme="minorHAnsi"/>
          <w:lang w:val="fr-CA"/>
        </w:rPr>
        <w:instrText xml:space="preserve"> HYPERLINK "http://nspkipws.service.gc.ca/gm/folder-1.11.199200?mode=EU&amp;originalContext=1.11.199336" </w:instrText>
      </w:r>
      <w:r>
        <w:rPr>
          <w:rFonts w:asciiTheme="minorHAnsi" w:hAnsiTheme="minorHAnsi" w:cstheme="minorHAnsi"/>
          <w:lang w:val="fr-CA"/>
        </w:rPr>
        <w:fldChar w:fldCharType="separate"/>
      </w:r>
      <w:r w:rsidR="003F63CD" w:rsidRPr="001350BB">
        <w:rPr>
          <w:rStyle w:val="Hyperlink"/>
          <w:rFonts w:asciiTheme="minorHAnsi" w:hAnsiTheme="minorHAnsi" w:cstheme="minorHAnsi"/>
          <w:lang w:val="fr-CA"/>
        </w:rPr>
        <w:t>Afficher les prévisions globales par gestionnaire</w:t>
      </w:r>
    </w:p>
    <w:p w14:paraId="5D316BE5" w14:textId="77777777" w:rsidR="003F63CD" w:rsidRPr="003F63CD" w:rsidRDefault="001350BB" w:rsidP="003F63CD">
      <w:pPr>
        <w:rPr>
          <w:rFonts w:asciiTheme="minorHAnsi" w:hAnsiTheme="minorHAnsi" w:cstheme="minorHAnsi"/>
          <w:lang w:val="fr-CA"/>
        </w:rPr>
      </w:pPr>
      <w:r>
        <w:rPr>
          <w:rFonts w:asciiTheme="minorHAnsi" w:hAnsiTheme="minorHAnsi" w:cstheme="minorHAnsi"/>
          <w:lang w:val="fr-CA"/>
        </w:rPr>
        <w:fldChar w:fldCharType="end"/>
      </w:r>
      <w:hyperlink r:id="rId23" w:history="1">
        <w:r w:rsidR="003F63CD" w:rsidRPr="003F63CD">
          <w:rPr>
            <w:rStyle w:val="Hyperlink"/>
            <w:rFonts w:asciiTheme="minorHAnsi" w:hAnsiTheme="minorHAnsi" w:cstheme="minorHAnsi"/>
            <w:lang w:val="fr-CA"/>
          </w:rPr>
          <w:t>Modifier prévision globale</w:t>
        </w:r>
      </w:hyperlink>
      <w:r w:rsidR="003F63CD" w:rsidRPr="003F63CD">
        <w:rPr>
          <w:rFonts w:asciiTheme="minorHAnsi" w:hAnsiTheme="minorHAnsi" w:cstheme="minorHAnsi"/>
          <w:lang w:val="fr-CA"/>
        </w:rPr>
        <w:t xml:space="preserve"> </w:t>
      </w:r>
    </w:p>
    <w:p w14:paraId="4C0511E6" w14:textId="77777777" w:rsidR="003F63CD" w:rsidRPr="003F63CD" w:rsidRDefault="00D45BCF" w:rsidP="003F63CD">
      <w:pPr>
        <w:rPr>
          <w:rFonts w:asciiTheme="minorHAnsi" w:hAnsiTheme="minorHAnsi" w:cstheme="minorHAnsi"/>
          <w:lang w:val="fr-CA"/>
        </w:rPr>
      </w:pPr>
      <w:hyperlink r:id="rId24" w:history="1">
        <w:r w:rsidR="003F63CD" w:rsidRPr="003F63CD">
          <w:rPr>
            <w:rStyle w:val="Hyperlink"/>
            <w:rFonts w:asciiTheme="minorHAnsi" w:hAnsiTheme="minorHAnsi" w:cstheme="minorHAnsi"/>
            <w:lang w:val="fr-CA"/>
          </w:rPr>
          <w:t>Supprimer une prévision globale</w:t>
        </w:r>
      </w:hyperlink>
      <w:r w:rsidR="003F63CD" w:rsidRPr="003F63CD">
        <w:rPr>
          <w:rFonts w:asciiTheme="minorHAnsi" w:hAnsiTheme="minorHAnsi" w:cstheme="minorHAnsi"/>
          <w:lang w:val="fr-CA"/>
        </w:rPr>
        <w:t xml:space="preserve"> </w:t>
      </w:r>
    </w:p>
    <w:p w14:paraId="798C78FF" w14:textId="77777777" w:rsidR="003F63CD" w:rsidRPr="003F63CD" w:rsidRDefault="003F63CD" w:rsidP="003F63CD">
      <w:pPr>
        <w:rPr>
          <w:rFonts w:asciiTheme="minorHAnsi" w:hAnsiTheme="minorHAnsi" w:cstheme="minorHAnsi"/>
          <w:lang w:val="fr-CA"/>
        </w:rPr>
      </w:pPr>
    </w:p>
    <w:p w14:paraId="1D0AC3AD" w14:textId="5040FE79" w:rsidR="003F63CD" w:rsidRPr="003F63CD" w:rsidRDefault="003F63CD" w:rsidP="00E8661F">
      <w:pPr>
        <w:pStyle w:val="Heading3"/>
        <w:numPr>
          <w:ilvl w:val="2"/>
          <w:numId w:val="2"/>
        </w:numPr>
        <w:rPr>
          <w:rFonts w:asciiTheme="minorHAnsi" w:hAnsiTheme="minorHAnsi" w:cstheme="minorHAnsi"/>
          <w:lang w:val="fr-CA"/>
        </w:rPr>
      </w:pPr>
      <w:bookmarkStart w:id="39" w:name="_Toc513716505"/>
      <w:bookmarkStart w:id="40" w:name="_Toc72402517"/>
      <w:r w:rsidRPr="003F63CD">
        <w:rPr>
          <w:rFonts w:asciiTheme="minorHAnsi" w:hAnsiTheme="minorHAnsi" w:cstheme="minorHAnsi"/>
          <w:lang w:val="fr-CA"/>
        </w:rPr>
        <w:t>Engagements salariaux (réserve du personnel)</w:t>
      </w:r>
      <w:bookmarkEnd w:id="39"/>
      <w:r w:rsidR="0070367A">
        <w:rPr>
          <w:rFonts w:asciiTheme="minorHAnsi" w:hAnsiTheme="minorHAnsi" w:cstheme="minorHAnsi"/>
          <w:lang w:val="fr-CA"/>
        </w:rPr>
        <w:t xml:space="preserve"> dans </w:t>
      </w:r>
      <w:r w:rsidR="00F02EEE">
        <w:rPr>
          <w:rFonts w:asciiTheme="minorHAnsi" w:hAnsiTheme="minorHAnsi" w:cstheme="minorHAnsi"/>
          <w:lang w:val="fr-CA"/>
        </w:rPr>
        <w:t xml:space="preserve">l’outils </w:t>
      </w:r>
      <w:r w:rsidR="0070367A">
        <w:rPr>
          <w:rFonts w:asciiTheme="minorHAnsi" w:hAnsiTheme="minorHAnsi" w:cstheme="minorHAnsi"/>
          <w:lang w:val="fr-CA"/>
        </w:rPr>
        <w:t>BI</w:t>
      </w:r>
      <w:bookmarkEnd w:id="40"/>
    </w:p>
    <w:p w14:paraId="41019332" w14:textId="77777777" w:rsidR="003F63CD" w:rsidRPr="003F63CD" w:rsidRDefault="003F63CD" w:rsidP="003F63CD">
      <w:pPr>
        <w:rPr>
          <w:rFonts w:asciiTheme="minorHAnsi" w:hAnsiTheme="minorHAnsi" w:cstheme="minorHAnsi"/>
          <w:lang w:val="fr-CA"/>
        </w:rPr>
      </w:pPr>
    </w:p>
    <w:p w14:paraId="7478CCB6" w14:textId="67940DAC" w:rsidR="003F63CD" w:rsidRPr="003F63CD" w:rsidRDefault="00C60E4D" w:rsidP="003F63CD">
      <w:pPr>
        <w:rPr>
          <w:rFonts w:asciiTheme="minorHAnsi" w:hAnsiTheme="minorHAnsi" w:cstheme="minorHAnsi"/>
          <w:lang w:val="fr-CA"/>
        </w:rPr>
      </w:pPr>
      <w:r>
        <w:rPr>
          <w:rFonts w:asciiTheme="minorHAnsi" w:hAnsiTheme="minorHAnsi" w:cstheme="minorHAnsi"/>
          <w:lang w:val="fr-CA"/>
        </w:rPr>
        <w:t>m</w:t>
      </w:r>
      <w:r w:rsidR="003F63CD" w:rsidRPr="003F63CD">
        <w:rPr>
          <w:rFonts w:asciiTheme="minorHAnsi" w:hAnsiTheme="minorHAnsi" w:cstheme="minorHAnsi"/>
          <w:lang w:val="fr-CA"/>
        </w:rPr>
        <w:t>aSGE (SAP) ne gén</w:t>
      </w:r>
      <w:r>
        <w:rPr>
          <w:rFonts w:asciiTheme="minorHAnsi" w:hAnsiTheme="minorHAnsi" w:cstheme="minorHAnsi"/>
          <w:lang w:val="fr-CA"/>
        </w:rPr>
        <w:t>è</w:t>
      </w:r>
      <w:r w:rsidR="003F63CD" w:rsidRPr="003F63CD">
        <w:rPr>
          <w:rFonts w:asciiTheme="minorHAnsi" w:hAnsiTheme="minorHAnsi" w:cstheme="minorHAnsi"/>
          <w:lang w:val="fr-CA"/>
        </w:rPr>
        <w:t xml:space="preserve">re aucun engagement salarial. Les engagements manuels ne devraient pas être créés pour aucun type de dépenses liées au personnel, à l’exception des dépenses du programme de fierté et de reconnaissance puisqu’elles sont effectuées </w:t>
      </w:r>
      <w:r>
        <w:rPr>
          <w:rFonts w:asciiTheme="minorHAnsi" w:hAnsiTheme="minorHAnsi" w:cstheme="minorHAnsi"/>
          <w:lang w:val="fr-CA"/>
        </w:rPr>
        <w:t>avec</w:t>
      </w:r>
      <w:r w:rsidR="003F63CD" w:rsidRPr="003F63CD">
        <w:rPr>
          <w:rFonts w:asciiTheme="minorHAnsi" w:hAnsiTheme="minorHAnsi" w:cstheme="minorHAnsi"/>
          <w:lang w:val="fr-CA"/>
        </w:rPr>
        <w:t xml:space="preserve"> une carte d’achat.</w:t>
      </w:r>
    </w:p>
    <w:p w14:paraId="5952635E" w14:textId="77777777" w:rsidR="003F63CD" w:rsidRPr="003F63CD" w:rsidRDefault="003F63CD" w:rsidP="003F63CD">
      <w:pPr>
        <w:rPr>
          <w:rFonts w:asciiTheme="minorHAnsi" w:hAnsiTheme="minorHAnsi" w:cstheme="minorHAnsi"/>
          <w:lang w:val="fr-CA"/>
        </w:rPr>
      </w:pPr>
    </w:p>
    <w:p w14:paraId="48BAF3BA" w14:textId="31839051"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 xml:space="preserve">Pour tenir compte du fait qu’il n’y a aucun engagement salarial dans maSGE (SAP), les rapports de l’outil BI incluent la Réserve du personnel, qui </w:t>
      </w:r>
      <w:r w:rsidR="00F02EEE">
        <w:rPr>
          <w:rFonts w:asciiTheme="minorHAnsi" w:hAnsiTheme="minorHAnsi" w:cstheme="minorHAnsi"/>
          <w:lang w:val="fr-CA"/>
        </w:rPr>
        <w:t xml:space="preserve">est un champ qui calcule </w:t>
      </w:r>
      <w:r w:rsidRPr="003F63CD">
        <w:rPr>
          <w:rFonts w:asciiTheme="minorHAnsi" w:hAnsiTheme="minorHAnsi" w:cstheme="minorHAnsi"/>
          <w:lang w:val="fr-CA"/>
        </w:rPr>
        <w:t xml:space="preserve">les engagements salariaux en cours dans l’éventualité où toutes les mesures planifiées se réalisent. Le calcul de la Réserve </w:t>
      </w:r>
      <w:r w:rsidR="00C60E4D">
        <w:rPr>
          <w:rFonts w:asciiTheme="minorHAnsi" w:hAnsiTheme="minorHAnsi" w:cstheme="minorHAnsi"/>
          <w:lang w:val="fr-CA"/>
        </w:rPr>
        <w:t xml:space="preserve">du </w:t>
      </w:r>
      <w:r w:rsidRPr="003F63CD">
        <w:rPr>
          <w:rFonts w:asciiTheme="minorHAnsi" w:hAnsiTheme="minorHAnsi" w:cstheme="minorHAnsi"/>
          <w:lang w:val="fr-CA"/>
        </w:rPr>
        <w:t>personnel est le suivant : les prévisions de l’OPS moins les dépenses salariales.</w:t>
      </w:r>
    </w:p>
    <w:p w14:paraId="4724F399" w14:textId="77777777" w:rsidR="003F63CD" w:rsidRPr="003F63CD" w:rsidRDefault="003F63CD" w:rsidP="003F63CD">
      <w:pPr>
        <w:rPr>
          <w:rFonts w:asciiTheme="minorHAnsi" w:hAnsiTheme="minorHAnsi" w:cstheme="minorHAnsi"/>
          <w:lang w:val="fr-CA"/>
        </w:rPr>
      </w:pPr>
    </w:p>
    <w:p w14:paraId="6FA203EE" w14:textId="0468ABA6" w:rsidR="003F63CD" w:rsidRPr="003F63CD" w:rsidRDefault="003F63CD" w:rsidP="00E8661F">
      <w:pPr>
        <w:pStyle w:val="Heading2"/>
        <w:numPr>
          <w:ilvl w:val="1"/>
          <w:numId w:val="2"/>
        </w:numPr>
        <w:rPr>
          <w:rFonts w:asciiTheme="minorHAnsi" w:hAnsiTheme="minorHAnsi" w:cstheme="minorHAnsi"/>
          <w:lang w:val="fr-CA"/>
        </w:rPr>
      </w:pPr>
      <w:bookmarkStart w:id="41" w:name="_Toc356388383"/>
      <w:bookmarkStart w:id="42" w:name="_Toc513716506"/>
      <w:bookmarkStart w:id="43" w:name="_Toc72402518"/>
      <w:r w:rsidRPr="003F63CD">
        <w:rPr>
          <w:rFonts w:asciiTheme="minorHAnsi" w:hAnsiTheme="minorHAnsi" w:cstheme="minorHAnsi"/>
          <w:lang w:val="fr-CA"/>
        </w:rPr>
        <w:t>Prévisions non liées au personnel</w:t>
      </w:r>
      <w:bookmarkEnd w:id="41"/>
      <w:bookmarkEnd w:id="42"/>
      <w:bookmarkEnd w:id="43"/>
    </w:p>
    <w:p w14:paraId="357DA903" w14:textId="77777777" w:rsidR="003F63CD" w:rsidRPr="003F63CD" w:rsidRDefault="003F63CD" w:rsidP="003F63CD">
      <w:pPr>
        <w:rPr>
          <w:rFonts w:asciiTheme="minorHAnsi" w:hAnsiTheme="minorHAnsi" w:cstheme="minorHAnsi"/>
          <w:lang w:val="fr-CA"/>
        </w:rPr>
      </w:pPr>
    </w:p>
    <w:p w14:paraId="30C9B321" w14:textId="77777777"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Les prévisions non liées au personnel comprennent :</w:t>
      </w:r>
    </w:p>
    <w:p w14:paraId="44E9C710" w14:textId="35DD7905" w:rsidR="00DE5D30" w:rsidRPr="00CB5D5C" w:rsidRDefault="00CD7BF8" w:rsidP="00CB5D5C">
      <w:pPr>
        <w:pStyle w:val="ListParagraph"/>
        <w:numPr>
          <w:ilvl w:val="0"/>
          <w:numId w:val="6"/>
        </w:numPr>
        <w:spacing w:before="120"/>
        <w:ind w:left="1077" w:hanging="357"/>
        <w:rPr>
          <w:rFonts w:asciiTheme="minorHAnsi" w:hAnsiTheme="minorHAnsi" w:cstheme="minorHAnsi"/>
          <w:bCs/>
          <w:lang w:val="fr-CA"/>
        </w:rPr>
      </w:pPr>
      <w:r w:rsidRPr="003F63CD">
        <w:rPr>
          <w:rFonts w:asciiTheme="minorHAnsi" w:hAnsiTheme="minorHAnsi" w:cstheme="minorHAnsi"/>
          <w:bCs/>
          <w:lang w:val="fr-CA"/>
        </w:rPr>
        <w:t>Les</w:t>
      </w:r>
      <w:r w:rsidR="003F63CD" w:rsidRPr="003F63CD">
        <w:rPr>
          <w:rFonts w:asciiTheme="minorHAnsi" w:hAnsiTheme="minorHAnsi" w:cstheme="minorHAnsi"/>
          <w:bCs/>
          <w:lang w:val="fr-CA"/>
        </w:rPr>
        <w:t xml:space="preserve"> prévisions de fonctionnement et d’entretien (F et E) incluant les affectations contrôlées séparément (ACS)</w:t>
      </w:r>
      <w:r w:rsidR="00CB5D5C">
        <w:rPr>
          <w:rFonts w:asciiTheme="minorHAnsi" w:hAnsiTheme="minorHAnsi" w:cstheme="minorHAnsi"/>
          <w:bCs/>
          <w:lang w:val="fr-CA"/>
        </w:rPr>
        <w:t>,</w:t>
      </w:r>
      <w:r w:rsidR="00F02EEE">
        <w:rPr>
          <w:rFonts w:asciiTheme="minorHAnsi" w:hAnsiTheme="minorHAnsi" w:cstheme="minorHAnsi"/>
          <w:bCs/>
          <w:lang w:val="fr-CA"/>
        </w:rPr>
        <w:t xml:space="preserve"> les Ententes de partenariat pour la prestation de services (sous LMEDS)</w:t>
      </w:r>
      <w:r w:rsidR="00CB5D5C">
        <w:rPr>
          <w:rFonts w:asciiTheme="minorHAnsi" w:hAnsiTheme="minorHAnsi" w:cstheme="minorHAnsi"/>
          <w:bCs/>
          <w:lang w:val="fr-CA"/>
        </w:rPr>
        <w:t xml:space="preserve"> et </w:t>
      </w:r>
      <w:r w:rsidR="00DE5D30" w:rsidRPr="00CB5D5C">
        <w:rPr>
          <w:rFonts w:asciiTheme="minorHAnsi" w:hAnsiTheme="minorHAnsi" w:cstheme="minorHAnsi"/>
          <w:bCs/>
          <w:lang w:val="fr-CA"/>
        </w:rPr>
        <w:t>les prévisions des mesures en réponse à la COVID-19</w:t>
      </w:r>
      <w:r w:rsidR="00CB5D5C">
        <w:rPr>
          <w:rFonts w:asciiTheme="minorHAnsi" w:hAnsiTheme="minorHAnsi" w:cstheme="minorHAnsi"/>
          <w:bCs/>
          <w:lang w:val="fr-CA"/>
        </w:rPr>
        <w:t>;</w:t>
      </w:r>
    </w:p>
    <w:p w14:paraId="578694FE" w14:textId="16863845" w:rsidR="003F63CD" w:rsidRPr="003F63CD" w:rsidRDefault="00CD7BF8" w:rsidP="003F63CD">
      <w:pPr>
        <w:pStyle w:val="ListParagraph"/>
        <w:numPr>
          <w:ilvl w:val="0"/>
          <w:numId w:val="6"/>
        </w:numPr>
        <w:spacing w:before="120"/>
        <w:ind w:left="1077" w:hanging="357"/>
        <w:rPr>
          <w:rFonts w:asciiTheme="minorHAnsi" w:hAnsiTheme="minorHAnsi" w:cstheme="minorHAnsi"/>
          <w:bCs/>
          <w:lang w:val="fr-CA"/>
        </w:rPr>
      </w:pPr>
      <w:r w:rsidRPr="003F63CD">
        <w:rPr>
          <w:rFonts w:asciiTheme="minorHAnsi" w:hAnsiTheme="minorHAnsi" w:cstheme="minorHAnsi"/>
          <w:bCs/>
          <w:lang w:val="fr-CA"/>
        </w:rPr>
        <w:t>Les</w:t>
      </w:r>
      <w:r w:rsidR="003F63CD" w:rsidRPr="003F63CD">
        <w:rPr>
          <w:rFonts w:asciiTheme="minorHAnsi" w:hAnsiTheme="minorHAnsi" w:cstheme="minorHAnsi"/>
          <w:bCs/>
          <w:lang w:val="fr-CA"/>
        </w:rPr>
        <w:t xml:space="preserve"> prévisions de subventions et contributions (S et C);</w:t>
      </w:r>
    </w:p>
    <w:p w14:paraId="610EA87E" w14:textId="3629780C" w:rsidR="003F63CD" w:rsidRPr="003F63CD" w:rsidRDefault="00CD7BF8" w:rsidP="003F63CD">
      <w:pPr>
        <w:pStyle w:val="ListParagraph"/>
        <w:numPr>
          <w:ilvl w:val="0"/>
          <w:numId w:val="6"/>
        </w:numPr>
        <w:spacing w:before="120"/>
        <w:ind w:left="1077" w:hanging="357"/>
        <w:rPr>
          <w:rFonts w:asciiTheme="minorHAnsi" w:hAnsiTheme="minorHAnsi" w:cstheme="minorHAnsi"/>
          <w:bCs/>
          <w:lang w:val="fr-CA"/>
        </w:rPr>
      </w:pPr>
      <w:r w:rsidRPr="003F63CD">
        <w:rPr>
          <w:rFonts w:asciiTheme="minorHAnsi" w:hAnsiTheme="minorHAnsi" w:cstheme="minorHAnsi"/>
          <w:bCs/>
          <w:lang w:val="fr-CA"/>
        </w:rPr>
        <w:t>Les</w:t>
      </w:r>
      <w:r w:rsidR="003F63CD" w:rsidRPr="003F63CD">
        <w:rPr>
          <w:rFonts w:asciiTheme="minorHAnsi" w:hAnsiTheme="minorHAnsi" w:cstheme="minorHAnsi"/>
          <w:bCs/>
          <w:lang w:val="fr-CA"/>
        </w:rPr>
        <w:t xml:space="preserve"> prévisions de revenu net en vertu d’un crédit (RNC) (le recouvrement). </w:t>
      </w:r>
    </w:p>
    <w:p w14:paraId="0A62C9E9" w14:textId="77777777" w:rsidR="003F63CD" w:rsidRPr="003F63CD" w:rsidRDefault="003F63CD" w:rsidP="003F63CD">
      <w:pPr>
        <w:rPr>
          <w:rFonts w:asciiTheme="minorHAnsi" w:hAnsiTheme="minorHAnsi" w:cstheme="minorHAnsi"/>
          <w:bCs/>
          <w:lang w:val="fr-CA"/>
        </w:rPr>
      </w:pPr>
    </w:p>
    <w:p w14:paraId="0AE8A4D9"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bCs/>
          <w:lang w:val="fr-CA"/>
        </w:rPr>
        <w:t>Chaque direction générale/région doit entrer dans l’outil de prévisions non-salariales les prévisions détaillées non liées au personnel, par fonds et compte budgétaire (au niveau des groupes de prévision)</w:t>
      </w:r>
      <w:r w:rsidRPr="003F63CD">
        <w:rPr>
          <w:rFonts w:asciiTheme="minorHAnsi" w:hAnsiTheme="minorHAnsi" w:cstheme="minorHAnsi"/>
          <w:lang w:val="fr-CA"/>
        </w:rPr>
        <w:t>, pour chaque centre financier pour lequel un gestionnaire possède une délégation d’autorité.</w:t>
      </w:r>
    </w:p>
    <w:p w14:paraId="1A08CAF6" w14:textId="77777777" w:rsidR="003F63CD" w:rsidRPr="003F63CD" w:rsidRDefault="003F63CD" w:rsidP="003F63CD">
      <w:pPr>
        <w:spacing w:before="240"/>
        <w:rPr>
          <w:rFonts w:asciiTheme="minorHAnsi" w:hAnsiTheme="minorHAnsi" w:cstheme="minorHAnsi"/>
          <w:bCs/>
          <w:lang w:val="fr-CA"/>
        </w:rPr>
      </w:pPr>
      <w:r w:rsidRPr="003F63CD">
        <w:rPr>
          <w:rFonts w:asciiTheme="minorHAnsi" w:hAnsiTheme="minorHAnsi" w:cstheme="minorHAnsi"/>
          <w:bCs/>
          <w:lang w:val="fr-CA"/>
        </w:rPr>
        <w:t>Pour déterminer les prévisions non liées au personnel, l’organisation doit tenir compte de ses dépenses réelles à ce jour, de ses engagements en cours et de ses plans futurs. Toutes les dépenses et les engagements doivent être vérifiés et, au besoin, corrigés en temps opportun (c.</w:t>
      </w:r>
      <w:r w:rsidRPr="003F63CD">
        <w:rPr>
          <w:rFonts w:asciiTheme="minorHAnsi" w:hAnsiTheme="minorHAnsi" w:cstheme="minorHAnsi"/>
          <w:bCs/>
          <w:lang w:val="fr-CA"/>
        </w:rPr>
        <w:noBreakHyphen/>
        <w:t>à</w:t>
      </w:r>
      <w:r w:rsidRPr="003F63CD">
        <w:rPr>
          <w:rFonts w:asciiTheme="minorHAnsi" w:hAnsiTheme="minorHAnsi" w:cstheme="minorHAnsi"/>
          <w:bCs/>
          <w:lang w:val="fr-CA"/>
        </w:rPr>
        <w:noBreakHyphen/>
        <w:t xml:space="preserve">d. pièces de journal, désengagements, etc.). </w:t>
      </w:r>
      <w:r w:rsidRPr="001A3945">
        <w:rPr>
          <w:rFonts w:asciiTheme="minorHAnsi" w:hAnsiTheme="minorHAnsi" w:cstheme="minorHAnsi"/>
          <w:b/>
          <w:bCs/>
          <w:u w:val="single"/>
          <w:lang w:val="fr-CA"/>
        </w:rPr>
        <w:t>Ceci doit se faire de façon continue.</w:t>
      </w:r>
    </w:p>
    <w:p w14:paraId="5E5F06B3" w14:textId="77777777" w:rsidR="003F63CD" w:rsidRPr="003F63CD" w:rsidRDefault="003F63CD" w:rsidP="003F63CD">
      <w:pPr>
        <w:rPr>
          <w:rFonts w:asciiTheme="minorHAnsi" w:hAnsiTheme="minorHAnsi" w:cstheme="minorHAnsi"/>
          <w:bCs/>
          <w:lang w:val="fr-CA"/>
        </w:rPr>
      </w:pPr>
    </w:p>
    <w:p w14:paraId="7E90D7DE" w14:textId="0C78801F" w:rsidR="003F63CD" w:rsidRPr="003F63CD" w:rsidRDefault="00F21838" w:rsidP="003F63CD">
      <w:pPr>
        <w:rPr>
          <w:rFonts w:asciiTheme="minorHAnsi" w:hAnsiTheme="minorHAnsi" w:cstheme="minorHAnsi"/>
          <w:lang w:val="fr-FR"/>
        </w:rPr>
      </w:pPr>
      <w:r>
        <w:rPr>
          <w:rFonts w:asciiTheme="minorHAnsi" w:hAnsiTheme="minorHAnsi" w:cstheme="minorHAnsi"/>
          <w:lang w:val="fr-FR"/>
        </w:rPr>
        <w:t>Voici</w:t>
      </w:r>
      <w:r w:rsidR="003F63CD" w:rsidRPr="003F63CD">
        <w:rPr>
          <w:rFonts w:asciiTheme="minorHAnsi" w:hAnsiTheme="minorHAnsi" w:cstheme="minorHAnsi"/>
          <w:lang w:val="fr-FR"/>
        </w:rPr>
        <w:t xml:space="preserve"> le lien vers la section </w:t>
      </w:r>
      <w:hyperlink r:id="rId25" w:history="1">
        <w:r w:rsidR="003F63CD" w:rsidRPr="00167341">
          <w:rPr>
            <w:rStyle w:val="Hyperlink"/>
            <w:rFonts w:asciiTheme="minorHAnsi" w:hAnsiTheme="minorHAnsi" w:cstheme="minorHAnsi"/>
            <w:lang w:val="fr-FR"/>
          </w:rPr>
          <w:t>Comptes budgétaires (GP)</w:t>
        </w:r>
      </w:hyperlink>
      <w:r w:rsidR="003F63CD" w:rsidRPr="003F63CD">
        <w:rPr>
          <w:rFonts w:asciiTheme="minorHAnsi" w:hAnsiTheme="minorHAnsi" w:cstheme="minorHAnsi"/>
          <w:lang w:val="fr-FR"/>
        </w:rPr>
        <w:t xml:space="preserve"> du Guide de codage financier ministériel pour accéder à la structure des groupes de prévision à utiliser pour les fins des prévisions F et E dans l’out</w:t>
      </w:r>
      <w:r w:rsidR="00167341">
        <w:rPr>
          <w:rFonts w:asciiTheme="minorHAnsi" w:hAnsiTheme="minorHAnsi" w:cstheme="minorHAnsi"/>
          <w:lang w:val="fr-FR"/>
        </w:rPr>
        <w:t>il de prévisions non-salariales.</w:t>
      </w:r>
    </w:p>
    <w:p w14:paraId="15B64D7F" w14:textId="77777777" w:rsidR="003F63CD" w:rsidRPr="003F63CD" w:rsidRDefault="003F63CD" w:rsidP="003F63CD">
      <w:pPr>
        <w:rPr>
          <w:rFonts w:asciiTheme="minorHAnsi" w:hAnsiTheme="minorHAnsi" w:cstheme="minorHAnsi"/>
          <w:bCs/>
          <w:lang w:val="fr-CA"/>
        </w:rPr>
      </w:pPr>
    </w:p>
    <w:p w14:paraId="0DC7BFB5" w14:textId="77777777"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L’outil de prévisions non-salariales est accessible via le Portail, sous l’entrée Budgétisation et prévision ou Libre-service des gestionnaires dans le répertoire Prévision.</w:t>
      </w:r>
    </w:p>
    <w:p w14:paraId="43122991" w14:textId="77777777" w:rsidR="003F63CD" w:rsidRPr="003F63CD" w:rsidRDefault="003F63CD" w:rsidP="003F63CD">
      <w:pPr>
        <w:rPr>
          <w:rFonts w:asciiTheme="minorHAnsi" w:hAnsiTheme="minorHAnsi" w:cstheme="minorHAnsi"/>
          <w:bCs/>
          <w:lang w:val="fr-CA"/>
        </w:rPr>
      </w:pPr>
    </w:p>
    <w:p w14:paraId="2AD17CF7" w14:textId="6C6A614D" w:rsidR="003F63CD" w:rsidRPr="003F63CD" w:rsidRDefault="003F63CD" w:rsidP="00E8661F">
      <w:pPr>
        <w:pStyle w:val="Heading3"/>
        <w:numPr>
          <w:ilvl w:val="2"/>
          <w:numId w:val="2"/>
        </w:numPr>
        <w:rPr>
          <w:rFonts w:asciiTheme="minorHAnsi" w:hAnsiTheme="minorHAnsi" w:cstheme="minorHAnsi"/>
          <w:lang w:val="fr-CA"/>
        </w:rPr>
      </w:pPr>
      <w:bookmarkStart w:id="44" w:name="_Toc513716507"/>
      <w:bookmarkStart w:id="45" w:name="_Toc72402519"/>
      <w:r w:rsidRPr="003F63CD">
        <w:rPr>
          <w:rFonts w:asciiTheme="minorHAnsi" w:hAnsiTheme="minorHAnsi" w:cstheme="minorHAnsi"/>
          <w:lang w:val="fr-CA"/>
        </w:rPr>
        <w:t>Fenêtre de saisie des prévisions budgétaires</w:t>
      </w:r>
      <w:bookmarkEnd w:id="44"/>
      <w:r w:rsidR="00167341">
        <w:rPr>
          <w:rFonts w:asciiTheme="minorHAnsi" w:hAnsiTheme="minorHAnsi" w:cstheme="minorHAnsi"/>
          <w:lang w:val="fr-CA"/>
        </w:rPr>
        <w:t xml:space="preserve"> (FR11)</w:t>
      </w:r>
      <w:bookmarkEnd w:id="45"/>
    </w:p>
    <w:p w14:paraId="41B3C8AD" w14:textId="77777777" w:rsidR="003F63CD" w:rsidRPr="003F63CD" w:rsidRDefault="003F63CD" w:rsidP="003F63CD">
      <w:pPr>
        <w:rPr>
          <w:rFonts w:asciiTheme="minorHAnsi" w:hAnsiTheme="minorHAnsi" w:cstheme="minorHAnsi"/>
          <w:lang w:val="fr-CA"/>
        </w:rPr>
      </w:pPr>
    </w:p>
    <w:p w14:paraId="2926707D" w14:textId="47CA57FE" w:rsidR="003F63CD" w:rsidRDefault="00764CE7" w:rsidP="003F63CD">
      <w:pPr>
        <w:rPr>
          <w:rFonts w:asciiTheme="minorHAnsi" w:hAnsiTheme="minorHAnsi" w:cstheme="minorHAnsi"/>
          <w:bCs/>
          <w:lang w:val="fr-CA"/>
        </w:rPr>
      </w:pPr>
      <w:r w:rsidRPr="00DE5D30">
        <w:rPr>
          <w:rFonts w:asciiTheme="minorHAnsi" w:hAnsiTheme="minorHAnsi" w:cstheme="minorHAnsi"/>
          <w:bCs/>
          <w:lang w:val="fr-CA"/>
        </w:rPr>
        <w:t>L</w:t>
      </w:r>
      <w:r>
        <w:rPr>
          <w:rFonts w:asciiTheme="minorHAnsi" w:hAnsiTheme="minorHAnsi" w:cstheme="minorHAnsi"/>
          <w:bCs/>
          <w:lang w:val="fr-CA"/>
        </w:rPr>
        <w:t>a Fenêtre</w:t>
      </w:r>
      <w:r w:rsidRPr="00DE5D30">
        <w:rPr>
          <w:rFonts w:asciiTheme="minorHAnsi" w:hAnsiTheme="minorHAnsi" w:cstheme="minorHAnsi"/>
          <w:bCs/>
          <w:lang w:val="fr-CA"/>
        </w:rPr>
        <w:t xml:space="preserve"> </w:t>
      </w:r>
      <w:r w:rsidR="00DE5D30" w:rsidRPr="00DE5D30">
        <w:rPr>
          <w:rFonts w:asciiTheme="minorHAnsi" w:hAnsiTheme="minorHAnsi" w:cstheme="minorHAnsi"/>
          <w:bCs/>
          <w:lang w:val="fr-CA"/>
        </w:rPr>
        <w:t>de saisie des prévisions</w:t>
      </w:r>
      <w:r w:rsidR="00DE5D30">
        <w:rPr>
          <w:rFonts w:asciiTheme="minorHAnsi" w:hAnsiTheme="minorHAnsi" w:cstheme="minorHAnsi"/>
          <w:bCs/>
          <w:lang w:val="fr-CA"/>
        </w:rPr>
        <w:t xml:space="preserve"> (FR11)</w:t>
      </w:r>
      <w:r w:rsidR="00DE5D30" w:rsidRPr="00DE5D30">
        <w:rPr>
          <w:rFonts w:asciiTheme="minorHAnsi" w:hAnsiTheme="minorHAnsi" w:cstheme="minorHAnsi"/>
          <w:bCs/>
          <w:lang w:val="fr-CA"/>
        </w:rPr>
        <w:t xml:space="preserve"> de l'outil de prévision</w:t>
      </w:r>
      <w:r w:rsidR="001350BB">
        <w:rPr>
          <w:rFonts w:asciiTheme="minorHAnsi" w:hAnsiTheme="minorHAnsi" w:cstheme="minorHAnsi"/>
          <w:bCs/>
          <w:lang w:val="fr-CA"/>
        </w:rPr>
        <w:t>s</w:t>
      </w:r>
      <w:r w:rsidR="00DE5D30" w:rsidRPr="00DE5D30">
        <w:rPr>
          <w:rFonts w:asciiTheme="minorHAnsi" w:hAnsiTheme="minorHAnsi" w:cstheme="minorHAnsi"/>
          <w:bCs/>
          <w:lang w:val="fr-CA"/>
        </w:rPr>
        <w:t xml:space="preserve"> non</w:t>
      </w:r>
      <w:r w:rsidR="001350BB">
        <w:rPr>
          <w:rFonts w:asciiTheme="minorHAnsi" w:hAnsiTheme="minorHAnsi" w:cstheme="minorHAnsi"/>
          <w:bCs/>
          <w:lang w:val="fr-CA"/>
        </w:rPr>
        <w:t>-</w:t>
      </w:r>
      <w:r w:rsidR="00DE5D30" w:rsidRPr="00DE5D30">
        <w:rPr>
          <w:rFonts w:asciiTheme="minorHAnsi" w:hAnsiTheme="minorHAnsi" w:cstheme="minorHAnsi"/>
          <w:bCs/>
          <w:lang w:val="fr-CA"/>
        </w:rPr>
        <w:t>salariale</w:t>
      </w:r>
      <w:r w:rsidR="001350BB">
        <w:rPr>
          <w:rFonts w:asciiTheme="minorHAnsi" w:hAnsiTheme="minorHAnsi" w:cstheme="minorHAnsi"/>
          <w:bCs/>
          <w:lang w:val="fr-CA"/>
        </w:rPr>
        <w:t>s</w:t>
      </w:r>
      <w:r w:rsidR="00DE5D30" w:rsidRPr="00DE5D30">
        <w:rPr>
          <w:rFonts w:asciiTheme="minorHAnsi" w:hAnsiTheme="minorHAnsi" w:cstheme="minorHAnsi"/>
          <w:bCs/>
          <w:lang w:val="fr-CA"/>
        </w:rPr>
        <w:t xml:space="preserve"> est utilisé pour saisir et </w:t>
      </w:r>
      <w:r w:rsidR="00DE5D30">
        <w:rPr>
          <w:rFonts w:asciiTheme="minorHAnsi" w:hAnsiTheme="minorHAnsi" w:cstheme="minorHAnsi"/>
          <w:bCs/>
          <w:lang w:val="fr-CA"/>
        </w:rPr>
        <w:t>main</w:t>
      </w:r>
      <w:r w:rsidR="00DE5D30" w:rsidRPr="00DE5D30">
        <w:rPr>
          <w:rFonts w:asciiTheme="minorHAnsi" w:hAnsiTheme="minorHAnsi" w:cstheme="minorHAnsi"/>
          <w:bCs/>
          <w:lang w:val="fr-CA"/>
        </w:rPr>
        <w:t xml:space="preserve">tenir à jour les prévisions </w:t>
      </w:r>
      <w:r w:rsidR="00DE5D30">
        <w:rPr>
          <w:rFonts w:asciiTheme="minorHAnsi" w:hAnsiTheme="minorHAnsi" w:cstheme="minorHAnsi"/>
          <w:bCs/>
          <w:lang w:val="fr-CA"/>
        </w:rPr>
        <w:t>non</w:t>
      </w:r>
      <w:r w:rsidR="001350BB">
        <w:rPr>
          <w:rFonts w:asciiTheme="minorHAnsi" w:hAnsiTheme="minorHAnsi" w:cstheme="minorHAnsi"/>
          <w:bCs/>
          <w:lang w:val="fr-CA"/>
        </w:rPr>
        <w:t>-</w:t>
      </w:r>
      <w:r w:rsidR="00DE5D30">
        <w:rPr>
          <w:rFonts w:asciiTheme="minorHAnsi" w:hAnsiTheme="minorHAnsi" w:cstheme="minorHAnsi"/>
          <w:bCs/>
          <w:lang w:val="fr-CA"/>
        </w:rPr>
        <w:t>salariales</w:t>
      </w:r>
      <w:r w:rsidR="00DE5D30" w:rsidRPr="00DE5D30">
        <w:rPr>
          <w:rFonts w:asciiTheme="minorHAnsi" w:hAnsiTheme="minorHAnsi" w:cstheme="minorHAnsi"/>
          <w:bCs/>
          <w:lang w:val="fr-CA"/>
        </w:rPr>
        <w:t xml:space="preserve"> par </w:t>
      </w:r>
      <w:r w:rsidR="00DE5D30">
        <w:rPr>
          <w:rFonts w:asciiTheme="minorHAnsi" w:hAnsiTheme="minorHAnsi" w:cstheme="minorHAnsi"/>
          <w:bCs/>
          <w:lang w:val="fr-CA"/>
        </w:rPr>
        <w:t>centre financier</w:t>
      </w:r>
      <w:r w:rsidR="00DE5D30" w:rsidRPr="00DE5D30">
        <w:rPr>
          <w:rFonts w:asciiTheme="minorHAnsi" w:hAnsiTheme="minorHAnsi" w:cstheme="minorHAnsi"/>
          <w:bCs/>
          <w:lang w:val="fr-CA"/>
        </w:rPr>
        <w:t xml:space="preserve">, </w:t>
      </w:r>
      <w:r w:rsidR="00DE5D30">
        <w:rPr>
          <w:rFonts w:asciiTheme="minorHAnsi" w:hAnsiTheme="minorHAnsi" w:cstheme="minorHAnsi"/>
          <w:bCs/>
          <w:lang w:val="fr-CA"/>
        </w:rPr>
        <w:t>f</w:t>
      </w:r>
      <w:r w:rsidR="00DE5D30" w:rsidRPr="00DE5D30">
        <w:rPr>
          <w:rFonts w:asciiTheme="minorHAnsi" w:hAnsiTheme="minorHAnsi" w:cstheme="minorHAnsi"/>
          <w:bCs/>
          <w:lang w:val="fr-CA"/>
        </w:rPr>
        <w:t>onds</w:t>
      </w:r>
      <w:r w:rsidR="00DE5D30">
        <w:rPr>
          <w:rFonts w:asciiTheme="minorHAnsi" w:hAnsiTheme="minorHAnsi" w:cstheme="minorHAnsi"/>
          <w:bCs/>
          <w:lang w:val="fr-CA"/>
        </w:rPr>
        <w:t xml:space="preserve"> et</w:t>
      </w:r>
      <w:r w:rsidR="00DE5D30" w:rsidRPr="00DE5D30">
        <w:rPr>
          <w:rFonts w:asciiTheme="minorHAnsi" w:hAnsiTheme="minorHAnsi" w:cstheme="minorHAnsi"/>
          <w:bCs/>
          <w:lang w:val="fr-CA"/>
        </w:rPr>
        <w:t xml:space="preserve"> </w:t>
      </w:r>
      <w:r w:rsidR="00DE5D30">
        <w:rPr>
          <w:rFonts w:asciiTheme="minorHAnsi" w:hAnsiTheme="minorHAnsi" w:cstheme="minorHAnsi"/>
          <w:bCs/>
          <w:lang w:val="fr-CA"/>
        </w:rPr>
        <w:t>compte budgétaire</w:t>
      </w:r>
      <w:r w:rsidR="00DE5D30" w:rsidRPr="00DE5D30">
        <w:rPr>
          <w:rFonts w:asciiTheme="minorHAnsi" w:hAnsiTheme="minorHAnsi" w:cstheme="minorHAnsi"/>
          <w:bCs/>
          <w:lang w:val="fr-CA"/>
        </w:rPr>
        <w:t xml:space="preserve"> pour les types de prévision: F</w:t>
      </w:r>
      <w:r w:rsidR="001350BB">
        <w:rPr>
          <w:rFonts w:asciiTheme="minorHAnsi" w:hAnsiTheme="minorHAnsi" w:cstheme="minorHAnsi"/>
          <w:bCs/>
          <w:lang w:val="fr-CA"/>
        </w:rPr>
        <w:t xml:space="preserve"> et </w:t>
      </w:r>
      <w:r w:rsidR="00DE5D30" w:rsidRPr="00DE5D30">
        <w:rPr>
          <w:rFonts w:asciiTheme="minorHAnsi" w:hAnsiTheme="minorHAnsi" w:cstheme="minorHAnsi"/>
          <w:bCs/>
          <w:lang w:val="fr-CA"/>
        </w:rPr>
        <w:t xml:space="preserve">E, Fonds de </w:t>
      </w:r>
      <w:r w:rsidR="00DE5D30" w:rsidRPr="00DE5D30">
        <w:rPr>
          <w:rFonts w:asciiTheme="minorHAnsi" w:hAnsiTheme="minorHAnsi" w:cstheme="minorHAnsi"/>
          <w:bCs/>
          <w:lang w:val="fr-CA"/>
        </w:rPr>
        <w:lastRenderedPageBreak/>
        <w:t xml:space="preserve">programme et </w:t>
      </w:r>
      <w:r w:rsidR="00DE5D30">
        <w:rPr>
          <w:rFonts w:asciiTheme="minorHAnsi" w:hAnsiTheme="minorHAnsi" w:cstheme="minorHAnsi"/>
          <w:bCs/>
          <w:lang w:val="fr-CA"/>
        </w:rPr>
        <w:t>RNC</w:t>
      </w:r>
      <w:r w:rsidR="00DE5D30" w:rsidRPr="00DE5D30">
        <w:rPr>
          <w:rFonts w:asciiTheme="minorHAnsi" w:hAnsiTheme="minorHAnsi" w:cstheme="minorHAnsi"/>
          <w:bCs/>
          <w:lang w:val="fr-CA"/>
        </w:rPr>
        <w:t>. F00 est la version utilisée pour la saisie et est accessible jusqu'à la date de rétractation identifiée dans le calendrier des prévisions ministérielles (</w:t>
      </w:r>
      <w:r w:rsidR="001350BB">
        <w:rPr>
          <w:rFonts w:asciiTheme="minorHAnsi" w:hAnsiTheme="minorHAnsi" w:cstheme="minorHAnsi"/>
          <w:bCs/>
          <w:lang w:val="fr-CA"/>
        </w:rPr>
        <w:t>A</w:t>
      </w:r>
      <w:r w:rsidR="00DE5D30" w:rsidRPr="00DE5D30">
        <w:rPr>
          <w:rFonts w:asciiTheme="minorHAnsi" w:hAnsiTheme="minorHAnsi" w:cstheme="minorHAnsi"/>
          <w:bCs/>
          <w:lang w:val="fr-CA"/>
        </w:rPr>
        <w:t>nnexe A).</w:t>
      </w:r>
    </w:p>
    <w:p w14:paraId="42B62481" w14:textId="77777777" w:rsidR="00DE5D30" w:rsidRPr="003F63CD" w:rsidRDefault="00DE5D30" w:rsidP="003F63CD">
      <w:pPr>
        <w:rPr>
          <w:rFonts w:asciiTheme="minorHAnsi" w:hAnsiTheme="minorHAnsi" w:cstheme="minorHAnsi"/>
          <w:bCs/>
          <w:lang w:val="fr-CA"/>
        </w:rPr>
      </w:pPr>
    </w:p>
    <w:p w14:paraId="60A35270" w14:textId="33432845" w:rsid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La fenêtre de saisie des prévisions budgétaires inclu</w:t>
      </w:r>
      <w:r w:rsidR="00764CE7">
        <w:rPr>
          <w:rFonts w:asciiTheme="minorHAnsi" w:hAnsiTheme="minorHAnsi" w:cstheme="minorHAnsi"/>
          <w:bCs/>
          <w:lang w:val="fr-CA"/>
        </w:rPr>
        <w:t>t</w:t>
      </w:r>
      <w:r w:rsidRPr="003F63CD">
        <w:rPr>
          <w:rFonts w:asciiTheme="minorHAnsi" w:hAnsiTheme="minorHAnsi" w:cstheme="minorHAnsi"/>
          <w:bCs/>
          <w:lang w:val="fr-CA"/>
        </w:rPr>
        <w:t xml:space="preserve"> le budget théorique total (budget approuvé et </w:t>
      </w:r>
      <w:r w:rsidR="00764CE7">
        <w:rPr>
          <w:rFonts w:asciiTheme="minorHAnsi" w:hAnsiTheme="minorHAnsi" w:cstheme="minorHAnsi"/>
          <w:bCs/>
          <w:lang w:val="fr-CA"/>
        </w:rPr>
        <w:t>financement potentiel approuvé pour fin de planification</w:t>
      </w:r>
      <w:r w:rsidRPr="003F63CD">
        <w:rPr>
          <w:rFonts w:asciiTheme="minorHAnsi" w:hAnsiTheme="minorHAnsi" w:cstheme="minorHAnsi"/>
          <w:bCs/>
          <w:lang w:val="fr-CA"/>
        </w:rPr>
        <w:t>), les engagements à ce jour (engagements en suspens et les données réelles), les prévisions de la période précédente, les prévisions de la période courante et une variance.</w:t>
      </w:r>
    </w:p>
    <w:p w14:paraId="749E69E7" w14:textId="77777777" w:rsidR="00DE5D30" w:rsidRDefault="00DE5D30" w:rsidP="003F63CD">
      <w:pPr>
        <w:rPr>
          <w:rFonts w:asciiTheme="minorHAnsi" w:hAnsiTheme="minorHAnsi" w:cstheme="minorHAnsi"/>
          <w:bCs/>
          <w:lang w:val="fr-CA"/>
        </w:rPr>
      </w:pPr>
    </w:p>
    <w:p w14:paraId="7C51AD3D" w14:textId="24E363BB" w:rsidR="00DE5D30" w:rsidRPr="003F63CD" w:rsidRDefault="00DE5D30" w:rsidP="003F63CD">
      <w:pPr>
        <w:rPr>
          <w:rFonts w:asciiTheme="minorHAnsi" w:hAnsiTheme="minorHAnsi" w:cstheme="minorHAnsi"/>
          <w:bCs/>
          <w:lang w:val="fr-CA"/>
        </w:rPr>
      </w:pPr>
      <w:r w:rsidRPr="00DE5D30">
        <w:rPr>
          <w:rFonts w:asciiTheme="minorHAnsi" w:hAnsiTheme="minorHAnsi" w:cstheme="minorHAnsi"/>
          <w:bCs/>
          <w:lang w:val="fr-CA"/>
        </w:rPr>
        <w:t xml:space="preserve">Les montants prévisionnels, les commentaires et les pièces jointes sont copiés </w:t>
      </w:r>
      <w:r w:rsidR="00764CE7">
        <w:rPr>
          <w:rFonts w:asciiTheme="minorHAnsi" w:hAnsiTheme="minorHAnsi" w:cstheme="minorHAnsi"/>
          <w:bCs/>
          <w:lang w:val="fr-CA"/>
        </w:rPr>
        <w:t xml:space="preserve">dans </w:t>
      </w:r>
      <w:r w:rsidR="00F52092">
        <w:rPr>
          <w:rFonts w:asciiTheme="minorHAnsi" w:hAnsiTheme="minorHAnsi" w:cstheme="minorHAnsi"/>
          <w:bCs/>
          <w:lang w:val="fr-CA"/>
        </w:rPr>
        <w:t xml:space="preserve">l’outil de prévisions non-salariales </w:t>
      </w:r>
      <w:r w:rsidRPr="00DE5D30">
        <w:rPr>
          <w:rFonts w:asciiTheme="minorHAnsi" w:hAnsiTheme="minorHAnsi" w:cstheme="minorHAnsi"/>
          <w:bCs/>
          <w:lang w:val="fr-CA"/>
        </w:rPr>
        <w:t>d'une période à l'autre. Cependant, un</w:t>
      </w:r>
      <w:r w:rsidR="00F52092">
        <w:rPr>
          <w:rFonts w:asciiTheme="minorHAnsi" w:hAnsiTheme="minorHAnsi" w:cstheme="minorHAnsi"/>
          <w:bCs/>
          <w:lang w:val="fr-CA"/>
        </w:rPr>
        <w:t>e</w:t>
      </w:r>
      <w:r w:rsidRPr="00DE5D30">
        <w:rPr>
          <w:rFonts w:asciiTheme="minorHAnsi" w:hAnsiTheme="minorHAnsi" w:cstheme="minorHAnsi"/>
          <w:bCs/>
          <w:lang w:val="fr-CA"/>
        </w:rPr>
        <w:t xml:space="preserve"> </w:t>
      </w:r>
      <w:r w:rsidR="00F52092">
        <w:rPr>
          <w:rFonts w:asciiTheme="minorHAnsi" w:hAnsiTheme="minorHAnsi" w:cstheme="minorHAnsi"/>
          <w:bCs/>
          <w:lang w:val="fr-CA"/>
        </w:rPr>
        <w:t xml:space="preserve">revue </w:t>
      </w:r>
      <w:r w:rsidRPr="00DE5D30">
        <w:rPr>
          <w:rFonts w:asciiTheme="minorHAnsi" w:hAnsiTheme="minorHAnsi" w:cstheme="minorHAnsi"/>
          <w:bCs/>
          <w:lang w:val="fr-CA"/>
        </w:rPr>
        <w:t>compl</w:t>
      </w:r>
      <w:r w:rsidR="00F52092">
        <w:rPr>
          <w:rFonts w:asciiTheme="minorHAnsi" w:hAnsiTheme="minorHAnsi" w:cstheme="minorHAnsi"/>
          <w:bCs/>
          <w:lang w:val="fr-CA"/>
        </w:rPr>
        <w:t>è</w:t>
      </w:r>
      <w:r w:rsidRPr="00DE5D30">
        <w:rPr>
          <w:rFonts w:asciiTheme="minorHAnsi" w:hAnsiTheme="minorHAnsi" w:cstheme="minorHAnsi"/>
          <w:bCs/>
          <w:lang w:val="fr-CA"/>
        </w:rPr>
        <w:t>t</w:t>
      </w:r>
      <w:r w:rsidR="00F52092">
        <w:rPr>
          <w:rFonts w:asciiTheme="minorHAnsi" w:hAnsiTheme="minorHAnsi" w:cstheme="minorHAnsi"/>
          <w:bCs/>
          <w:lang w:val="fr-CA"/>
        </w:rPr>
        <w:t>e</w:t>
      </w:r>
      <w:r w:rsidRPr="00DE5D30">
        <w:rPr>
          <w:rFonts w:asciiTheme="minorHAnsi" w:hAnsiTheme="minorHAnsi" w:cstheme="minorHAnsi"/>
          <w:bCs/>
          <w:lang w:val="fr-CA"/>
        </w:rPr>
        <w:t xml:space="preserve"> à chaque période est requis</w:t>
      </w:r>
      <w:r w:rsidR="00F52092">
        <w:rPr>
          <w:rFonts w:asciiTheme="minorHAnsi" w:hAnsiTheme="minorHAnsi" w:cstheme="minorHAnsi"/>
          <w:bCs/>
          <w:lang w:val="fr-CA"/>
        </w:rPr>
        <w:t>e</w:t>
      </w:r>
      <w:r w:rsidRPr="00DE5D30">
        <w:rPr>
          <w:rFonts w:asciiTheme="minorHAnsi" w:hAnsiTheme="minorHAnsi" w:cstheme="minorHAnsi"/>
          <w:bCs/>
          <w:lang w:val="fr-CA"/>
        </w:rPr>
        <w:t>.</w:t>
      </w:r>
    </w:p>
    <w:p w14:paraId="646FF3C5" w14:textId="77777777" w:rsidR="003F63CD" w:rsidRPr="003F63CD" w:rsidRDefault="003F63CD" w:rsidP="003F63CD">
      <w:pPr>
        <w:rPr>
          <w:rFonts w:asciiTheme="minorHAnsi" w:hAnsiTheme="minorHAnsi" w:cstheme="minorHAnsi"/>
          <w:bCs/>
          <w:highlight w:val="yellow"/>
          <w:lang w:val="fr-CA"/>
        </w:rPr>
      </w:pPr>
    </w:p>
    <w:p w14:paraId="35E7BB16" w14:textId="77777777"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L’écran de saisie des prévisions budgétaires inclut :</w:t>
      </w:r>
    </w:p>
    <w:p w14:paraId="160111C3" w14:textId="77777777" w:rsidR="003F63CD" w:rsidRPr="003F63CD" w:rsidRDefault="003F63CD" w:rsidP="003F63CD">
      <w:pPr>
        <w:rPr>
          <w:rFonts w:asciiTheme="minorHAnsi" w:hAnsiTheme="minorHAnsi" w:cstheme="minorHAnsi"/>
          <w:bCs/>
          <w:highlight w:val="yellow"/>
          <w:lang w:val="fr-CA"/>
        </w:rPr>
      </w:pPr>
    </w:p>
    <w:p w14:paraId="4213265A" w14:textId="77777777" w:rsidR="003F63CD" w:rsidRPr="003F63CD" w:rsidRDefault="003F63CD" w:rsidP="003F63CD">
      <w:pPr>
        <w:pStyle w:val="ListParagraph"/>
        <w:numPr>
          <w:ilvl w:val="0"/>
          <w:numId w:val="18"/>
        </w:numPr>
        <w:contextualSpacing/>
        <w:rPr>
          <w:rFonts w:asciiTheme="minorHAnsi" w:hAnsiTheme="minorHAnsi" w:cstheme="minorHAnsi"/>
          <w:bCs/>
          <w:lang w:val="fr-CA"/>
        </w:rPr>
      </w:pPr>
      <w:r w:rsidRPr="003F63CD">
        <w:rPr>
          <w:rFonts w:asciiTheme="minorHAnsi" w:hAnsiTheme="minorHAnsi" w:cstheme="minorHAnsi"/>
          <w:bCs/>
          <w:lang w:val="fr-CA"/>
        </w:rPr>
        <w:t>Détails des prévisions</w:t>
      </w:r>
    </w:p>
    <w:p w14:paraId="73B33398" w14:textId="0F87C373" w:rsidR="003F63CD" w:rsidRPr="003F63CD" w:rsidRDefault="003F63CD" w:rsidP="003F63CD">
      <w:pPr>
        <w:pStyle w:val="ListParagraph"/>
        <w:ind w:left="784"/>
        <w:rPr>
          <w:rFonts w:asciiTheme="minorHAnsi" w:hAnsiTheme="minorHAnsi" w:cstheme="minorHAnsi"/>
          <w:bCs/>
          <w:lang w:val="fr-CA"/>
        </w:rPr>
      </w:pPr>
      <w:r w:rsidRPr="003F63CD">
        <w:rPr>
          <w:rFonts w:asciiTheme="minorHAnsi" w:hAnsiTheme="minorHAnsi" w:cstheme="minorHAnsi"/>
          <w:bCs/>
          <w:lang w:val="fr-CA"/>
        </w:rPr>
        <w:t>On peut utiliser la fonction détails de</w:t>
      </w:r>
      <w:r w:rsidR="00764CE7">
        <w:rPr>
          <w:rFonts w:asciiTheme="minorHAnsi" w:hAnsiTheme="minorHAnsi" w:cstheme="minorHAnsi"/>
          <w:bCs/>
          <w:lang w:val="fr-CA"/>
        </w:rPr>
        <w:t>s</w:t>
      </w:r>
      <w:r w:rsidRPr="003F63CD">
        <w:rPr>
          <w:rFonts w:asciiTheme="minorHAnsi" w:hAnsiTheme="minorHAnsi" w:cstheme="minorHAnsi"/>
          <w:bCs/>
          <w:lang w:val="fr-CA"/>
        </w:rPr>
        <w:t xml:space="preserve"> prévisions pour ajouter de</w:t>
      </w:r>
      <w:r w:rsidR="001C4A03">
        <w:rPr>
          <w:rFonts w:asciiTheme="minorHAnsi" w:hAnsiTheme="minorHAnsi" w:cstheme="minorHAnsi"/>
          <w:bCs/>
          <w:lang w:val="fr-CA"/>
        </w:rPr>
        <w:t>s</w:t>
      </w:r>
      <w:r w:rsidRPr="003F63CD">
        <w:rPr>
          <w:rFonts w:asciiTheme="minorHAnsi" w:hAnsiTheme="minorHAnsi" w:cstheme="minorHAnsi"/>
          <w:bCs/>
          <w:lang w:val="fr-CA"/>
        </w:rPr>
        <w:t xml:space="preserve"> détails additionnels pendant la saisie d’une prévision pour chaque compte budgétaire pour un centre financier donné. Les renseignements détaillés peuvent être additionnés pour indiquer le montant total des prévisions.</w:t>
      </w:r>
    </w:p>
    <w:p w14:paraId="3CCF3373" w14:textId="77777777" w:rsidR="003F63CD" w:rsidRPr="003F63CD" w:rsidRDefault="003F63CD" w:rsidP="003F63CD">
      <w:pPr>
        <w:pStyle w:val="ListParagraph"/>
        <w:ind w:left="784"/>
        <w:rPr>
          <w:rFonts w:asciiTheme="minorHAnsi" w:hAnsiTheme="minorHAnsi" w:cstheme="minorHAnsi"/>
          <w:bCs/>
          <w:highlight w:val="yellow"/>
          <w:lang w:val="fr-CA"/>
        </w:rPr>
      </w:pPr>
    </w:p>
    <w:p w14:paraId="73F58589" w14:textId="77777777" w:rsidR="003F63CD" w:rsidRPr="003F63CD" w:rsidRDefault="003F63CD" w:rsidP="003F63CD">
      <w:pPr>
        <w:pStyle w:val="ListParagraph"/>
        <w:numPr>
          <w:ilvl w:val="0"/>
          <w:numId w:val="18"/>
        </w:numPr>
        <w:contextualSpacing/>
        <w:rPr>
          <w:rFonts w:asciiTheme="minorHAnsi" w:hAnsiTheme="minorHAnsi" w:cstheme="minorHAnsi"/>
          <w:bCs/>
          <w:lang w:val="fr-CA"/>
        </w:rPr>
      </w:pPr>
      <w:r w:rsidRPr="003F63CD">
        <w:rPr>
          <w:rFonts w:asciiTheme="minorHAnsi" w:hAnsiTheme="minorHAnsi" w:cstheme="minorHAnsi"/>
          <w:bCs/>
          <w:lang w:val="fr-CA"/>
        </w:rPr>
        <w:t>Commentaires</w:t>
      </w:r>
    </w:p>
    <w:p w14:paraId="2D10D2E7" w14:textId="77777777" w:rsidR="003F63CD" w:rsidRPr="003F63CD" w:rsidRDefault="003F63CD" w:rsidP="003F63CD">
      <w:pPr>
        <w:pStyle w:val="ListParagraph"/>
        <w:ind w:left="784"/>
        <w:rPr>
          <w:rFonts w:asciiTheme="minorHAnsi" w:hAnsiTheme="minorHAnsi" w:cstheme="minorHAnsi"/>
          <w:bCs/>
          <w:lang w:val="fr-CA"/>
        </w:rPr>
      </w:pPr>
      <w:r w:rsidRPr="003F63CD">
        <w:rPr>
          <w:rFonts w:asciiTheme="minorHAnsi" w:hAnsiTheme="minorHAnsi" w:cstheme="minorHAnsi"/>
          <w:bCs/>
          <w:lang w:val="fr-CA"/>
        </w:rPr>
        <w:t>On peut utiliser la fonction de saisie de commentaires pour ajouter de l’information additionnelle. Les commentaires sont entrés au niveau du compte budgétaire et sont enregistrés avec la prévision du centre financier.</w:t>
      </w:r>
    </w:p>
    <w:p w14:paraId="7977C4C0" w14:textId="77777777" w:rsidR="003F63CD" w:rsidRPr="003F63CD" w:rsidRDefault="003F63CD" w:rsidP="003F63CD">
      <w:pPr>
        <w:pStyle w:val="ListParagraph"/>
        <w:ind w:left="784"/>
        <w:rPr>
          <w:rFonts w:asciiTheme="minorHAnsi" w:hAnsiTheme="minorHAnsi" w:cstheme="minorHAnsi"/>
          <w:bCs/>
          <w:highlight w:val="yellow"/>
          <w:lang w:val="fr-CA"/>
        </w:rPr>
      </w:pPr>
    </w:p>
    <w:p w14:paraId="02C3FBFB" w14:textId="77777777" w:rsidR="003F63CD" w:rsidRPr="003F63CD" w:rsidRDefault="003F63CD" w:rsidP="003F63CD">
      <w:pPr>
        <w:pStyle w:val="ListParagraph"/>
        <w:numPr>
          <w:ilvl w:val="0"/>
          <w:numId w:val="18"/>
        </w:numPr>
        <w:contextualSpacing/>
        <w:rPr>
          <w:rFonts w:asciiTheme="minorHAnsi" w:hAnsiTheme="minorHAnsi" w:cstheme="minorHAnsi"/>
          <w:bCs/>
          <w:lang w:val="fr-CA"/>
        </w:rPr>
      </w:pPr>
      <w:r w:rsidRPr="003F63CD">
        <w:rPr>
          <w:rFonts w:asciiTheme="minorHAnsi" w:hAnsiTheme="minorHAnsi" w:cstheme="minorHAnsi"/>
          <w:bCs/>
          <w:lang w:val="fr-CA"/>
        </w:rPr>
        <w:t>Attacher un document</w:t>
      </w:r>
    </w:p>
    <w:p w14:paraId="33A673F9" w14:textId="326CB2B0" w:rsidR="003F63CD" w:rsidRPr="003F63CD" w:rsidRDefault="00167341" w:rsidP="003F63CD">
      <w:pPr>
        <w:pStyle w:val="ListParagraph"/>
        <w:ind w:left="784"/>
        <w:rPr>
          <w:rFonts w:asciiTheme="minorHAnsi" w:hAnsiTheme="minorHAnsi" w:cstheme="minorHAnsi"/>
          <w:bCs/>
          <w:lang w:val="fr-CA"/>
        </w:rPr>
      </w:pPr>
      <w:r>
        <w:rPr>
          <w:rFonts w:asciiTheme="minorHAnsi" w:hAnsiTheme="minorHAnsi" w:cstheme="minorHAnsi"/>
          <w:bCs/>
          <w:lang w:val="fr-CA"/>
        </w:rPr>
        <w:t>U</w:t>
      </w:r>
      <w:r w:rsidR="003F63CD" w:rsidRPr="003F63CD">
        <w:rPr>
          <w:rFonts w:asciiTheme="minorHAnsi" w:hAnsiTheme="minorHAnsi" w:cstheme="minorHAnsi"/>
          <w:bCs/>
          <w:lang w:val="fr-CA"/>
        </w:rPr>
        <w:t xml:space="preserve">n document peut être </w:t>
      </w:r>
      <w:r w:rsidR="00764CE7">
        <w:rPr>
          <w:rFonts w:asciiTheme="minorHAnsi" w:hAnsiTheme="minorHAnsi" w:cstheme="minorHAnsi"/>
          <w:bCs/>
          <w:lang w:val="fr-CA"/>
        </w:rPr>
        <w:t>ajouté en pièce jointe</w:t>
      </w:r>
      <w:r w:rsidR="00764CE7" w:rsidRPr="003F63CD">
        <w:rPr>
          <w:rFonts w:asciiTheme="minorHAnsi" w:hAnsiTheme="minorHAnsi" w:cstheme="minorHAnsi"/>
          <w:bCs/>
          <w:lang w:val="fr-CA"/>
        </w:rPr>
        <w:t xml:space="preserve"> </w:t>
      </w:r>
      <w:r w:rsidR="003F63CD" w:rsidRPr="003F63CD">
        <w:rPr>
          <w:rFonts w:asciiTheme="minorHAnsi" w:hAnsiTheme="minorHAnsi" w:cstheme="minorHAnsi"/>
          <w:bCs/>
          <w:lang w:val="fr-CA"/>
        </w:rPr>
        <w:t xml:space="preserve">pour fournir de l’information supplémentaire. Les documents sont </w:t>
      </w:r>
      <w:r w:rsidRPr="003F63CD">
        <w:rPr>
          <w:rFonts w:asciiTheme="minorHAnsi" w:hAnsiTheme="minorHAnsi" w:cstheme="minorHAnsi"/>
          <w:bCs/>
          <w:lang w:val="fr-CA"/>
        </w:rPr>
        <w:t>attachés</w:t>
      </w:r>
      <w:r w:rsidR="003F63CD" w:rsidRPr="003F63CD">
        <w:rPr>
          <w:rFonts w:asciiTheme="minorHAnsi" w:hAnsiTheme="minorHAnsi" w:cstheme="minorHAnsi"/>
          <w:bCs/>
          <w:lang w:val="fr-CA"/>
        </w:rPr>
        <w:t xml:space="preserve"> au niveau du fond et sauvegardés dans la prévision du CF.</w:t>
      </w:r>
    </w:p>
    <w:p w14:paraId="13BBDC3F" w14:textId="77777777" w:rsidR="003F63CD" w:rsidRPr="003F63CD" w:rsidRDefault="003F63CD" w:rsidP="003F63CD">
      <w:pPr>
        <w:pStyle w:val="ListParagraph"/>
        <w:ind w:left="784"/>
        <w:rPr>
          <w:rFonts w:asciiTheme="minorHAnsi" w:hAnsiTheme="minorHAnsi" w:cstheme="minorHAnsi"/>
          <w:bCs/>
          <w:highlight w:val="yellow"/>
          <w:lang w:val="fr-CA"/>
        </w:rPr>
      </w:pPr>
    </w:p>
    <w:p w14:paraId="28FD1DA0" w14:textId="77777777" w:rsidR="003F63CD" w:rsidRPr="003F63CD" w:rsidRDefault="003F63CD" w:rsidP="003F63CD">
      <w:pPr>
        <w:pStyle w:val="ListParagraph"/>
        <w:numPr>
          <w:ilvl w:val="0"/>
          <w:numId w:val="18"/>
        </w:numPr>
        <w:contextualSpacing/>
        <w:rPr>
          <w:rFonts w:asciiTheme="minorHAnsi" w:hAnsiTheme="minorHAnsi" w:cstheme="minorHAnsi"/>
          <w:lang w:val="fr-CA"/>
        </w:rPr>
      </w:pPr>
      <w:r w:rsidRPr="003F63CD">
        <w:rPr>
          <w:rFonts w:asciiTheme="minorHAnsi" w:hAnsiTheme="minorHAnsi" w:cstheme="minorHAnsi"/>
          <w:lang w:val="fr-CA"/>
        </w:rPr>
        <w:t>Journal des modifications</w:t>
      </w:r>
    </w:p>
    <w:p w14:paraId="11665A92" w14:textId="5BC81E13" w:rsidR="003F63CD" w:rsidRPr="003F63CD" w:rsidRDefault="003F63CD" w:rsidP="003F63CD">
      <w:pPr>
        <w:pStyle w:val="ListParagraph"/>
        <w:ind w:left="784"/>
        <w:rPr>
          <w:rFonts w:asciiTheme="minorHAnsi" w:hAnsiTheme="minorHAnsi" w:cstheme="minorHAnsi"/>
          <w:lang w:val="fr-CA"/>
        </w:rPr>
      </w:pPr>
      <w:r w:rsidRPr="003F63CD">
        <w:rPr>
          <w:rFonts w:asciiTheme="minorHAnsi" w:hAnsiTheme="minorHAnsi" w:cstheme="minorHAnsi"/>
          <w:lang w:val="fr-CA"/>
        </w:rPr>
        <w:t>Le journal des modifications, peut être utilisé pour assurer un suivi des mises à jour apportées à une prévision d’un CF. La fonction montre toutes les mises à jour qui ont été complété</w:t>
      </w:r>
      <w:r w:rsidR="00764CE7">
        <w:rPr>
          <w:rFonts w:asciiTheme="minorHAnsi" w:hAnsiTheme="minorHAnsi" w:cstheme="minorHAnsi"/>
          <w:lang w:val="fr-CA"/>
        </w:rPr>
        <w:t>e</w:t>
      </w:r>
      <w:r w:rsidRPr="003F63CD">
        <w:rPr>
          <w:rFonts w:asciiTheme="minorHAnsi" w:hAnsiTheme="minorHAnsi" w:cstheme="minorHAnsi"/>
          <w:lang w:val="fr-CA"/>
        </w:rPr>
        <w:t xml:space="preserve">s au niveau du fond et du GP pour un CF donné. </w:t>
      </w:r>
    </w:p>
    <w:p w14:paraId="1EAD458B" w14:textId="77777777" w:rsidR="003F63CD" w:rsidRPr="003F63CD" w:rsidRDefault="003F63CD" w:rsidP="003F63CD">
      <w:pPr>
        <w:pStyle w:val="ListParagraph"/>
        <w:ind w:left="784"/>
        <w:rPr>
          <w:rFonts w:asciiTheme="minorHAnsi" w:hAnsiTheme="minorHAnsi" w:cstheme="minorHAnsi"/>
          <w:lang w:val="fr-CA"/>
        </w:rPr>
      </w:pPr>
    </w:p>
    <w:p w14:paraId="7851A94E" w14:textId="783C174C" w:rsidR="003F63CD" w:rsidRPr="003F63CD" w:rsidRDefault="00764CE7" w:rsidP="003F63CD">
      <w:pPr>
        <w:rPr>
          <w:rFonts w:asciiTheme="minorHAnsi" w:hAnsiTheme="minorHAnsi" w:cstheme="minorHAnsi"/>
          <w:bCs/>
          <w:lang w:val="fr-CA"/>
        </w:rPr>
      </w:pPr>
      <w:r>
        <w:rPr>
          <w:rFonts w:asciiTheme="minorHAnsi" w:hAnsiTheme="minorHAnsi" w:cstheme="minorHAnsi"/>
          <w:lang w:val="fr-CA"/>
        </w:rPr>
        <w:t>Voici le lien</w:t>
      </w:r>
      <w:r w:rsidR="003F63CD" w:rsidRPr="003F63CD">
        <w:rPr>
          <w:rFonts w:asciiTheme="minorHAnsi" w:hAnsiTheme="minorHAnsi" w:cstheme="minorHAnsi"/>
          <w:lang w:val="fr-CA"/>
        </w:rPr>
        <w:t xml:space="preserve"> pour </w:t>
      </w:r>
      <w:r>
        <w:rPr>
          <w:rFonts w:asciiTheme="minorHAnsi" w:hAnsiTheme="minorHAnsi" w:cstheme="minorHAnsi"/>
          <w:lang w:val="fr-CA"/>
        </w:rPr>
        <w:t>accéder</w:t>
      </w:r>
      <w:r w:rsidR="003F63CD" w:rsidRPr="003F63CD">
        <w:rPr>
          <w:rFonts w:asciiTheme="minorHAnsi" w:hAnsiTheme="minorHAnsi" w:cstheme="minorHAnsi"/>
          <w:lang w:val="fr-CA"/>
        </w:rPr>
        <w:t xml:space="preserve"> </w:t>
      </w:r>
      <w:r>
        <w:rPr>
          <w:rFonts w:asciiTheme="minorHAnsi" w:hAnsiTheme="minorHAnsi" w:cstheme="minorHAnsi"/>
          <w:lang w:val="fr-CA"/>
        </w:rPr>
        <w:t>aux</w:t>
      </w:r>
      <w:r w:rsidR="003F63CD" w:rsidRPr="003F63CD">
        <w:rPr>
          <w:rFonts w:asciiTheme="minorHAnsi" w:hAnsiTheme="minorHAnsi" w:cstheme="minorHAnsi"/>
          <w:lang w:val="fr-CA"/>
        </w:rPr>
        <w:t xml:space="preserve"> </w:t>
      </w:r>
      <w:hyperlink r:id="rId26" w:history="1">
        <w:r w:rsidR="003F63CD" w:rsidRPr="003F63CD">
          <w:rPr>
            <w:rStyle w:val="Hyperlink"/>
            <w:rFonts w:asciiTheme="minorHAnsi" w:hAnsiTheme="minorHAnsi" w:cstheme="minorHAnsi"/>
            <w:lang w:val="fr-CA"/>
          </w:rPr>
          <w:t>procédures détaillées</w:t>
        </w:r>
      </w:hyperlink>
      <w:r w:rsidR="003F63CD" w:rsidRPr="003F63CD">
        <w:rPr>
          <w:rFonts w:asciiTheme="minorHAnsi" w:hAnsiTheme="minorHAnsi" w:cstheme="minorHAnsi"/>
          <w:lang w:val="fr-CA"/>
        </w:rPr>
        <w:t xml:space="preserve"> </w:t>
      </w:r>
      <w:r>
        <w:rPr>
          <w:rFonts w:asciiTheme="minorHAnsi" w:hAnsiTheme="minorHAnsi" w:cstheme="minorHAnsi"/>
          <w:lang w:val="fr-CA"/>
        </w:rPr>
        <w:t xml:space="preserve">de maSGE (SAP) </w:t>
      </w:r>
      <w:r w:rsidR="003F63CD" w:rsidRPr="003F63CD">
        <w:rPr>
          <w:rFonts w:asciiTheme="minorHAnsi" w:hAnsiTheme="minorHAnsi" w:cstheme="minorHAnsi"/>
          <w:lang w:val="fr-CA"/>
        </w:rPr>
        <w:t>de l’outil de prévision</w:t>
      </w:r>
      <w:r w:rsidR="001350BB">
        <w:rPr>
          <w:rFonts w:asciiTheme="minorHAnsi" w:hAnsiTheme="minorHAnsi" w:cstheme="minorHAnsi"/>
          <w:lang w:val="fr-CA"/>
        </w:rPr>
        <w:t>s</w:t>
      </w:r>
      <w:r w:rsidR="003F63CD" w:rsidRPr="003F63CD">
        <w:rPr>
          <w:rFonts w:asciiTheme="minorHAnsi" w:hAnsiTheme="minorHAnsi" w:cstheme="minorHAnsi"/>
          <w:lang w:val="fr-CA"/>
        </w:rPr>
        <w:t xml:space="preserve"> non-salariale</w:t>
      </w:r>
      <w:r w:rsidR="001350BB">
        <w:rPr>
          <w:rFonts w:asciiTheme="minorHAnsi" w:hAnsiTheme="minorHAnsi" w:cstheme="minorHAnsi"/>
          <w:lang w:val="fr-CA"/>
        </w:rPr>
        <w:t>s</w:t>
      </w:r>
      <w:r w:rsidR="003F63CD" w:rsidRPr="003F63CD">
        <w:rPr>
          <w:rFonts w:asciiTheme="minorHAnsi" w:hAnsiTheme="minorHAnsi" w:cstheme="minorHAnsi"/>
          <w:lang w:val="fr-CA"/>
        </w:rPr>
        <w:t>.</w:t>
      </w:r>
      <w:r w:rsidR="003F63CD" w:rsidRPr="003F63CD">
        <w:rPr>
          <w:rFonts w:asciiTheme="minorHAnsi" w:hAnsiTheme="minorHAnsi" w:cstheme="minorHAnsi"/>
          <w:bCs/>
          <w:lang w:val="fr-CA"/>
        </w:rPr>
        <w:t xml:space="preserve"> </w:t>
      </w:r>
    </w:p>
    <w:p w14:paraId="6FD8FDEF" w14:textId="77777777" w:rsidR="003F63CD" w:rsidRPr="003F63CD" w:rsidRDefault="003F63CD" w:rsidP="003F63CD">
      <w:pPr>
        <w:rPr>
          <w:rFonts w:asciiTheme="minorHAnsi" w:hAnsiTheme="minorHAnsi" w:cstheme="minorHAnsi"/>
          <w:bCs/>
          <w:lang w:val="fr-CA"/>
        </w:rPr>
      </w:pPr>
    </w:p>
    <w:p w14:paraId="7292A98A" w14:textId="22DEDAB7" w:rsidR="003F63CD" w:rsidRPr="003F63CD" w:rsidRDefault="003F63CD" w:rsidP="00E8661F">
      <w:pPr>
        <w:pStyle w:val="Heading3"/>
        <w:numPr>
          <w:ilvl w:val="2"/>
          <w:numId w:val="2"/>
        </w:numPr>
        <w:rPr>
          <w:rFonts w:asciiTheme="minorHAnsi" w:hAnsiTheme="minorHAnsi" w:cstheme="minorHAnsi"/>
          <w:lang w:val="fr-CA"/>
        </w:rPr>
      </w:pPr>
      <w:bookmarkStart w:id="46" w:name="_Toc513716508"/>
      <w:bookmarkStart w:id="47" w:name="_Toc72402520"/>
      <w:r w:rsidRPr="003F63CD">
        <w:rPr>
          <w:rFonts w:asciiTheme="minorHAnsi" w:hAnsiTheme="minorHAnsi" w:cstheme="minorHAnsi"/>
          <w:lang w:val="fr-CA"/>
        </w:rPr>
        <w:t>Rapport de la saisie de prévision</w:t>
      </w:r>
      <w:bookmarkEnd w:id="46"/>
      <w:r w:rsidR="00366A71">
        <w:rPr>
          <w:rFonts w:asciiTheme="minorHAnsi" w:hAnsiTheme="minorHAnsi" w:cstheme="minorHAnsi"/>
          <w:lang w:val="fr-CA"/>
        </w:rPr>
        <w:t xml:space="preserve"> (FR12)</w:t>
      </w:r>
      <w:bookmarkEnd w:id="47"/>
    </w:p>
    <w:p w14:paraId="7F7F0CBD" w14:textId="77777777" w:rsidR="003F63CD" w:rsidRPr="003F63CD" w:rsidRDefault="003F63CD" w:rsidP="003F63CD">
      <w:pPr>
        <w:rPr>
          <w:rFonts w:asciiTheme="minorHAnsi" w:hAnsiTheme="minorHAnsi" w:cstheme="minorHAnsi"/>
          <w:lang w:val="fr-CA"/>
        </w:rPr>
      </w:pPr>
    </w:p>
    <w:p w14:paraId="4818A75F" w14:textId="65C493D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lastRenderedPageBreak/>
        <w:t xml:space="preserve">Le </w:t>
      </w:r>
      <w:r w:rsidR="00764CE7">
        <w:rPr>
          <w:rFonts w:asciiTheme="minorHAnsi" w:hAnsiTheme="minorHAnsi" w:cstheme="minorHAnsi"/>
          <w:lang w:val="fr-CA"/>
        </w:rPr>
        <w:t>R</w:t>
      </w:r>
      <w:r w:rsidRPr="003F63CD">
        <w:rPr>
          <w:rFonts w:asciiTheme="minorHAnsi" w:hAnsiTheme="minorHAnsi" w:cstheme="minorHAnsi"/>
          <w:lang w:val="fr-CA"/>
        </w:rPr>
        <w:t xml:space="preserve">apport de la saisie de prévision </w:t>
      </w:r>
      <w:r w:rsidR="00DE5D30">
        <w:rPr>
          <w:rFonts w:asciiTheme="minorHAnsi" w:hAnsiTheme="minorHAnsi" w:cstheme="minorHAnsi"/>
          <w:lang w:val="fr-CA"/>
        </w:rPr>
        <w:t>(FR12) provenant de l’outil de prévision</w:t>
      </w:r>
      <w:r w:rsidR="001C4A03">
        <w:rPr>
          <w:rFonts w:asciiTheme="minorHAnsi" w:hAnsiTheme="minorHAnsi" w:cstheme="minorHAnsi"/>
          <w:lang w:val="fr-CA"/>
        </w:rPr>
        <w:t>s</w:t>
      </w:r>
      <w:r w:rsidR="00DE5D30">
        <w:rPr>
          <w:rFonts w:asciiTheme="minorHAnsi" w:hAnsiTheme="minorHAnsi" w:cstheme="minorHAnsi"/>
          <w:lang w:val="fr-CA"/>
        </w:rPr>
        <w:t xml:space="preserve"> non-salariale</w:t>
      </w:r>
      <w:r w:rsidR="001C4A03">
        <w:rPr>
          <w:rFonts w:asciiTheme="minorHAnsi" w:hAnsiTheme="minorHAnsi" w:cstheme="minorHAnsi"/>
          <w:lang w:val="fr-CA"/>
        </w:rPr>
        <w:t>s</w:t>
      </w:r>
      <w:r w:rsidR="00DE5D30">
        <w:rPr>
          <w:rFonts w:asciiTheme="minorHAnsi" w:hAnsiTheme="minorHAnsi" w:cstheme="minorHAnsi"/>
          <w:lang w:val="fr-CA"/>
        </w:rPr>
        <w:t xml:space="preserve"> </w:t>
      </w:r>
      <w:r w:rsidRPr="003F63CD">
        <w:rPr>
          <w:rFonts w:asciiTheme="minorHAnsi" w:hAnsiTheme="minorHAnsi" w:cstheme="minorHAnsi"/>
          <w:lang w:val="fr-CA"/>
        </w:rPr>
        <w:t xml:space="preserve">est utilisé pour présenter les prévisions et les renseignements qui ont été saisis à </w:t>
      </w:r>
      <w:r w:rsidRPr="003F63CD">
        <w:rPr>
          <w:rFonts w:asciiTheme="minorHAnsi" w:hAnsiTheme="minorHAnsi" w:cstheme="minorHAnsi"/>
          <w:bCs/>
          <w:lang w:val="fr-CA"/>
        </w:rPr>
        <w:t xml:space="preserve">la </w:t>
      </w:r>
      <w:r w:rsidR="00764CE7">
        <w:rPr>
          <w:rFonts w:asciiTheme="minorHAnsi" w:hAnsiTheme="minorHAnsi" w:cstheme="minorHAnsi"/>
          <w:bCs/>
          <w:lang w:val="fr-CA"/>
        </w:rPr>
        <w:t>F</w:t>
      </w:r>
      <w:r w:rsidRPr="003F63CD">
        <w:rPr>
          <w:rFonts w:asciiTheme="minorHAnsi" w:hAnsiTheme="minorHAnsi" w:cstheme="minorHAnsi"/>
          <w:bCs/>
          <w:lang w:val="fr-CA"/>
        </w:rPr>
        <w:t>enêtre de saisie des prévisions budgétaires</w:t>
      </w:r>
      <w:r w:rsidR="00764CE7">
        <w:rPr>
          <w:rFonts w:asciiTheme="minorHAnsi" w:hAnsiTheme="minorHAnsi" w:cstheme="minorHAnsi"/>
          <w:bCs/>
          <w:lang w:val="fr-CA"/>
        </w:rPr>
        <w:t xml:space="preserve"> (FR11)</w:t>
      </w:r>
      <w:r w:rsidRPr="003F63CD">
        <w:rPr>
          <w:rFonts w:asciiTheme="minorHAnsi" w:hAnsiTheme="minorHAnsi" w:cstheme="minorHAnsi"/>
          <w:bCs/>
          <w:lang w:val="fr-CA"/>
        </w:rPr>
        <w:t>,</w:t>
      </w:r>
      <w:r w:rsidRPr="003F63CD">
        <w:rPr>
          <w:rFonts w:asciiTheme="minorHAnsi" w:hAnsiTheme="minorHAnsi" w:cstheme="minorHAnsi"/>
          <w:lang w:val="fr-CA"/>
        </w:rPr>
        <w:t xml:space="preserve"> </w:t>
      </w:r>
      <w:r w:rsidRPr="003F63CD">
        <w:rPr>
          <w:rFonts w:asciiTheme="minorHAnsi" w:hAnsiTheme="minorHAnsi" w:cstheme="minorHAnsi"/>
          <w:bCs/>
          <w:lang w:val="fr-CA"/>
        </w:rPr>
        <w:t>par centre financier, fonds, compte budgétaire, version des prévisions (</w:t>
      </w:r>
      <w:r w:rsidR="00DE5D30">
        <w:rPr>
          <w:rFonts w:asciiTheme="minorHAnsi" w:hAnsiTheme="minorHAnsi" w:cstheme="minorHAnsi"/>
          <w:bCs/>
          <w:lang w:val="fr-CA"/>
        </w:rPr>
        <w:t>de F01 à F12 ou période courante sous F00</w:t>
      </w:r>
      <w:r w:rsidRPr="003F63CD">
        <w:rPr>
          <w:rFonts w:asciiTheme="minorHAnsi" w:hAnsiTheme="minorHAnsi" w:cstheme="minorHAnsi"/>
          <w:bCs/>
          <w:lang w:val="fr-CA"/>
        </w:rPr>
        <w:t xml:space="preserve">) et le type de prévisions (F et E, Subvention et contribution et RNC). </w:t>
      </w:r>
      <w:r w:rsidRPr="003F63CD">
        <w:rPr>
          <w:rFonts w:asciiTheme="minorHAnsi" w:hAnsiTheme="minorHAnsi" w:cstheme="minorHAnsi"/>
          <w:lang w:val="fr-CA"/>
        </w:rPr>
        <w:t xml:space="preserve">En plus de rendre compte des montants de prévisions sommaires, ce rapport affiche les commentaires et les postes de prévisions détaillées. Les données et les renseignements </w:t>
      </w:r>
      <w:r w:rsidR="001C4A03">
        <w:rPr>
          <w:rFonts w:asciiTheme="minorHAnsi" w:hAnsiTheme="minorHAnsi" w:cstheme="minorHAnsi"/>
          <w:lang w:val="fr-CA"/>
        </w:rPr>
        <w:t xml:space="preserve">prévisionnels non-salariales </w:t>
      </w:r>
      <w:r w:rsidRPr="003F63CD">
        <w:rPr>
          <w:rFonts w:asciiTheme="minorHAnsi" w:hAnsiTheme="minorHAnsi" w:cstheme="minorHAnsi"/>
          <w:lang w:val="fr-CA"/>
        </w:rPr>
        <w:t>peuvent être exportés dans un format Excel ou PDF pour être imprimé.</w:t>
      </w:r>
    </w:p>
    <w:p w14:paraId="74D9B2F6" w14:textId="77777777" w:rsidR="003F63CD" w:rsidRPr="003F63CD" w:rsidRDefault="003F63CD" w:rsidP="003F63CD">
      <w:pPr>
        <w:rPr>
          <w:rFonts w:asciiTheme="minorHAnsi" w:hAnsiTheme="minorHAnsi" w:cstheme="minorHAnsi"/>
          <w:lang w:val="fr-CA"/>
        </w:rPr>
      </w:pPr>
    </w:p>
    <w:p w14:paraId="5EB38432" w14:textId="4423B977" w:rsidR="003F63CD" w:rsidRPr="003F63CD" w:rsidRDefault="003F63CD" w:rsidP="00E8661F">
      <w:pPr>
        <w:pStyle w:val="Heading3"/>
        <w:numPr>
          <w:ilvl w:val="2"/>
          <w:numId w:val="2"/>
        </w:numPr>
        <w:rPr>
          <w:rFonts w:asciiTheme="minorHAnsi" w:hAnsiTheme="minorHAnsi" w:cstheme="minorHAnsi"/>
          <w:lang w:val="fr-CA"/>
        </w:rPr>
      </w:pPr>
      <w:bookmarkStart w:id="48" w:name="_Toc513716509"/>
      <w:bookmarkStart w:id="49" w:name="_Toc72402521"/>
      <w:r w:rsidRPr="003F63CD">
        <w:rPr>
          <w:rFonts w:asciiTheme="minorHAnsi" w:hAnsiTheme="minorHAnsi" w:cstheme="minorHAnsi"/>
          <w:lang w:val="fr-CA"/>
        </w:rPr>
        <w:t>Engagements de fonctionnement et d’entretien</w:t>
      </w:r>
      <w:bookmarkEnd w:id="48"/>
      <w:bookmarkEnd w:id="49"/>
    </w:p>
    <w:p w14:paraId="27E363AF" w14:textId="77777777" w:rsidR="003F63CD" w:rsidRPr="003F63CD" w:rsidRDefault="003F63CD" w:rsidP="003F63CD">
      <w:pPr>
        <w:rPr>
          <w:rFonts w:asciiTheme="minorHAnsi" w:hAnsiTheme="minorHAnsi" w:cstheme="minorHAnsi"/>
          <w:bCs/>
          <w:lang w:val="fr-CA"/>
        </w:rPr>
      </w:pPr>
    </w:p>
    <w:p w14:paraId="5973EB2B"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 xml:space="preserve">Les engagements de fonds dans maSGE (SAP) doivent être utilisés uniquement pour réserver du budget à des fins spécifiques </w:t>
      </w:r>
      <w:r w:rsidR="00C77BF9">
        <w:rPr>
          <w:rFonts w:asciiTheme="minorHAnsi" w:hAnsiTheme="minorHAnsi" w:cstheme="minorHAnsi"/>
          <w:lang w:val="fr-CA"/>
        </w:rPr>
        <w:t>tel que</w:t>
      </w:r>
      <w:r w:rsidRPr="003F63CD">
        <w:rPr>
          <w:rFonts w:asciiTheme="minorHAnsi" w:hAnsiTheme="minorHAnsi" w:cstheme="minorHAnsi"/>
          <w:lang w:val="fr-CA"/>
        </w:rPr>
        <w:t> :</w:t>
      </w:r>
    </w:p>
    <w:p w14:paraId="4F11AC1C" w14:textId="2917AA83" w:rsidR="003F63CD" w:rsidRPr="003F63CD" w:rsidRDefault="00CD7BF8" w:rsidP="003F63CD">
      <w:pPr>
        <w:numPr>
          <w:ilvl w:val="0"/>
          <w:numId w:val="5"/>
        </w:numPr>
        <w:tabs>
          <w:tab w:val="clear" w:pos="720"/>
          <w:tab w:val="num" w:pos="1080"/>
        </w:tabs>
        <w:autoSpaceDE w:val="0"/>
        <w:autoSpaceDN w:val="0"/>
        <w:adjustRightInd w:val="0"/>
        <w:spacing w:before="120"/>
        <w:ind w:left="1077" w:hanging="357"/>
        <w:rPr>
          <w:rFonts w:asciiTheme="minorHAnsi" w:hAnsiTheme="minorHAnsi" w:cstheme="minorHAnsi"/>
          <w:lang w:val="fr-CA"/>
        </w:rPr>
      </w:pPr>
      <w:r>
        <w:rPr>
          <w:rFonts w:asciiTheme="minorHAnsi" w:hAnsiTheme="minorHAnsi" w:cstheme="minorHAnsi"/>
          <w:lang w:val="fr-CA"/>
        </w:rPr>
        <w:t>P</w:t>
      </w:r>
      <w:r w:rsidR="003F63CD" w:rsidRPr="003F63CD">
        <w:rPr>
          <w:rFonts w:asciiTheme="minorHAnsi" w:hAnsiTheme="minorHAnsi" w:cstheme="minorHAnsi"/>
          <w:lang w:val="fr-CA"/>
        </w:rPr>
        <w:t>rotocole d’entente avec d’autres ministères ou organismes gouvernementaux, ou bien d’autres ordres de gouvernement;</w:t>
      </w:r>
    </w:p>
    <w:p w14:paraId="74047FB1" w14:textId="0BF52215" w:rsidR="003F63CD" w:rsidRPr="003F63CD" w:rsidRDefault="00CD7BF8" w:rsidP="003F63CD">
      <w:pPr>
        <w:numPr>
          <w:ilvl w:val="0"/>
          <w:numId w:val="5"/>
        </w:numPr>
        <w:tabs>
          <w:tab w:val="clear" w:pos="720"/>
          <w:tab w:val="num" w:pos="1080"/>
        </w:tabs>
        <w:autoSpaceDE w:val="0"/>
        <w:autoSpaceDN w:val="0"/>
        <w:adjustRightInd w:val="0"/>
        <w:spacing w:before="120"/>
        <w:ind w:left="1077" w:hanging="357"/>
        <w:rPr>
          <w:rFonts w:asciiTheme="minorHAnsi" w:hAnsiTheme="minorHAnsi" w:cstheme="minorHAnsi"/>
          <w:lang w:val="fr-CA"/>
        </w:rPr>
      </w:pPr>
      <w:r w:rsidRPr="003F63CD">
        <w:rPr>
          <w:rFonts w:asciiTheme="minorHAnsi" w:hAnsiTheme="minorHAnsi" w:cstheme="minorHAnsi"/>
          <w:lang w:val="fr-CA"/>
        </w:rPr>
        <w:t>Services</w:t>
      </w:r>
      <w:r w:rsidR="003F63CD" w:rsidRPr="003F63CD">
        <w:rPr>
          <w:rFonts w:asciiTheme="minorHAnsi" w:hAnsiTheme="minorHAnsi" w:cstheme="minorHAnsi"/>
          <w:lang w:val="fr-CA"/>
        </w:rPr>
        <w:t xml:space="preserve"> de poste et de messagerie;</w:t>
      </w:r>
    </w:p>
    <w:p w14:paraId="6BA39B1D" w14:textId="562945D6" w:rsidR="003F63CD" w:rsidRPr="003F63CD" w:rsidRDefault="00CD7BF8" w:rsidP="003F63CD">
      <w:pPr>
        <w:numPr>
          <w:ilvl w:val="0"/>
          <w:numId w:val="5"/>
        </w:numPr>
        <w:tabs>
          <w:tab w:val="clear" w:pos="720"/>
          <w:tab w:val="num" w:pos="1080"/>
        </w:tabs>
        <w:autoSpaceDE w:val="0"/>
        <w:autoSpaceDN w:val="0"/>
        <w:adjustRightInd w:val="0"/>
        <w:spacing w:before="120"/>
        <w:ind w:left="1077" w:hanging="357"/>
        <w:rPr>
          <w:rFonts w:asciiTheme="minorHAnsi" w:hAnsiTheme="minorHAnsi" w:cstheme="minorHAnsi"/>
          <w:lang w:val="fr-CA"/>
        </w:rPr>
      </w:pPr>
      <w:r w:rsidRPr="003F63CD">
        <w:rPr>
          <w:rFonts w:asciiTheme="minorHAnsi" w:hAnsiTheme="minorHAnsi" w:cstheme="minorHAnsi"/>
          <w:lang w:val="fr-CA"/>
        </w:rPr>
        <w:t>Remboursement</w:t>
      </w:r>
      <w:r w:rsidR="003F63CD" w:rsidRPr="003F63CD">
        <w:rPr>
          <w:rFonts w:asciiTheme="minorHAnsi" w:hAnsiTheme="minorHAnsi" w:cstheme="minorHAnsi"/>
          <w:lang w:val="fr-CA"/>
        </w:rPr>
        <w:t xml:space="preserve"> à l’employé : </w:t>
      </w:r>
    </w:p>
    <w:p w14:paraId="7E82A470" w14:textId="08690427" w:rsidR="003F63CD" w:rsidRPr="003F63CD" w:rsidRDefault="00CD7BF8" w:rsidP="003F63CD">
      <w:pPr>
        <w:pStyle w:val="ListParagraph"/>
        <w:numPr>
          <w:ilvl w:val="0"/>
          <w:numId w:val="17"/>
        </w:numPr>
        <w:autoSpaceDE w:val="0"/>
        <w:autoSpaceDN w:val="0"/>
        <w:adjustRightInd w:val="0"/>
        <w:spacing w:before="60"/>
        <w:contextualSpacing/>
        <w:rPr>
          <w:rFonts w:asciiTheme="minorHAnsi" w:hAnsiTheme="minorHAnsi" w:cstheme="minorHAnsi"/>
          <w:lang w:val="fr-CA"/>
        </w:rPr>
      </w:pPr>
      <w:r w:rsidRPr="003F63CD">
        <w:rPr>
          <w:rFonts w:asciiTheme="minorHAnsi" w:hAnsiTheme="minorHAnsi" w:cstheme="minorHAnsi"/>
          <w:lang w:val="fr-CA"/>
        </w:rPr>
        <w:t>Frais</w:t>
      </w:r>
      <w:r w:rsidR="003F63CD" w:rsidRPr="003F63CD">
        <w:rPr>
          <w:rFonts w:asciiTheme="minorHAnsi" w:hAnsiTheme="minorHAnsi" w:cstheme="minorHAnsi"/>
          <w:lang w:val="fr-CA"/>
        </w:rPr>
        <w:t xml:space="preserve"> d’adhésion à l’exception des frais relatifs à la convention collective de l’employé;</w:t>
      </w:r>
    </w:p>
    <w:p w14:paraId="74EB5518" w14:textId="3FD104BD" w:rsidR="003F63CD" w:rsidRPr="003F63CD" w:rsidRDefault="00CD7BF8" w:rsidP="003F63CD">
      <w:pPr>
        <w:pStyle w:val="ListParagraph"/>
        <w:numPr>
          <w:ilvl w:val="0"/>
          <w:numId w:val="17"/>
        </w:numPr>
        <w:contextualSpacing/>
        <w:rPr>
          <w:rFonts w:asciiTheme="minorHAnsi" w:hAnsiTheme="minorHAnsi" w:cstheme="minorHAnsi"/>
          <w:lang w:val="fr-CA"/>
        </w:rPr>
      </w:pPr>
      <w:r>
        <w:rPr>
          <w:rFonts w:asciiTheme="minorHAnsi" w:hAnsiTheme="minorHAnsi" w:cstheme="minorHAnsi"/>
          <w:lang w:val="fr-CA"/>
        </w:rPr>
        <w:t>R</w:t>
      </w:r>
      <w:r w:rsidR="003F63CD" w:rsidRPr="003F63CD">
        <w:rPr>
          <w:rFonts w:asciiTheme="minorHAnsi" w:hAnsiTheme="minorHAnsi" w:cstheme="minorHAnsi"/>
          <w:lang w:val="fr-CA"/>
        </w:rPr>
        <w:t>emboursement des frais de scolarité;</w:t>
      </w:r>
    </w:p>
    <w:p w14:paraId="032C7607" w14:textId="50AFA5D2" w:rsidR="003F63CD" w:rsidRPr="003F63CD" w:rsidRDefault="00CD7BF8" w:rsidP="003F63CD">
      <w:pPr>
        <w:pStyle w:val="ListParagraph"/>
        <w:numPr>
          <w:ilvl w:val="0"/>
          <w:numId w:val="17"/>
        </w:numPr>
        <w:autoSpaceDE w:val="0"/>
        <w:autoSpaceDN w:val="0"/>
        <w:adjustRightInd w:val="0"/>
        <w:spacing w:before="60"/>
        <w:contextualSpacing/>
        <w:rPr>
          <w:rFonts w:asciiTheme="minorHAnsi" w:hAnsiTheme="minorHAnsi" w:cstheme="minorHAnsi"/>
          <w:lang w:val="fr-CA"/>
        </w:rPr>
      </w:pPr>
      <w:r>
        <w:rPr>
          <w:rFonts w:asciiTheme="minorHAnsi" w:hAnsiTheme="minorHAnsi" w:cstheme="minorHAnsi"/>
          <w:lang w:val="fr-CA"/>
        </w:rPr>
        <w:t>D</w:t>
      </w:r>
      <w:r w:rsidR="003F63CD" w:rsidRPr="003F63CD">
        <w:rPr>
          <w:rFonts w:asciiTheme="minorHAnsi" w:hAnsiTheme="minorHAnsi" w:cstheme="minorHAnsi"/>
          <w:lang w:val="fr-CA"/>
        </w:rPr>
        <w:t>épenses d’accueil/événement;</w:t>
      </w:r>
    </w:p>
    <w:p w14:paraId="568CE0BA" w14:textId="416899EA" w:rsidR="001C4A03" w:rsidRPr="009E576A" w:rsidRDefault="00CD7BF8" w:rsidP="009E576A">
      <w:pPr>
        <w:pStyle w:val="ListParagraph"/>
        <w:numPr>
          <w:ilvl w:val="0"/>
          <w:numId w:val="17"/>
        </w:numPr>
        <w:autoSpaceDE w:val="0"/>
        <w:autoSpaceDN w:val="0"/>
        <w:adjustRightInd w:val="0"/>
        <w:spacing w:before="60"/>
        <w:contextualSpacing/>
        <w:rPr>
          <w:rFonts w:asciiTheme="minorHAnsi" w:hAnsiTheme="minorHAnsi" w:cstheme="minorHAnsi"/>
          <w:lang w:val="fr-CA"/>
        </w:rPr>
      </w:pPr>
      <w:r>
        <w:rPr>
          <w:rFonts w:asciiTheme="minorHAnsi" w:hAnsiTheme="minorHAnsi" w:cstheme="minorHAnsi"/>
          <w:lang w:val="fr-CA"/>
        </w:rPr>
        <w:t>F</w:t>
      </w:r>
      <w:r w:rsidR="003F63CD" w:rsidRPr="003F63CD">
        <w:rPr>
          <w:rFonts w:asciiTheme="minorHAnsi" w:hAnsiTheme="minorHAnsi" w:cstheme="minorHAnsi"/>
          <w:lang w:val="fr-CA"/>
        </w:rPr>
        <w:t>rais de conférence.</w:t>
      </w:r>
    </w:p>
    <w:p w14:paraId="7596338E" w14:textId="52A99C7F" w:rsidR="003F63CD" w:rsidRPr="003F63CD" w:rsidRDefault="00CD7BF8" w:rsidP="003F63CD">
      <w:pPr>
        <w:numPr>
          <w:ilvl w:val="0"/>
          <w:numId w:val="5"/>
        </w:numPr>
        <w:tabs>
          <w:tab w:val="clear" w:pos="720"/>
          <w:tab w:val="num" w:pos="1080"/>
        </w:tabs>
        <w:autoSpaceDE w:val="0"/>
        <w:autoSpaceDN w:val="0"/>
        <w:adjustRightInd w:val="0"/>
        <w:spacing w:before="120"/>
        <w:ind w:left="1077" w:hanging="357"/>
        <w:rPr>
          <w:rFonts w:asciiTheme="minorHAnsi" w:hAnsiTheme="minorHAnsi" w:cstheme="minorHAnsi"/>
          <w:lang w:val="fr-CA"/>
        </w:rPr>
      </w:pPr>
      <w:r>
        <w:rPr>
          <w:rFonts w:asciiTheme="minorHAnsi" w:hAnsiTheme="minorHAnsi" w:cstheme="minorHAnsi"/>
          <w:lang w:val="fr-CA"/>
        </w:rPr>
        <w:t>E</w:t>
      </w:r>
      <w:r w:rsidR="003F63CD" w:rsidRPr="003F63CD">
        <w:rPr>
          <w:rFonts w:asciiTheme="minorHAnsi" w:hAnsiTheme="minorHAnsi" w:cstheme="minorHAnsi"/>
          <w:lang w:val="fr-CA"/>
        </w:rPr>
        <w:t>ngagement de fonds figurant dans le Système commun pour les subventions et contributions (SCSC) inter-relié avec des systèmes partenaires;</w:t>
      </w:r>
    </w:p>
    <w:p w14:paraId="1E44D5AF" w14:textId="352E19DD" w:rsidR="003F63CD" w:rsidRPr="003F63CD" w:rsidRDefault="00CD7BF8" w:rsidP="003F63CD">
      <w:pPr>
        <w:numPr>
          <w:ilvl w:val="0"/>
          <w:numId w:val="5"/>
        </w:numPr>
        <w:tabs>
          <w:tab w:val="clear" w:pos="720"/>
          <w:tab w:val="num" w:pos="1080"/>
        </w:tabs>
        <w:autoSpaceDE w:val="0"/>
        <w:autoSpaceDN w:val="0"/>
        <w:adjustRightInd w:val="0"/>
        <w:spacing w:before="120"/>
        <w:ind w:left="1077" w:hanging="357"/>
        <w:rPr>
          <w:rFonts w:asciiTheme="minorHAnsi" w:hAnsiTheme="minorHAnsi" w:cstheme="minorHAnsi"/>
          <w:lang w:val="fr-CA"/>
        </w:rPr>
      </w:pPr>
      <w:r>
        <w:rPr>
          <w:rFonts w:asciiTheme="minorHAnsi" w:hAnsiTheme="minorHAnsi" w:cstheme="minorHAnsi"/>
          <w:lang w:val="fr-CA"/>
        </w:rPr>
        <w:t>E</w:t>
      </w:r>
      <w:r w:rsidR="003F63CD" w:rsidRPr="003F63CD">
        <w:rPr>
          <w:rFonts w:asciiTheme="minorHAnsi" w:hAnsiTheme="minorHAnsi" w:cstheme="minorHAnsi"/>
          <w:lang w:val="fr-CA"/>
        </w:rPr>
        <w:t xml:space="preserve">ngagements pour des subventions et </w:t>
      </w:r>
      <w:r w:rsidRPr="003F63CD">
        <w:rPr>
          <w:rFonts w:asciiTheme="minorHAnsi" w:hAnsiTheme="minorHAnsi" w:cstheme="minorHAnsi"/>
          <w:lang w:val="fr-CA"/>
        </w:rPr>
        <w:t>des contributions utilisées</w:t>
      </w:r>
      <w:r w:rsidR="003F63CD" w:rsidRPr="003F63CD">
        <w:rPr>
          <w:rFonts w:asciiTheme="minorHAnsi" w:hAnsiTheme="minorHAnsi" w:cstheme="minorHAnsi"/>
          <w:lang w:val="fr-CA"/>
        </w:rPr>
        <w:t xml:space="preserve"> à d’autres fins que celles prévues par le Système commun pour les subventions et contributions (SCSC);</w:t>
      </w:r>
    </w:p>
    <w:p w14:paraId="51C6613B" w14:textId="44A2FFB6" w:rsidR="003F63CD" w:rsidRPr="003F63CD" w:rsidRDefault="00CD7BF8" w:rsidP="003F63CD">
      <w:pPr>
        <w:numPr>
          <w:ilvl w:val="0"/>
          <w:numId w:val="5"/>
        </w:numPr>
        <w:tabs>
          <w:tab w:val="clear" w:pos="720"/>
          <w:tab w:val="num" w:pos="1080"/>
        </w:tabs>
        <w:autoSpaceDE w:val="0"/>
        <w:autoSpaceDN w:val="0"/>
        <w:adjustRightInd w:val="0"/>
        <w:spacing w:before="120"/>
        <w:ind w:left="1077" w:hanging="357"/>
        <w:rPr>
          <w:rFonts w:asciiTheme="minorHAnsi" w:hAnsiTheme="minorHAnsi" w:cstheme="minorHAnsi"/>
          <w:lang w:val="fr-CA"/>
        </w:rPr>
      </w:pPr>
      <w:r>
        <w:rPr>
          <w:rFonts w:asciiTheme="minorHAnsi" w:hAnsiTheme="minorHAnsi" w:cstheme="minorHAnsi"/>
          <w:lang w:val="fr-CA"/>
        </w:rPr>
        <w:t>E</w:t>
      </w:r>
      <w:r w:rsidR="003F63CD" w:rsidRPr="003F63CD">
        <w:rPr>
          <w:rFonts w:asciiTheme="minorHAnsi" w:hAnsiTheme="minorHAnsi" w:cstheme="minorHAnsi"/>
          <w:lang w:val="fr-CA"/>
        </w:rPr>
        <w:t>ngagements de voyage pour des non-fonctionnaires;</w:t>
      </w:r>
    </w:p>
    <w:p w14:paraId="428CF94A" w14:textId="3C38CD72" w:rsidR="003F63CD" w:rsidRPr="003F63CD" w:rsidRDefault="00CD7BF8" w:rsidP="003F63CD">
      <w:pPr>
        <w:numPr>
          <w:ilvl w:val="0"/>
          <w:numId w:val="5"/>
        </w:numPr>
        <w:tabs>
          <w:tab w:val="clear" w:pos="720"/>
          <w:tab w:val="num" w:pos="1080"/>
        </w:tabs>
        <w:autoSpaceDE w:val="0"/>
        <w:autoSpaceDN w:val="0"/>
        <w:adjustRightInd w:val="0"/>
        <w:spacing w:before="120"/>
        <w:ind w:left="1077" w:hanging="357"/>
        <w:rPr>
          <w:rFonts w:asciiTheme="minorHAnsi" w:hAnsiTheme="minorHAnsi" w:cstheme="minorHAnsi"/>
          <w:lang w:val="fr-CA"/>
        </w:rPr>
      </w:pPr>
      <w:r>
        <w:rPr>
          <w:rFonts w:asciiTheme="minorHAnsi" w:hAnsiTheme="minorHAnsi" w:cstheme="minorHAnsi"/>
          <w:lang w:val="fr-CA"/>
        </w:rPr>
        <w:t>R</w:t>
      </w:r>
      <w:r w:rsidR="003F63CD" w:rsidRPr="003F63CD">
        <w:rPr>
          <w:rFonts w:asciiTheme="minorHAnsi" w:hAnsiTheme="minorHAnsi" w:cstheme="minorHAnsi"/>
          <w:lang w:val="fr-CA"/>
        </w:rPr>
        <w:t>èglement interministériel (RI) non-salarial incluant la formation avec l’École de la fonction publique du Canada (EFPC).</w:t>
      </w:r>
    </w:p>
    <w:p w14:paraId="35445217" w14:textId="77777777" w:rsidR="003F63CD" w:rsidRPr="003F63CD" w:rsidRDefault="003F63CD" w:rsidP="003F63CD">
      <w:pPr>
        <w:rPr>
          <w:rFonts w:asciiTheme="minorHAnsi" w:hAnsiTheme="minorHAnsi" w:cstheme="minorHAnsi"/>
          <w:lang w:val="fr-CA"/>
        </w:rPr>
      </w:pPr>
    </w:p>
    <w:p w14:paraId="190E1DC4"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Un numéro de fournisseur doit être entré pour tous les engagements de fonds. Ceci permettra de convertir automatiquement tout solde inutilisé dans l’interface CAFE (créditeurs à la fin de l’exercice), le cas échéant.</w:t>
      </w:r>
    </w:p>
    <w:p w14:paraId="4D98A0C6" w14:textId="77777777" w:rsidR="003F63CD" w:rsidRPr="003F63CD" w:rsidRDefault="003F63CD" w:rsidP="003F63CD">
      <w:pPr>
        <w:rPr>
          <w:rFonts w:asciiTheme="minorHAnsi" w:hAnsiTheme="minorHAnsi" w:cstheme="minorHAnsi"/>
          <w:lang w:val="fr-CA"/>
        </w:rPr>
      </w:pPr>
    </w:p>
    <w:p w14:paraId="735CAB16" w14:textId="77777777" w:rsidR="003F63CD" w:rsidRPr="003F63CD" w:rsidRDefault="003F63CD" w:rsidP="003F63CD">
      <w:pPr>
        <w:rPr>
          <w:rFonts w:asciiTheme="minorHAnsi" w:hAnsiTheme="minorHAnsi" w:cstheme="minorHAnsi"/>
          <w:bCs/>
          <w:lang w:val="fr-CA"/>
        </w:rPr>
      </w:pPr>
      <w:r w:rsidRPr="003F63CD">
        <w:rPr>
          <w:rFonts w:asciiTheme="minorHAnsi" w:hAnsiTheme="minorHAnsi" w:cstheme="minorHAnsi"/>
          <w:lang w:val="fr-CA"/>
        </w:rPr>
        <w:t>Les autres types d’achats doivent être faits en utilisant une carte d’achat ou un bon de commande en lien avec une demande d’achat. Ces fonds « réservés » sont ensuite engagés avec le codage financier utilisé pour payer la facture (aucun engagement manuel n’est requis).</w:t>
      </w:r>
    </w:p>
    <w:p w14:paraId="451C5F0E" w14:textId="77777777" w:rsidR="003F63CD" w:rsidRPr="003F63CD" w:rsidRDefault="003F63CD" w:rsidP="003F63CD">
      <w:pPr>
        <w:rPr>
          <w:rFonts w:asciiTheme="minorHAnsi" w:hAnsiTheme="minorHAnsi" w:cstheme="minorHAnsi"/>
          <w:sz w:val="28"/>
          <w:szCs w:val="28"/>
          <w:lang w:val="fr-CA"/>
        </w:rPr>
      </w:pPr>
    </w:p>
    <w:p w14:paraId="6C7783DC" w14:textId="57989472" w:rsidR="003F63CD" w:rsidRPr="003F63CD" w:rsidRDefault="003F63CD" w:rsidP="00E8661F">
      <w:pPr>
        <w:pStyle w:val="Heading3"/>
        <w:numPr>
          <w:ilvl w:val="2"/>
          <w:numId w:val="2"/>
        </w:numPr>
        <w:rPr>
          <w:rFonts w:asciiTheme="minorHAnsi" w:hAnsiTheme="minorHAnsi" w:cstheme="minorHAnsi"/>
          <w:lang w:val="fr-CA"/>
        </w:rPr>
      </w:pPr>
      <w:bookmarkStart w:id="50" w:name="_Toc513716510"/>
      <w:bookmarkStart w:id="51" w:name="_Toc72402522"/>
      <w:r w:rsidRPr="003F63CD">
        <w:rPr>
          <w:rFonts w:asciiTheme="minorHAnsi" w:hAnsiTheme="minorHAnsi" w:cstheme="minorHAnsi"/>
          <w:lang w:val="fr-CA"/>
        </w:rPr>
        <w:t>Prévisions relatives aux dépenses de voyages, d’accueil, de conférences et d’événements</w:t>
      </w:r>
      <w:bookmarkEnd w:id="50"/>
      <w:bookmarkEnd w:id="51"/>
    </w:p>
    <w:p w14:paraId="400A7EB7" w14:textId="77777777" w:rsidR="003F63CD" w:rsidRPr="003F63CD" w:rsidRDefault="003F63CD" w:rsidP="003F63CD">
      <w:pPr>
        <w:rPr>
          <w:rFonts w:asciiTheme="minorHAnsi" w:hAnsiTheme="minorHAnsi" w:cstheme="minorHAnsi"/>
          <w:lang w:val="fr-CA"/>
        </w:rPr>
      </w:pPr>
    </w:p>
    <w:p w14:paraId="6DAC0C9E"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Les administrateurs généraux doivent approuver le budget annuel des coûts engagés pour les voyages, l’accueil, les conférences et les événements, veiller à ce qu’il y ait des mécanismes de contrôle ministériels adéquats pour ces coûts et divulguer ces coûts annuels sur le site Web du ministère, y compris des renseignements sur les écarts par rapport aux exercices précédents. Les directions générales/régions sont tenues responsables d’un seul montant maximal qui peut être géré pour les quatre composantes (voyages, accueil, conférences et événements), permettant ainsi une souplesse sur le plan opérationnel.</w:t>
      </w:r>
    </w:p>
    <w:p w14:paraId="7C6CF6F1" w14:textId="77777777" w:rsidR="003F63CD" w:rsidRPr="003F63CD" w:rsidRDefault="003F63CD" w:rsidP="003F63CD">
      <w:pPr>
        <w:rPr>
          <w:rFonts w:asciiTheme="minorHAnsi" w:hAnsiTheme="minorHAnsi" w:cstheme="minorHAnsi"/>
          <w:lang w:val="fr-CA"/>
        </w:rPr>
      </w:pPr>
    </w:p>
    <w:p w14:paraId="7B4A6AF7"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 xml:space="preserve">Les prévisions de Voyages, accueil et conférences sont suivies pour s’assurer que les directions générales/régions n’excèdent pas leurs plafonds approuvés. </w:t>
      </w:r>
    </w:p>
    <w:p w14:paraId="70F689D4" w14:textId="77777777" w:rsidR="003F63CD" w:rsidRPr="003F63CD" w:rsidRDefault="003F63CD" w:rsidP="003F63CD">
      <w:pPr>
        <w:rPr>
          <w:rFonts w:asciiTheme="minorHAnsi" w:hAnsiTheme="minorHAnsi" w:cstheme="minorHAnsi"/>
          <w:lang w:val="fr-CA"/>
        </w:rPr>
      </w:pPr>
    </w:p>
    <w:p w14:paraId="3D126CD9" w14:textId="2323EC8E" w:rsidR="003F63CD" w:rsidRPr="003F63CD" w:rsidRDefault="00DF772A" w:rsidP="003F63CD">
      <w:pPr>
        <w:rPr>
          <w:rFonts w:asciiTheme="minorHAnsi" w:hAnsiTheme="minorHAnsi" w:cstheme="minorHAnsi"/>
          <w:lang w:val="fr-CA"/>
        </w:rPr>
      </w:pPr>
      <w:r>
        <w:rPr>
          <w:rFonts w:asciiTheme="minorHAnsi" w:hAnsiTheme="minorHAnsi" w:cstheme="minorHAnsi"/>
          <w:lang w:val="fr-CA"/>
        </w:rPr>
        <w:t>Notez</w:t>
      </w:r>
      <w:r w:rsidR="003F63CD" w:rsidRPr="003F63CD">
        <w:rPr>
          <w:rFonts w:asciiTheme="minorHAnsi" w:hAnsiTheme="minorHAnsi" w:cstheme="minorHAnsi"/>
          <w:lang w:val="fr-CA"/>
        </w:rPr>
        <w:t xml:space="preserve"> que tous les frais de déplacement des consultants doivent être consignés à un compte de déplacements de </w:t>
      </w:r>
      <w:r>
        <w:rPr>
          <w:rFonts w:asciiTheme="minorHAnsi" w:hAnsiTheme="minorHAnsi" w:cstheme="minorHAnsi"/>
          <w:lang w:val="fr-CA"/>
        </w:rPr>
        <w:t>GL</w:t>
      </w:r>
      <w:r w:rsidR="003F63CD" w:rsidRPr="003F63CD">
        <w:rPr>
          <w:rFonts w:asciiTheme="minorHAnsi" w:hAnsiTheme="minorHAnsi" w:cstheme="minorHAnsi"/>
          <w:lang w:val="fr-CA"/>
        </w:rPr>
        <w:t xml:space="preserve"> plutôt qu’au compte de </w:t>
      </w:r>
      <w:r>
        <w:rPr>
          <w:rFonts w:asciiTheme="minorHAnsi" w:hAnsiTheme="minorHAnsi" w:cstheme="minorHAnsi"/>
          <w:lang w:val="fr-CA"/>
        </w:rPr>
        <w:t>GL</w:t>
      </w:r>
      <w:r w:rsidR="003F63CD" w:rsidRPr="003F63CD">
        <w:rPr>
          <w:rFonts w:asciiTheme="minorHAnsi" w:hAnsiTheme="minorHAnsi" w:cstheme="minorHAnsi"/>
          <w:lang w:val="fr-CA"/>
        </w:rPr>
        <w:t xml:space="preserve"> lié aux consultants. </w:t>
      </w:r>
    </w:p>
    <w:p w14:paraId="06E68ACA" w14:textId="77777777" w:rsidR="003F63CD" w:rsidRPr="003F63CD" w:rsidRDefault="003F63CD" w:rsidP="003F63CD">
      <w:pPr>
        <w:rPr>
          <w:rFonts w:asciiTheme="minorHAnsi" w:hAnsiTheme="minorHAnsi" w:cstheme="minorHAnsi"/>
          <w:lang w:val="fr-CA"/>
        </w:rPr>
      </w:pPr>
    </w:p>
    <w:p w14:paraId="55672593" w14:textId="643E6903" w:rsidR="003F63CD" w:rsidRPr="003F63CD" w:rsidRDefault="003F63CD" w:rsidP="00E8661F">
      <w:pPr>
        <w:pStyle w:val="Heading3"/>
        <w:numPr>
          <w:ilvl w:val="2"/>
          <w:numId w:val="2"/>
        </w:numPr>
        <w:rPr>
          <w:rFonts w:asciiTheme="minorHAnsi" w:hAnsiTheme="minorHAnsi" w:cstheme="minorHAnsi"/>
          <w:lang w:val="fr-CA"/>
        </w:rPr>
      </w:pPr>
      <w:bookmarkStart w:id="52" w:name="_Toc513716511"/>
      <w:bookmarkStart w:id="53" w:name="_Toc72402523"/>
      <w:r w:rsidRPr="003F63CD">
        <w:rPr>
          <w:rFonts w:asciiTheme="minorHAnsi" w:hAnsiTheme="minorHAnsi" w:cstheme="minorHAnsi"/>
          <w:lang w:val="fr-CA"/>
        </w:rPr>
        <w:t>Prévisions des regroupements de coûts gérés de façon centralisée (RCGC)</w:t>
      </w:r>
      <w:bookmarkEnd w:id="52"/>
      <w:bookmarkEnd w:id="53"/>
    </w:p>
    <w:p w14:paraId="71194919" w14:textId="77777777" w:rsidR="003F63CD" w:rsidRPr="003F63CD" w:rsidRDefault="003F63CD" w:rsidP="003F63CD">
      <w:pPr>
        <w:rPr>
          <w:rFonts w:asciiTheme="minorHAnsi" w:hAnsiTheme="minorHAnsi" w:cstheme="minorHAnsi"/>
          <w:lang w:val="fr-CA"/>
        </w:rPr>
      </w:pPr>
    </w:p>
    <w:p w14:paraId="721635F8" w14:textId="3436BB8F"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 xml:space="preserve">Tous les regroupements de coûts gérés de façon centralisée du </w:t>
      </w:r>
      <w:r w:rsidR="00DF772A">
        <w:rPr>
          <w:rFonts w:asciiTheme="minorHAnsi" w:hAnsiTheme="minorHAnsi" w:cstheme="minorHAnsi"/>
          <w:lang w:val="fr-CA"/>
        </w:rPr>
        <w:t>m</w:t>
      </w:r>
      <w:r w:rsidRPr="003F63CD">
        <w:rPr>
          <w:rFonts w:asciiTheme="minorHAnsi" w:hAnsiTheme="minorHAnsi" w:cstheme="minorHAnsi"/>
          <w:lang w:val="fr-CA"/>
        </w:rPr>
        <w:t>inistère sont cumulés sous un même centre financier aux fins de contrôle budgétaire. Pour les fins d’établissement des prévisions</w:t>
      </w:r>
      <w:r w:rsidR="00366A71">
        <w:rPr>
          <w:rFonts w:asciiTheme="minorHAnsi" w:hAnsiTheme="minorHAnsi" w:cstheme="minorHAnsi"/>
          <w:lang w:val="fr-CA"/>
        </w:rPr>
        <w:t xml:space="preserve"> cependant</w:t>
      </w:r>
      <w:r w:rsidRPr="003F63CD">
        <w:rPr>
          <w:rFonts w:asciiTheme="minorHAnsi" w:hAnsiTheme="minorHAnsi" w:cstheme="minorHAnsi"/>
          <w:lang w:val="fr-CA"/>
        </w:rPr>
        <w:t xml:space="preserve">, </w:t>
      </w:r>
      <w:r w:rsidR="004A75D6">
        <w:rPr>
          <w:rFonts w:asciiTheme="minorHAnsi" w:hAnsiTheme="minorHAnsi" w:cstheme="minorHAnsi"/>
          <w:lang w:val="fr-CA"/>
        </w:rPr>
        <w:t>le</w:t>
      </w:r>
      <w:r w:rsidR="00EC4634">
        <w:rPr>
          <w:rFonts w:asciiTheme="minorHAnsi" w:hAnsiTheme="minorHAnsi" w:cstheme="minorHAnsi"/>
          <w:lang w:val="fr-CA"/>
        </w:rPr>
        <w:t>s</w:t>
      </w:r>
      <w:r w:rsidR="004A75D6">
        <w:rPr>
          <w:rFonts w:asciiTheme="minorHAnsi" w:hAnsiTheme="minorHAnsi" w:cstheme="minorHAnsi"/>
          <w:lang w:val="fr-CA"/>
        </w:rPr>
        <w:t xml:space="preserve"> GCF</w:t>
      </w:r>
      <w:r w:rsidRPr="003F63CD">
        <w:rPr>
          <w:rFonts w:asciiTheme="minorHAnsi" w:hAnsiTheme="minorHAnsi" w:cstheme="minorHAnsi"/>
          <w:lang w:val="fr-CA"/>
        </w:rPr>
        <w:t xml:space="preserve"> responsable</w:t>
      </w:r>
      <w:r w:rsidR="00EC4634">
        <w:rPr>
          <w:rFonts w:asciiTheme="minorHAnsi" w:hAnsiTheme="minorHAnsi" w:cstheme="minorHAnsi"/>
          <w:lang w:val="fr-CA"/>
        </w:rPr>
        <w:t>s</w:t>
      </w:r>
      <w:r w:rsidRPr="003F63CD">
        <w:rPr>
          <w:rFonts w:asciiTheme="minorHAnsi" w:hAnsiTheme="minorHAnsi" w:cstheme="minorHAnsi"/>
          <w:lang w:val="fr-CA"/>
        </w:rPr>
        <w:t xml:space="preserve"> d</w:t>
      </w:r>
      <w:r w:rsidR="00EC4634">
        <w:rPr>
          <w:rFonts w:asciiTheme="minorHAnsi" w:hAnsiTheme="minorHAnsi" w:cstheme="minorHAnsi"/>
          <w:lang w:val="fr-CA"/>
        </w:rPr>
        <w:t>es</w:t>
      </w:r>
      <w:r w:rsidRPr="003F63CD">
        <w:rPr>
          <w:rFonts w:asciiTheme="minorHAnsi" w:hAnsiTheme="minorHAnsi" w:cstheme="minorHAnsi"/>
          <w:lang w:val="fr-CA"/>
        </w:rPr>
        <w:t xml:space="preserve"> RCGC devr</w:t>
      </w:r>
      <w:r w:rsidR="00EC4634">
        <w:rPr>
          <w:rFonts w:asciiTheme="minorHAnsi" w:hAnsiTheme="minorHAnsi" w:cstheme="minorHAnsi"/>
          <w:lang w:val="fr-CA"/>
        </w:rPr>
        <w:t>ont</w:t>
      </w:r>
      <w:r w:rsidRPr="003F63CD">
        <w:rPr>
          <w:rFonts w:asciiTheme="minorHAnsi" w:hAnsiTheme="minorHAnsi" w:cstheme="minorHAnsi"/>
          <w:lang w:val="fr-CA"/>
        </w:rPr>
        <w:t xml:space="preserve"> inclure </w:t>
      </w:r>
      <w:r w:rsidR="00EC4634">
        <w:rPr>
          <w:rFonts w:asciiTheme="minorHAnsi" w:hAnsiTheme="minorHAnsi" w:cstheme="minorHAnsi"/>
          <w:lang w:val="fr-CA"/>
        </w:rPr>
        <w:t>leurs</w:t>
      </w:r>
      <w:r w:rsidR="00EC4634" w:rsidRPr="003F63CD">
        <w:rPr>
          <w:rFonts w:asciiTheme="minorHAnsi" w:hAnsiTheme="minorHAnsi" w:cstheme="minorHAnsi"/>
          <w:lang w:val="fr-CA"/>
        </w:rPr>
        <w:t xml:space="preserve"> </w:t>
      </w:r>
      <w:r w:rsidRPr="003F63CD">
        <w:rPr>
          <w:rFonts w:asciiTheme="minorHAnsi" w:hAnsiTheme="minorHAnsi" w:cstheme="minorHAnsi"/>
          <w:lang w:val="fr-CA"/>
        </w:rPr>
        <w:t>prévisions dans l’outil de prévisions non-salariales, sous le CF de RCGC approprié.</w:t>
      </w:r>
    </w:p>
    <w:p w14:paraId="59216EE4" w14:textId="77777777" w:rsidR="004A2BD2" w:rsidRPr="003F63CD" w:rsidRDefault="004A2BD2" w:rsidP="003F63CD">
      <w:pPr>
        <w:rPr>
          <w:rFonts w:asciiTheme="minorHAnsi" w:hAnsiTheme="minorHAnsi" w:cstheme="minorHAnsi"/>
          <w:sz w:val="28"/>
          <w:szCs w:val="28"/>
          <w:lang w:val="fr-CA"/>
        </w:rPr>
      </w:pPr>
    </w:p>
    <w:p w14:paraId="72A80E25" w14:textId="10E18B98" w:rsidR="003F63CD" w:rsidRPr="003F63CD" w:rsidRDefault="003F63CD" w:rsidP="00E8661F">
      <w:pPr>
        <w:pStyle w:val="Heading3"/>
        <w:numPr>
          <w:ilvl w:val="2"/>
          <w:numId w:val="2"/>
        </w:numPr>
        <w:rPr>
          <w:rFonts w:asciiTheme="minorHAnsi" w:hAnsiTheme="minorHAnsi" w:cstheme="minorHAnsi"/>
          <w:lang w:val="fr-CA"/>
        </w:rPr>
      </w:pPr>
      <w:bookmarkStart w:id="54" w:name="_Toc513716512"/>
      <w:bookmarkStart w:id="55" w:name="_Toc72402524"/>
      <w:r w:rsidRPr="003F63CD">
        <w:rPr>
          <w:rFonts w:asciiTheme="minorHAnsi" w:hAnsiTheme="minorHAnsi" w:cstheme="minorHAnsi"/>
          <w:lang w:val="fr-CA"/>
        </w:rPr>
        <w:t>Fonds d’investissement en apprentissage (FIA)</w:t>
      </w:r>
      <w:bookmarkEnd w:id="54"/>
      <w:bookmarkEnd w:id="55"/>
    </w:p>
    <w:p w14:paraId="3433A22B" w14:textId="77777777" w:rsidR="003F63CD" w:rsidRPr="003F63CD" w:rsidRDefault="003F63CD" w:rsidP="003F63CD">
      <w:pPr>
        <w:rPr>
          <w:rFonts w:asciiTheme="minorHAnsi" w:hAnsiTheme="minorHAnsi" w:cstheme="minorHAnsi"/>
          <w:lang w:val="fr-CA"/>
        </w:rPr>
      </w:pPr>
    </w:p>
    <w:p w14:paraId="3BE127DC"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 xml:space="preserve">Tous les investissements non liés au personnel dans les activités d’apprentissage, de formation et de perfectionnement doivent être codés dans le fonds B011 et être utilisés avec un </w:t>
      </w:r>
      <w:hyperlink r:id="rId27" w:history="1">
        <w:r w:rsidRPr="003F63CD">
          <w:rPr>
            <w:rStyle w:val="Hyperlink"/>
            <w:rFonts w:asciiTheme="minorHAnsi" w:hAnsiTheme="minorHAnsi" w:cstheme="minorHAnsi"/>
            <w:lang w:val="fr-CA"/>
          </w:rPr>
          <w:t>code d’apprentissage</w:t>
        </w:r>
      </w:hyperlink>
      <w:r w:rsidRPr="003F63CD">
        <w:rPr>
          <w:rFonts w:asciiTheme="minorHAnsi" w:hAnsiTheme="minorHAnsi" w:cstheme="minorHAnsi"/>
          <w:lang w:val="fr-CA"/>
        </w:rPr>
        <w:t>.</w:t>
      </w:r>
    </w:p>
    <w:p w14:paraId="47C2ED67" w14:textId="77777777" w:rsidR="006C5DF9" w:rsidRDefault="006C5DF9" w:rsidP="003F63CD">
      <w:pPr>
        <w:rPr>
          <w:rFonts w:asciiTheme="minorHAnsi" w:hAnsiTheme="minorHAnsi" w:cstheme="minorHAnsi"/>
          <w:lang w:val="fr-CA"/>
        </w:rPr>
      </w:pPr>
    </w:p>
    <w:p w14:paraId="1C1A5107" w14:textId="32C62ABA" w:rsidR="00BA18DA" w:rsidRDefault="00BA18DA" w:rsidP="003F63CD">
      <w:pPr>
        <w:rPr>
          <w:rFonts w:asciiTheme="minorHAnsi" w:hAnsiTheme="minorHAnsi" w:cstheme="minorHAnsi"/>
          <w:lang w:val="fr-CA"/>
        </w:rPr>
      </w:pPr>
      <w:r w:rsidRPr="00BA18DA">
        <w:rPr>
          <w:rFonts w:asciiTheme="minorHAnsi" w:hAnsiTheme="minorHAnsi" w:cstheme="minorHAnsi"/>
          <w:lang w:val="fr-CA"/>
        </w:rPr>
        <w:t xml:space="preserve">Les </w:t>
      </w:r>
      <w:r>
        <w:rPr>
          <w:rFonts w:asciiTheme="minorHAnsi" w:hAnsiTheme="minorHAnsi" w:cstheme="minorHAnsi"/>
          <w:lang w:val="fr-CA"/>
        </w:rPr>
        <w:t>directions générales</w:t>
      </w:r>
      <w:r w:rsidRPr="00BA18DA">
        <w:rPr>
          <w:rFonts w:asciiTheme="minorHAnsi" w:hAnsiTheme="minorHAnsi" w:cstheme="minorHAnsi"/>
          <w:lang w:val="fr-CA"/>
        </w:rPr>
        <w:t xml:space="preserve"> et les régions doivent prévoir la totalité de leurs besoins au titre du fonds B011. Les </w:t>
      </w:r>
      <w:r>
        <w:rPr>
          <w:rFonts w:asciiTheme="minorHAnsi" w:hAnsiTheme="minorHAnsi" w:cstheme="minorHAnsi"/>
          <w:lang w:val="fr-CA"/>
        </w:rPr>
        <w:t>directions générales</w:t>
      </w:r>
      <w:r w:rsidRPr="00BA18DA">
        <w:rPr>
          <w:rFonts w:asciiTheme="minorHAnsi" w:hAnsiTheme="minorHAnsi" w:cstheme="minorHAnsi"/>
          <w:lang w:val="fr-CA"/>
        </w:rPr>
        <w:t xml:space="preserve"> / régions sont libres d</w:t>
      </w:r>
      <w:r w:rsidR="00DF772A">
        <w:rPr>
          <w:rFonts w:asciiTheme="minorHAnsi" w:hAnsiTheme="minorHAnsi" w:cstheme="minorHAnsi"/>
          <w:lang w:val="fr-CA"/>
        </w:rPr>
        <w:t>’augmenter</w:t>
      </w:r>
      <w:r w:rsidRPr="00BA18DA">
        <w:rPr>
          <w:rFonts w:asciiTheme="minorHAnsi" w:hAnsiTheme="minorHAnsi" w:cstheme="minorHAnsi"/>
          <w:lang w:val="fr-CA"/>
        </w:rPr>
        <w:t xml:space="preserve"> leur budget F</w:t>
      </w:r>
      <w:r>
        <w:rPr>
          <w:rFonts w:asciiTheme="minorHAnsi" w:hAnsiTheme="minorHAnsi" w:cstheme="minorHAnsi"/>
          <w:lang w:val="fr-CA"/>
        </w:rPr>
        <w:t>IA</w:t>
      </w:r>
      <w:r w:rsidRPr="00BA18DA">
        <w:rPr>
          <w:rFonts w:asciiTheme="minorHAnsi" w:hAnsiTheme="minorHAnsi" w:cstheme="minorHAnsi"/>
          <w:lang w:val="fr-CA"/>
        </w:rPr>
        <w:t xml:space="preserve"> en transférant des fonds de leur budget de fonctionnement (B001) vers leur budget F</w:t>
      </w:r>
      <w:r>
        <w:rPr>
          <w:rFonts w:asciiTheme="minorHAnsi" w:hAnsiTheme="minorHAnsi" w:cstheme="minorHAnsi"/>
          <w:lang w:val="fr-CA"/>
        </w:rPr>
        <w:t>IA</w:t>
      </w:r>
      <w:r w:rsidRPr="00BA18DA">
        <w:rPr>
          <w:rFonts w:asciiTheme="minorHAnsi" w:hAnsiTheme="minorHAnsi" w:cstheme="minorHAnsi"/>
          <w:lang w:val="fr-CA"/>
        </w:rPr>
        <w:t xml:space="preserve"> (B011). Les </w:t>
      </w:r>
      <w:r>
        <w:rPr>
          <w:rFonts w:asciiTheme="minorHAnsi" w:hAnsiTheme="minorHAnsi" w:cstheme="minorHAnsi"/>
          <w:lang w:val="fr-CA"/>
        </w:rPr>
        <w:t>directions générales</w:t>
      </w:r>
      <w:r w:rsidRPr="00BA18DA">
        <w:rPr>
          <w:rFonts w:asciiTheme="minorHAnsi" w:hAnsiTheme="minorHAnsi" w:cstheme="minorHAnsi"/>
          <w:lang w:val="fr-CA"/>
        </w:rPr>
        <w:t xml:space="preserve"> et les régions (participant</w:t>
      </w:r>
      <w:r>
        <w:rPr>
          <w:rFonts w:asciiTheme="minorHAnsi" w:hAnsiTheme="minorHAnsi" w:cstheme="minorHAnsi"/>
          <w:lang w:val="fr-CA"/>
        </w:rPr>
        <w:t>e</w:t>
      </w:r>
      <w:r w:rsidRPr="00BA18DA">
        <w:rPr>
          <w:rFonts w:asciiTheme="minorHAnsi" w:hAnsiTheme="minorHAnsi" w:cstheme="minorHAnsi"/>
          <w:lang w:val="fr-CA"/>
        </w:rPr>
        <w:t>s du F</w:t>
      </w:r>
      <w:r>
        <w:rPr>
          <w:rFonts w:asciiTheme="minorHAnsi" w:hAnsiTheme="minorHAnsi" w:cstheme="minorHAnsi"/>
          <w:lang w:val="fr-CA"/>
        </w:rPr>
        <w:t>IA</w:t>
      </w:r>
      <w:r w:rsidRPr="00BA18DA">
        <w:rPr>
          <w:rFonts w:asciiTheme="minorHAnsi" w:hAnsiTheme="minorHAnsi" w:cstheme="minorHAnsi"/>
          <w:lang w:val="fr-CA"/>
        </w:rPr>
        <w:t xml:space="preserve"> uniquement) doivent identifier toute pression de financement ou tout excédent de ressources </w:t>
      </w:r>
      <w:r>
        <w:rPr>
          <w:rFonts w:asciiTheme="minorHAnsi" w:hAnsiTheme="minorHAnsi" w:cstheme="minorHAnsi"/>
          <w:lang w:val="fr-CA"/>
        </w:rPr>
        <w:t xml:space="preserve">au fonds FIA </w:t>
      </w:r>
      <w:r w:rsidRPr="00BA18DA">
        <w:rPr>
          <w:rFonts w:asciiTheme="minorHAnsi" w:hAnsiTheme="minorHAnsi" w:cstheme="minorHAnsi"/>
          <w:lang w:val="fr-CA"/>
        </w:rPr>
        <w:t>pour la période, car des réaffectations et des ajustements seront effectués au besoin.</w:t>
      </w:r>
    </w:p>
    <w:p w14:paraId="38A32D65" w14:textId="77777777" w:rsidR="00BA18DA" w:rsidRDefault="00BA18DA" w:rsidP="003F63CD">
      <w:pPr>
        <w:rPr>
          <w:rFonts w:asciiTheme="minorHAnsi" w:hAnsiTheme="minorHAnsi" w:cstheme="minorHAnsi"/>
          <w:lang w:val="fr-CA"/>
        </w:rPr>
      </w:pPr>
    </w:p>
    <w:p w14:paraId="671149D7" w14:textId="77777777" w:rsidR="00BA18DA" w:rsidRDefault="00BA18DA" w:rsidP="003F63CD">
      <w:pPr>
        <w:rPr>
          <w:rFonts w:asciiTheme="minorHAnsi" w:hAnsiTheme="minorHAnsi" w:cstheme="minorHAnsi"/>
          <w:lang w:val="fr-CA"/>
        </w:rPr>
      </w:pPr>
      <w:r>
        <w:rPr>
          <w:rFonts w:asciiTheme="minorHAnsi" w:hAnsiTheme="minorHAnsi" w:cstheme="minorHAnsi"/>
          <w:lang w:val="fr-CA"/>
        </w:rPr>
        <w:t>Veuillez noter que :</w:t>
      </w:r>
    </w:p>
    <w:p w14:paraId="1D4AA841" w14:textId="77777777" w:rsidR="00BA18DA" w:rsidRDefault="00BA18DA" w:rsidP="003F63CD">
      <w:pPr>
        <w:rPr>
          <w:rFonts w:asciiTheme="minorHAnsi" w:hAnsiTheme="minorHAnsi" w:cstheme="minorHAnsi"/>
          <w:lang w:val="fr-CA"/>
        </w:rPr>
      </w:pPr>
    </w:p>
    <w:p w14:paraId="542595B6" w14:textId="02561B15" w:rsidR="00BA18DA" w:rsidRDefault="00BA18DA" w:rsidP="00EC4634">
      <w:pPr>
        <w:pStyle w:val="ListParagraph"/>
        <w:numPr>
          <w:ilvl w:val="0"/>
          <w:numId w:val="23"/>
        </w:numPr>
        <w:rPr>
          <w:rFonts w:asciiTheme="minorHAnsi" w:hAnsiTheme="minorHAnsi" w:cstheme="minorHAnsi"/>
          <w:lang w:val="fr-CA"/>
        </w:rPr>
      </w:pPr>
      <w:r w:rsidRPr="00BA18DA">
        <w:rPr>
          <w:rFonts w:asciiTheme="minorHAnsi" w:hAnsiTheme="minorHAnsi" w:cstheme="minorHAnsi"/>
          <w:lang w:val="fr-CA"/>
        </w:rPr>
        <w:t xml:space="preserve">Conformément aux </w:t>
      </w:r>
      <w:hyperlink r:id="rId28" w:history="1">
        <w:r w:rsidR="00DF772A" w:rsidRPr="00DF772A">
          <w:rPr>
            <w:rStyle w:val="Hyperlink"/>
            <w:rFonts w:asciiTheme="minorHAnsi" w:hAnsiTheme="minorHAnsi" w:cstheme="minorHAnsi"/>
            <w:lang w:val="fr-CA"/>
          </w:rPr>
          <w:t>L</w:t>
        </w:r>
        <w:r w:rsidRPr="00DF772A">
          <w:rPr>
            <w:rStyle w:val="Hyperlink"/>
            <w:rFonts w:asciiTheme="minorHAnsi" w:hAnsiTheme="minorHAnsi" w:cstheme="minorHAnsi"/>
            <w:lang w:val="fr-CA"/>
          </w:rPr>
          <w:t>ignes directrices</w:t>
        </w:r>
        <w:r w:rsidR="00DF772A" w:rsidRPr="00DF772A">
          <w:rPr>
            <w:rStyle w:val="Hyperlink"/>
            <w:rFonts w:asciiTheme="minorHAnsi" w:hAnsiTheme="minorHAnsi" w:cstheme="minorHAnsi"/>
            <w:lang w:val="fr-CA"/>
          </w:rPr>
          <w:t xml:space="preserve"> en matière</w:t>
        </w:r>
        <w:r w:rsidRPr="00DF772A">
          <w:rPr>
            <w:rStyle w:val="Hyperlink"/>
            <w:rFonts w:asciiTheme="minorHAnsi" w:hAnsiTheme="minorHAnsi" w:cstheme="minorHAnsi"/>
            <w:lang w:val="fr-CA"/>
          </w:rPr>
          <w:t xml:space="preserve"> d'apprentissage </w:t>
        </w:r>
        <w:r w:rsidR="00DF772A" w:rsidRPr="00DF772A">
          <w:rPr>
            <w:rStyle w:val="Hyperlink"/>
            <w:rFonts w:asciiTheme="minorHAnsi" w:hAnsiTheme="minorHAnsi" w:cstheme="minorHAnsi"/>
            <w:lang w:val="fr-CA"/>
          </w:rPr>
          <w:t xml:space="preserve">d’une seconde langue officielle </w:t>
        </w:r>
        <w:r w:rsidRPr="00DF772A">
          <w:rPr>
            <w:rStyle w:val="Hyperlink"/>
            <w:rFonts w:asciiTheme="minorHAnsi" w:hAnsiTheme="minorHAnsi" w:cstheme="minorHAnsi"/>
            <w:lang w:val="fr-CA"/>
          </w:rPr>
          <w:t>d'EDSC</w:t>
        </w:r>
      </w:hyperlink>
      <w:r w:rsidRPr="00BA18DA">
        <w:rPr>
          <w:rFonts w:asciiTheme="minorHAnsi" w:hAnsiTheme="minorHAnsi" w:cstheme="minorHAnsi"/>
          <w:lang w:val="fr-CA"/>
        </w:rPr>
        <w:t>, les coûts des mesures de contrôle connexes doivent être inclus dans les prévisions du gestionnaire responsable et un transfert de fonds du budget de fonctionnement B001 au budget du F</w:t>
      </w:r>
      <w:r>
        <w:rPr>
          <w:rFonts w:asciiTheme="minorHAnsi" w:hAnsiTheme="minorHAnsi" w:cstheme="minorHAnsi"/>
          <w:lang w:val="fr-CA"/>
        </w:rPr>
        <w:t>IA</w:t>
      </w:r>
      <w:r w:rsidRPr="00BA18DA">
        <w:rPr>
          <w:rFonts w:asciiTheme="minorHAnsi" w:hAnsiTheme="minorHAnsi" w:cstheme="minorHAnsi"/>
          <w:lang w:val="fr-CA"/>
        </w:rPr>
        <w:t xml:space="preserve"> B011 doit être effectué pour couvrir ces coûts, comme demandé.</w:t>
      </w:r>
    </w:p>
    <w:p w14:paraId="40ED47A0" w14:textId="77777777" w:rsidR="00BA18DA" w:rsidRDefault="00BA18DA" w:rsidP="00BA18DA">
      <w:pPr>
        <w:rPr>
          <w:rFonts w:asciiTheme="minorHAnsi" w:hAnsiTheme="minorHAnsi" w:cstheme="minorHAnsi"/>
          <w:lang w:val="fr-CA"/>
        </w:rPr>
      </w:pPr>
    </w:p>
    <w:p w14:paraId="69E19D2A" w14:textId="380A2167" w:rsidR="00BA18DA" w:rsidRDefault="00BA18DA" w:rsidP="00EC4634">
      <w:pPr>
        <w:pStyle w:val="ListParagraph"/>
        <w:numPr>
          <w:ilvl w:val="0"/>
          <w:numId w:val="23"/>
        </w:numPr>
        <w:rPr>
          <w:rFonts w:asciiTheme="minorHAnsi" w:hAnsiTheme="minorHAnsi" w:cstheme="minorHAnsi"/>
          <w:lang w:val="fr-CA"/>
        </w:rPr>
      </w:pPr>
      <w:r w:rsidRPr="00BA18DA">
        <w:rPr>
          <w:rFonts w:asciiTheme="minorHAnsi" w:hAnsiTheme="minorHAnsi" w:cstheme="minorHAnsi"/>
          <w:lang w:val="fr-CA"/>
        </w:rPr>
        <w:t xml:space="preserve">Les lignes directrices sur </w:t>
      </w:r>
      <w:hyperlink r:id="rId29" w:history="1">
        <w:r w:rsidRPr="00670F3E">
          <w:rPr>
            <w:rStyle w:val="Hyperlink"/>
            <w:rFonts w:asciiTheme="minorHAnsi" w:hAnsiTheme="minorHAnsi" w:cstheme="minorHAnsi"/>
            <w:lang w:val="fr-CA"/>
          </w:rPr>
          <w:t xml:space="preserve">les </w:t>
        </w:r>
        <w:r w:rsidR="00670F3E" w:rsidRPr="00670F3E">
          <w:rPr>
            <w:rStyle w:val="Hyperlink"/>
            <w:rFonts w:asciiTheme="minorHAnsi" w:hAnsiTheme="minorHAnsi" w:cstheme="minorHAnsi"/>
            <w:lang w:val="fr-CA"/>
          </w:rPr>
          <w:t>dépenses</w:t>
        </w:r>
        <w:r w:rsidRPr="00670F3E">
          <w:rPr>
            <w:rStyle w:val="Hyperlink"/>
            <w:rFonts w:asciiTheme="minorHAnsi" w:hAnsiTheme="minorHAnsi" w:cstheme="minorHAnsi"/>
            <w:lang w:val="fr-CA"/>
          </w:rPr>
          <w:t xml:space="preserve"> admissibles et non admissibles du Fonds d'investissement d’apprentissage (FIA)</w:t>
        </w:r>
      </w:hyperlink>
      <w:r w:rsidRPr="00BA18DA">
        <w:rPr>
          <w:rFonts w:asciiTheme="minorHAnsi" w:hAnsiTheme="minorHAnsi" w:cstheme="minorHAnsi"/>
          <w:lang w:val="fr-CA"/>
        </w:rPr>
        <w:t xml:space="preserve"> résum</w:t>
      </w:r>
      <w:r w:rsidR="00670F3E">
        <w:rPr>
          <w:rFonts w:asciiTheme="minorHAnsi" w:hAnsiTheme="minorHAnsi" w:cstheme="minorHAnsi"/>
          <w:lang w:val="fr-CA"/>
        </w:rPr>
        <w:t>ent</w:t>
      </w:r>
      <w:r w:rsidRPr="00BA18DA">
        <w:rPr>
          <w:rFonts w:asciiTheme="minorHAnsi" w:hAnsiTheme="minorHAnsi" w:cstheme="minorHAnsi"/>
          <w:lang w:val="fr-CA"/>
        </w:rPr>
        <w:t xml:space="preserve"> </w:t>
      </w:r>
      <w:r w:rsidR="00670F3E">
        <w:rPr>
          <w:rFonts w:asciiTheme="minorHAnsi" w:hAnsiTheme="minorHAnsi" w:cstheme="minorHAnsi"/>
          <w:lang w:val="fr-CA"/>
        </w:rPr>
        <w:t>les</w:t>
      </w:r>
      <w:r w:rsidRPr="00BA18DA">
        <w:rPr>
          <w:rFonts w:asciiTheme="minorHAnsi" w:hAnsiTheme="minorHAnsi" w:cstheme="minorHAnsi"/>
          <w:lang w:val="fr-CA"/>
        </w:rPr>
        <w:t xml:space="preserve"> type de dépenses couvertes par le F</w:t>
      </w:r>
      <w:r>
        <w:rPr>
          <w:rFonts w:asciiTheme="minorHAnsi" w:hAnsiTheme="minorHAnsi" w:cstheme="minorHAnsi"/>
          <w:lang w:val="fr-CA"/>
        </w:rPr>
        <w:t>IA</w:t>
      </w:r>
      <w:r w:rsidRPr="00BA18DA">
        <w:rPr>
          <w:rFonts w:asciiTheme="minorHAnsi" w:hAnsiTheme="minorHAnsi" w:cstheme="minorHAnsi"/>
          <w:lang w:val="fr-CA"/>
        </w:rPr>
        <w:t>.</w:t>
      </w:r>
    </w:p>
    <w:p w14:paraId="0F573E82" w14:textId="77777777" w:rsidR="00BA18DA" w:rsidRPr="00EC4634" w:rsidRDefault="00BA18DA" w:rsidP="00EC4634">
      <w:pPr>
        <w:pStyle w:val="ListParagraph"/>
        <w:rPr>
          <w:rFonts w:asciiTheme="minorHAnsi" w:hAnsiTheme="minorHAnsi" w:cstheme="minorHAnsi"/>
          <w:lang w:val="fr-CA"/>
        </w:rPr>
      </w:pPr>
    </w:p>
    <w:p w14:paraId="2105CA6F" w14:textId="0EC5CBEC" w:rsidR="00BA18DA" w:rsidRDefault="00BA18DA" w:rsidP="00EC4634">
      <w:pPr>
        <w:pStyle w:val="ListParagraph"/>
        <w:numPr>
          <w:ilvl w:val="0"/>
          <w:numId w:val="23"/>
        </w:numPr>
        <w:rPr>
          <w:rFonts w:asciiTheme="minorHAnsi" w:hAnsiTheme="minorHAnsi" w:cstheme="minorHAnsi"/>
          <w:lang w:val="fr-CA"/>
        </w:rPr>
      </w:pPr>
      <w:r w:rsidRPr="00BA18DA">
        <w:rPr>
          <w:rFonts w:asciiTheme="minorHAnsi" w:hAnsiTheme="minorHAnsi" w:cstheme="minorHAnsi"/>
          <w:lang w:val="fr-CA"/>
        </w:rPr>
        <w:t xml:space="preserve">Des principes directeurs sont désormais disponibles pour soutenir </w:t>
      </w:r>
      <w:hyperlink r:id="rId30" w:history="1">
        <w:r w:rsidRPr="00400FD3">
          <w:rPr>
            <w:rStyle w:val="Hyperlink"/>
            <w:rFonts w:asciiTheme="minorHAnsi" w:hAnsiTheme="minorHAnsi" w:cstheme="minorHAnsi"/>
            <w:lang w:val="fr-CA"/>
          </w:rPr>
          <w:t>la gestion du FIA</w:t>
        </w:r>
      </w:hyperlink>
      <w:r w:rsidRPr="00BA18DA">
        <w:rPr>
          <w:rFonts w:asciiTheme="minorHAnsi" w:hAnsiTheme="minorHAnsi" w:cstheme="minorHAnsi"/>
          <w:lang w:val="fr-CA"/>
        </w:rPr>
        <w:t xml:space="preserve"> aux niveaux </w:t>
      </w:r>
      <w:r>
        <w:rPr>
          <w:rFonts w:asciiTheme="minorHAnsi" w:hAnsiTheme="minorHAnsi" w:cstheme="minorHAnsi"/>
          <w:lang w:val="fr-CA"/>
        </w:rPr>
        <w:t>du ministère</w:t>
      </w:r>
      <w:r w:rsidRPr="00BA18DA">
        <w:rPr>
          <w:rFonts w:asciiTheme="minorHAnsi" w:hAnsiTheme="minorHAnsi" w:cstheme="minorHAnsi"/>
          <w:lang w:val="fr-CA"/>
        </w:rPr>
        <w:t xml:space="preserve"> et des directions générales / régions.</w:t>
      </w:r>
    </w:p>
    <w:p w14:paraId="7633C98E" w14:textId="77777777" w:rsidR="00BA18DA" w:rsidRPr="00EC4634" w:rsidRDefault="00BA18DA" w:rsidP="00EC4634">
      <w:pPr>
        <w:pStyle w:val="ListParagraph"/>
        <w:rPr>
          <w:rFonts w:asciiTheme="minorHAnsi" w:hAnsiTheme="minorHAnsi" w:cstheme="minorHAnsi"/>
          <w:lang w:val="fr-CA"/>
        </w:rPr>
      </w:pPr>
    </w:p>
    <w:p w14:paraId="3BC8467F" w14:textId="77B03DDD" w:rsidR="00BA18DA" w:rsidRDefault="00BA18DA" w:rsidP="00EC4634">
      <w:pPr>
        <w:pStyle w:val="ListParagraph"/>
        <w:numPr>
          <w:ilvl w:val="0"/>
          <w:numId w:val="23"/>
        </w:numPr>
        <w:rPr>
          <w:rFonts w:asciiTheme="minorHAnsi" w:hAnsiTheme="minorHAnsi" w:cstheme="minorHAnsi"/>
          <w:lang w:val="fr-CA"/>
        </w:rPr>
      </w:pPr>
      <w:r>
        <w:rPr>
          <w:rFonts w:asciiTheme="minorHAnsi" w:hAnsiTheme="minorHAnsi" w:cstheme="minorHAnsi"/>
          <w:lang w:val="fr-CA"/>
        </w:rPr>
        <w:t>Les directions générales</w:t>
      </w:r>
      <w:r w:rsidRPr="00BA18DA">
        <w:rPr>
          <w:rFonts w:asciiTheme="minorHAnsi" w:hAnsiTheme="minorHAnsi" w:cstheme="minorHAnsi"/>
          <w:lang w:val="fr-CA"/>
        </w:rPr>
        <w:t xml:space="preserve"> et les régions (</w:t>
      </w:r>
      <w:r w:rsidR="00A14714">
        <w:rPr>
          <w:rFonts w:asciiTheme="minorHAnsi" w:hAnsiTheme="minorHAnsi" w:cstheme="minorHAnsi"/>
          <w:lang w:val="fr-CA"/>
        </w:rPr>
        <w:t xml:space="preserve">celles </w:t>
      </w:r>
      <w:r w:rsidRPr="00BA18DA">
        <w:rPr>
          <w:rFonts w:asciiTheme="minorHAnsi" w:hAnsiTheme="minorHAnsi" w:cstheme="minorHAnsi"/>
          <w:lang w:val="fr-CA"/>
        </w:rPr>
        <w:t>participant au F</w:t>
      </w:r>
      <w:r>
        <w:rPr>
          <w:rFonts w:asciiTheme="minorHAnsi" w:hAnsiTheme="minorHAnsi" w:cstheme="minorHAnsi"/>
          <w:lang w:val="fr-CA"/>
        </w:rPr>
        <w:t>IA</w:t>
      </w:r>
      <w:r w:rsidRPr="00BA18DA">
        <w:rPr>
          <w:rFonts w:asciiTheme="minorHAnsi" w:hAnsiTheme="minorHAnsi" w:cstheme="minorHAnsi"/>
          <w:lang w:val="fr-CA"/>
        </w:rPr>
        <w:t xml:space="preserve"> uniquement) ne peuvent pas utiliser l'allocation initiale du budget du F</w:t>
      </w:r>
      <w:r>
        <w:rPr>
          <w:rFonts w:asciiTheme="minorHAnsi" w:hAnsiTheme="minorHAnsi" w:cstheme="minorHAnsi"/>
          <w:lang w:val="fr-CA"/>
        </w:rPr>
        <w:t>IA</w:t>
      </w:r>
      <w:r w:rsidRPr="00BA18DA">
        <w:rPr>
          <w:rFonts w:asciiTheme="minorHAnsi" w:hAnsiTheme="minorHAnsi" w:cstheme="minorHAnsi"/>
          <w:lang w:val="fr-CA"/>
        </w:rPr>
        <w:t xml:space="preserve"> (B011) pour compléter le budget de fonctionnement</w:t>
      </w:r>
      <w:r>
        <w:rPr>
          <w:rFonts w:asciiTheme="minorHAnsi" w:hAnsiTheme="minorHAnsi" w:cstheme="minorHAnsi"/>
          <w:lang w:val="fr-CA"/>
        </w:rPr>
        <w:t xml:space="preserve"> (B001)</w:t>
      </w:r>
      <w:r w:rsidRPr="00BA18DA">
        <w:rPr>
          <w:rFonts w:asciiTheme="minorHAnsi" w:hAnsiTheme="minorHAnsi" w:cstheme="minorHAnsi"/>
          <w:lang w:val="fr-CA"/>
        </w:rPr>
        <w:t xml:space="preserve"> de la </w:t>
      </w:r>
      <w:r>
        <w:rPr>
          <w:rFonts w:asciiTheme="minorHAnsi" w:hAnsiTheme="minorHAnsi" w:cstheme="minorHAnsi"/>
          <w:lang w:val="fr-CA"/>
        </w:rPr>
        <w:t>direction générale / région</w:t>
      </w:r>
      <w:r w:rsidRPr="00BA18DA">
        <w:rPr>
          <w:rFonts w:asciiTheme="minorHAnsi" w:hAnsiTheme="minorHAnsi" w:cstheme="minorHAnsi"/>
          <w:lang w:val="fr-CA"/>
        </w:rPr>
        <w:t>, à moins que le transfert n'implique des fonds précédemment transférés du budget de fonctionnement pour compléter le F</w:t>
      </w:r>
      <w:r>
        <w:rPr>
          <w:rFonts w:asciiTheme="minorHAnsi" w:hAnsiTheme="minorHAnsi" w:cstheme="minorHAnsi"/>
          <w:lang w:val="fr-CA"/>
        </w:rPr>
        <w:t>IA</w:t>
      </w:r>
      <w:r w:rsidRPr="00BA18DA">
        <w:rPr>
          <w:rFonts w:asciiTheme="minorHAnsi" w:hAnsiTheme="minorHAnsi" w:cstheme="minorHAnsi"/>
          <w:lang w:val="fr-CA"/>
        </w:rPr>
        <w:t>.</w:t>
      </w:r>
    </w:p>
    <w:p w14:paraId="0D453DFF" w14:textId="77777777" w:rsidR="00BA18DA" w:rsidRPr="00EC4634" w:rsidRDefault="00BA18DA" w:rsidP="00EC4634">
      <w:pPr>
        <w:pStyle w:val="ListParagraph"/>
        <w:rPr>
          <w:rFonts w:asciiTheme="minorHAnsi" w:hAnsiTheme="minorHAnsi" w:cstheme="minorHAnsi"/>
          <w:lang w:val="fr-CA"/>
        </w:rPr>
      </w:pPr>
    </w:p>
    <w:p w14:paraId="34681A88" w14:textId="77777777" w:rsidR="00BA18DA" w:rsidRDefault="00BA18DA" w:rsidP="00BA18DA">
      <w:pPr>
        <w:rPr>
          <w:rFonts w:asciiTheme="minorHAnsi" w:hAnsiTheme="minorHAnsi" w:cstheme="minorHAnsi"/>
          <w:lang w:val="fr-CA"/>
        </w:rPr>
      </w:pPr>
      <w:r w:rsidRPr="00BA18DA">
        <w:rPr>
          <w:rFonts w:asciiTheme="minorHAnsi" w:hAnsiTheme="minorHAnsi" w:cstheme="minorHAnsi"/>
          <w:lang w:val="fr-CA"/>
        </w:rPr>
        <w:t xml:space="preserve">Une </w:t>
      </w:r>
      <w:r w:rsidRPr="00EC4634">
        <w:rPr>
          <w:rFonts w:asciiTheme="minorHAnsi" w:hAnsiTheme="minorHAnsi" w:cstheme="minorHAnsi"/>
          <w:b/>
          <w:lang w:val="fr-CA"/>
        </w:rPr>
        <w:t>étude</w:t>
      </w:r>
      <w:r w:rsidR="00BA4C41">
        <w:rPr>
          <w:rFonts w:asciiTheme="minorHAnsi" w:hAnsiTheme="minorHAnsi" w:cstheme="minorHAnsi"/>
          <w:b/>
          <w:lang w:val="fr-CA"/>
        </w:rPr>
        <w:t xml:space="preserve"> de</w:t>
      </w:r>
      <w:r w:rsidRPr="00EC4634">
        <w:rPr>
          <w:rFonts w:asciiTheme="minorHAnsi" w:hAnsiTheme="minorHAnsi" w:cstheme="minorHAnsi"/>
          <w:b/>
          <w:lang w:val="fr-CA"/>
        </w:rPr>
        <w:t xml:space="preserve"> cas</w:t>
      </w:r>
      <w:r w:rsidRPr="00BA18DA">
        <w:rPr>
          <w:rFonts w:asciiTheme="minorHAnsi" w:hAnsiTheme="minorHAnsi" w:cstheme="minorHAnsi"/>
          <w:lang w:val="fr-CA"/>
        </w:rPr>
        <w:t xml:space="preserve"> du Fonds d'investissement d</w:t>
      </w:r>
      <w:r>
        <w:rPr>
          <w:rFonts w:asciiTheme="minorHAnsi" w:hAnsiTheme="minorHAnsi" w:cstheme="minorHAnsi"/>
          <w:lang w:val="fr-CA"/>
        </w:rPr>
        <w:t>’apprentissage</w:t>
      </w:r>
      <w:r w:rsidRPr="00BA18DA">
        <w:rPr>
          <w:rFonts w:asciiTheme="minorHAnsi" w:hAnsiTheme="minorHAnsi" w:cstheme="minorHAnsi"/>
          <w:lang w:val="fr-CA"/>
        </w:rPr>
        <w:t xml:space="preserve"> (F</w:t>
      </w:r>
      <w:r>
        <w:rPr>
          <w:rFonts w:asciiTheme="minorHAnsi" w:hAnsiTheme="minorHAnsi" w:cstheme="minorHAnsi"/>
          <w:lang w:val="fr-CA"/>
        </w:rPr>
        <w:t>IA</w:t>
      </w:r>
      <w:r w:rsidRPr="00BA18DA">
        <w:rPr>
          <w:rFonts w:asciiTheme="minorHAnsi" w:hAnsiTheme="minorHAnsi" w:cstheme="minorHAnsi"/>
          <w:lang w:val="fr-CA"/>
        </w:rPr>
        <w:t>) est requise pour toute exigence de F</w:t>
      </w:r>
      <w:r>
        <w:rPr>
          <w:rFonts w:asciiTheme="minorHAnsi" w:hAnsiTheme="minorHAnsi" w:cstheme="minorHAnsi"/>
          <w:lang w:val="fr-CA"/>
        </w:rPr>
        <w:t>IA</w:t>
      </w:r>
      <w:r w:rsidRPr="00BA18DA">
        <w:rPr>
          <w:rFonts w:asciiTheme="minorHAnsi" w:hAnsiTheme="minorHAnsi" w:cstheme="minorHAnsi"/>
          <w:lang w:val="fr-CA"/>
        </w:rPr>
        <w:t xml:space="preserve"> qui dépasse l'attribution initiale du F</w:t>
      </w:r>
      <w:r>
        <w:rPr>
          <w:rFonts w:asciiTheme="minorHAnsi" w:hAnsiTheme="minorHAnsi" w:cstheme="minorHAnsi"/>
          <w:lang w:val="fr-CA"/>
        </w:rPr>
        <w:t>IA</w:t>
      </w:r>
      <w:r w:rsidRPr="00BA18DA">
        <w:rPr>
          <w:rFonts w:asciiTheme="minorHAnsi" w:hAnsiTheme="minorHAnsi" w:cstheme="minorHAnsi"/>
          <w:lang w:val="fr-CA"/>
        </w:rPr>
        <w:t xml:space="preserve"> reçue de la Direction</w:t>
      </w:r>
      <w:r>
        <w:rPr>
          <w:rFonts w:asciiTheme="minorHAnsi" w:hAnsiTheme="minorHAnsi" w:cstheme="minorHAnsi"/>
          <w:lang w:val="fr-CA"/>
        </w:rPr>
        <w:t xml:space="preserve"> générale</w:t>
      </w:r>
      <w:r w:rsidRPr="00BA18DA">
        <w:rPr>
          <w:rFonts w:asciiTheme="minorHAnsi" w:hAnsiTheme="minorHAnsi" w:cstheme="minorHAnsi"/>
          <w:lang w:val="fr-CA"/>
        </w:rPr>
        <w:t xml:space="preserve"> des serv</w:t>
      </w:r>
      <w:r>
        <w:rPr>
          <w:rFonts w:asciiTheme="minorHAnsi" w:hAnsiTheme="minorHAnsi" w:cstheme="minorHAnsi"/>
          <w:lang w:val="fr-CA"/>
        </w:rPr>
        <w:t>ices des ressources humaines (RGSRH</w:t>
      </w:r>
      <w:r w:rsidRPr="00BA18DA">
        <w:rPr>
          <w:rFonts w:asciiTheme="minorHAnsi" w:hAnsiTheme="minorHAnsi" w:cstheme="minorHAnsi"/>
          <w:lang w:val="fr-CA"/>
        </w:rPr>
        <w:t xml:space="preserve">) (Collège @ EDSC) et pour laquelle la </w:t>
      </w:r>
      <w:r>
        <w:rPr>
          <w:rFonts w:asciiTheme="minorHAnsi" w:hAnsiTheme="minorHAnsi" w:cstheme="minorHAnsi"/>
          <w:lang w:val="fr-CA"/>
        </w:rPr>
        <w:t>direction générale</w:t>
      </w:r>
      <w:r w:rsidRPr="00BA18DA">
        <w:rPr>
          <w:rFonts w:asciiTheme="minorHAnsi" w:hAnsiTheme="minorHAnsi" w:cstheme="minorHAnsi"/>
          <w:lang w:val="fr-CA"/>
        </w:rPr>
        <w:t xml:space="preserve"> / région n'est pas en mesure de financer à partir </w:t>
      </w:r>
      <w:r>
        <w:rPr>
          <w:rFonts w:asciiTheme="minorHAnsi" w:hAnsiTheme="minorHAnsi" w:cstheme="minorHAnsi"/>
          <w:lang w:val="fr-CA"/>
        </w:rPr>
        <w:t>de ses ressources existantes</w:t>
      </w:r>
      <w:r w:rsidRPr="00BA18DA">
        <w:rPr>
          <w:rFonts w:asciiTheme="minorHAnsi" w:hAnsiTheme="minorHAnsi" w:cstheme="minorHAnsi"/>
          <w:lang w:val="fr-CA"/>
        </w:rPr>
        <w:t>. En plus de l'</w:t>
      </w:r>
      <w:r>
        <w:rPr>
          <w:rFonts w:asciiTheme="minorHAnsi" w:hAnsiTheme="minorHAnsi" w:cstheme="minorHAnsi"/>
          <w:lang w:val="fr-CA"/>
        </w:rPr>
        <w:t>étude de cas</w:t>
      </w:r>
      <w:r w:rsidRPr="00BA18DA">
        <w:rPr>
          <w:rFonts w:asciiTheme="minorHAnsi" w:hAnsiTheme="minorHAnsi" w:cstheme="minorHAnsi"/>
          <w:lang w:val="fr-CA"/>
        </w:rPr>
        <w:t xml:space="preserve">, le </w:t>
      </w:r>
      <w:r w:rsidRPr="00EC4634">
        <w:rPr>
          <w:rFonts w:asciiTheme="minorHAnsi" w:hAnsiTheme="minorHAnsi" w:cstheme="minorHAnsi"/>
          <w:b/>
          <w:lang w:val="fr-CA"/>
        </w:rPr>
        <w:t>for</w:t>
      </w:r>
      <w:r w:rsidR="00BA4C41" w:rsidRPr="00EC4634">
        <w:rPr>
          <w:rFonts w:asciiTheme="minorHAnsi" w:hAnsiTheme="minorHAnsi" w:cstheme="minorHAnsi"/>
          <w:b/>
          <w:lang w:val="fr-CA"/>
        </w:rPr>
        <w:t>mulaire d'explication de variance</w:t>
      </w:r>
      <w:r w:rsidRPr="00BA18DA">
        <w:rPr>
          <w:rFonts w:asciiTheme="minorHAnsi" w:hAnsiTheme="minorHAnsi" w:cstheme="minorHAnsi"/>
          <w:lang w:val="fr-CA"/>
        </w:rPr>
        <w:t xml:space="preserve"> devrait également fournir une brève justification de la raison pour laquelle la </w:t>
      </w:r>
      <w:r w:rsidR="00BA4C41">
        <w:rPr>
          <w:rFonts w:asciiTheme="minorHAnsi" w:hAnsiTheme="minorHAnsi" w:cstheme="minorHAnsi"/>
          <w:lang w:val="fr-CA"/>
        </w:rPr>
        <w:t>direction générale</w:t>
      </w:r>
      <w:r w:rsidRPr="00BA18DA">
        <w:rPr>
          <w:rFonts w:asciiTheme="minorHAnsi" w:hAnsiTheme="minorHAnsi" w:cstheme="minorHAnsi"/>
          <w:lang w:val="fr-CA"/>
        </w:rPr>
        <w:t xml:space="preserve"> / région ne peut pas absorber </w:t>
      </w:r>
      <w:r w:rsidR="00BA4C41">
        <w:rPr>
          <w:rFonts w:asciiTheme="minorHAnsi" w:hAnsiTheme="minorHAnsi" w:cstheme="minorHAnsi"/>
          <w:lang w:val="fr-CA"/>
        </w:rPr>
        <w:t>à l’</w:t>
      </w:r>
      <w:r w:rsidRPr="00BA18DA">
        <w:rPr>
          <w:rFonts w:asciiTheme="minorHAnsi" w:hAnsiTheme="minorHAnsi" w:cstheme="minorHAnsi"/>
          <w:lang w:val="fr-CA"/>
        </w:rPr>
        <w:t>interne.</w:t>
      </w:r>
    </w:p>
    <w:p w14:paraId="18CEA468" w14:textId="77777777" w:rsidR="00EC4634" w:rsidRPr="00EC4634" w:rsidRDefault="00EC4634" w:rsidP="00BA18DA">
      <w:pPr>
        <w:rPr>
          <w:rFonts w:asciiTheme="minorHAnsi" w:hAnsiTheme="minorHAnsi" w:cstheme="minorHAnsi"/>
          <w:lang w:val="fr-CA"/>
        </w:rPr>
      </w:pPr>
    </w:p>
    <w:p w14:paraId="4A85EAD2" w14:textId="3D6D087F" w:rsidR="006C5DF9" w:rsidRPr="006C5DF9" w:rsidRDefault="006C5DF9" w:rsidP="00E8661F">
      <w:pPr>
        <w:pStyle w:val="Heading2"/>
        <w:numPr>
          <w:ilvl w:val="1"/>
          <w:numId w:val="2"/>
        </w:numPr>
        <w:rPr>
          <w:rFonts w:asciiTheme="minorHAnsi" w:hAnsiTheme="minorHAnsi" w:cstheme="minorHAnsi"/>
          <w:lang w:val="fr-CA"/>
        </w:rPr>
      </w:pPr>
      <w:bookmarkStart w:id="56" w:name="_Toc72402525"/>
      <w:bookmarkStart w:id="57" w:name="_Toc8310872"/>
      <w:r w:rsidRPr="006C5DF9">
        <w:rPr>
          <w:rFonts w:asciiTheme="minorHAnsi" w:hAnsiTheme="minorHAnsi" w:cstheme="minorHAnsi"/>
          <w:lang w:val="fr-CA"/>
        </w:rPr>
        <w:t>Prévisions pour les Entente</w:t>
      </w:r>
      <w:r>
        <w:rPr>
          <w:rFonts w:asciiTheme="minorHAnsi" w:hAnsiTheme="minorHAnsi" w:cstheme="minorHAnsi"/>
          <w:lang w:val="fr-CA"/>
        </w:rPr>
        <w:t>s de partenariat de prestation</w:t>
      </w:r>
      <w:r w:rsidRPr="006C5DF9">
        <w:rPr>
          <w:rFonts w:asciiTheme="minorHAnsi" w:hAnsiTheme="minorHAnsi" w:cstheme="minorHAnsi"/>
          <w:lang w:val="fr-CA"/>
        </w:rPr>
        <w:t xml:space="preserve"> de </w:t>
      </w:r>
      <w:r>
        <w:rPr>
          <w:rFonts w:asciiTheme="minorHAnsi" w:hAnsiTheme="minorHAnsi" w:cstheme="minorHAnsi"/>
          <w:lang w:val="fr-CA"/>
        </w:rPr>
        <w:t>services (sous LMEDS)</w:t>
      </w:r>
      <w:bookmarkEnd w:id="56"/>
    </w:p>
    <w:bookmarkEnd w:id="57"/>
    <w:p w14:paraId="0E8E473E" w14:textId="77777777" w:rsidR="006C5DF9" w:rsidRPr="006C5DF9" w:rsidRDefault="006C5DF9" w:rsidP="006C5DF9">
      <w:pPr>
        <w:rPr>
          <w:lang w:val="fr-CA"/>
        </w:rPr>
      </w:pPr>
    </w:p>
    <w:p w14:paraId="034FDDE8" w14:textId="1DD48F06" w:rsidR="006C5DF9" w:rsidRPr="00CE35E6" w:rsidRDefault="006C5DF9" w:rsidP="00CE35E6">
      <w:pPr>
        <w:rPr>
          <w:lang w:val="fr-CA"/>
        </w:rPr>
      </w:pPr>
      <w:r w:rsidRPr="006C5DF9">
        <w:rPr>
          <w:lang w:val="fr-CA"/>
        </w:rPr>
        <w:t>Les budgets liés aux Partenariats pour la prestation de</w:t>
      </w:r>
      <w:r w:rsidR="004B7815">
        <w:rPr>
          <w:lang w:val="fr-CA"/>
        </w:rPr>
        <w:t xml:space="preserve"> services ont été alloués en utilisant des fonds d’autorité restreint (Fonds A401 à A4</w:t>
      </w:r>
      <w:r w:rsidR="00BA4C41">
        <w:rPr>
          <w:lang w:val="fr-CA"/>
        </w:rPr>
        <w:t>1</w:t>
      </w:r>
      <w:r w:rsidR="00194417">
        <w:rPr>
          <w:lang w:val="fr-CA"/>
        </w:rPr>
        <w:t>1</w:t>
      </w:r>
      <w:r w:rsidR="004B7815">
        <w:rPr>
          <w:lang w:val="fr-CA"/>
        </w:rPr>
        <w:t xml:space="preserve"> et A449). Bien qu’il s’agit de dépenses statutaires, le processus prévisionnel est le même que pour les fonds de fonctionnement régulier. De ce fait, les prévisions salariales pour ces activités devraient être inscrit dans l’OPS, alors que les prévisions non-salariales devraient être capt</w:t>
      </w:r>
      <w:r w:rsidR="00A14714">
        <w:rPr>
          <w:lang w:val="fr-CA"/>
        </w:rPr>
        <w:t>ées</w:t>
      </w:r>
      <w:r w:rsidR="004B7815">
        <w:rPr>
          <w:lang w:val="fr-CA"/>
        </w:rPr>
        <w:t xml:space="preserve"> dans l’</w:t>
      </w:r>
      <w:r w:rsidR="00A14714">
        <w:rPr>
          <w:lang w:val="fr-CA"/>
        </w:rPr>
        <w:t>o</w:t>
      </w:r>
      <w:r w:rsidR="004B7815">
        <w:rPr>
          <w:lang w:val="fr-CA"/>
        </w:rPr>
        <w:t>util de prévision</w:t>
      </w:r>
      <w:r w:rsidR="00A14714">
        <w:rPr>
          <w:lang w:val="fr-CA"/>
        </w:rPr>
        <w:t>s</w:t>
      </w:r>
      <w:r w:rsidR="004B7815">
        <w:rPr>
          <w:lang w:val="fr-CA"/>
        </w:rPr>
        <w:t xml:space="preserve"> non</w:t>
      </w:r>
      <w:r w:rsidR="00A14714">
        <w:rPr>
          <w:lang w:val="fr-CA"/>
        </w:rPr>
        <w:t>-</w:t>
      </w:r>
      <w:r w:rsidR="004B7815">
        <w:rPr>
          <w:lang w:val="fr-CA"/>
        </w:rPr>
        <w:t>salarial</w:t>
      </w:r>
      <w:r w:rsidR="00A14714">
        <w:rPr>
          <w:lang w:val="fr-CA"/>
        </w:rPr>
        <w:t>es</w:t>
      </w:r>
      <w:r w:rsidR="004B7815">
        <w:rPr>
          <w:lang w:val="fr-CA"/>
        </w:rPr>
        <w:t xml:space="preserve"> (type de prévision F&amp;E). Veuillez noter que seul</w:t>
      </w:r>
      <w:r w:rsidR="00A14714">
        <w:rPr>
          <w:lang w:val="fr-CA"/>
        </w:rPr>
        <w:t>es</w:t>
      </w:r>
      <w:r w:rsidR="004B7815">
        <w:rPr>
          <w:lang w:val="fr-CA"/>
        </w:rPr>
        <w:t xml:space="preserve"> les ententes permanentes ou majeures (de plus de 1 M$) sont séparées dans des fonds distincts. Les ententes de faible valeur sont tou</w:t>
      </w:r>
      <w:r w:rsidR="00A14714">
        <w:rPr>
          <w:lang w:val="fr-CA"/>
        </w:rPr>
        <w:t>te</w:t>
      </w:r>
      <w:r w:rsidR="004B7815">
        <w:rPr>
          <w:lang w:val="fr-CA"/>
        </w:rPr>
        <w:t>s inclu</w:t>
      </w:r>
      <w:r w:rsidR="00A14714">
        <w:rPr>
          <w:lang w:val="fr-CA"/>
        </w:rPr>
        <w:t>e</w:t>
      </w:r>
      <w:r w:rsidR="004B7815">
        <w:rPr>
          <w:lang w:val="fr-CA"/>
        </w:rPr>
        <w:t>s dans un seul fond (A449). Les prévisions pour ce type d’entente devront être capté</w:t>
      </w:r>
      <w:r w:rsidR="00A14714">
        <w:rPr>
          <w:lang w:val="fr-CA"/>
        </w:rPr>
        <w:t>e</w:t>
      </w:r>
      <w:r w:rsidR="004B7815">
        <w:rPr>
          <w:lang w:val="fr-CA"/>
        </w:rPr>
        <w:t>s dans FMBB seulement. (</w:t>
      </w:r>
      <w:r w:rsidR="00A14714">
        <w:rPr>
          <w:lang w:val="fr-CA"/>
        </w:rPr>
        <w:t xml:space="preserve">Voir </w:t>
      </w:r>
      <w:r w:rsidR="004B7815">
        <w:rPr>
          <w:lang w:val="fr-CA"/>
        </w:rPr>
        <w:t>la section 3.4.1 pour plus d’information</w:t>
      </w:r>
      <w:r w:rsidR="00A14714">
        <w:rPr>
          <w:lang w:val="fr-CA"/>
        </w:rPr>
        <w:t>)</w:t>
      </w:r>
      <w:r w:rsidR="004B7815">
        <w:rPr>
          <w:lang w:val="fr-CA"/>
        </w:rPr>
        <w:t>.</w:t>
      </w:r>
      <w:r w:rsidR="00CE35E6">
        <w:rPr>
          <w:lang w:val="fr-CA"/>
        </w:rPr>
        <w:t xml:space="preserve"> </w:t>
      </w:r>
    </w:p>
    <w:p w14:paraId="2A00D297" w14:textId="77777777" w:rsidR="005156EB" w:rsidRDefault="005156EB" w:rsidP="006C5DF9">
      <w:pPr>
        <w:rPr>
          <w:lang w:val="fr-CA"/>
        </w:rPr>
      </w:pPr>
    </w:p>
    <w:p w14:paraId="7C9BC55E" w14:textId="16054C10" w:rsidR="005156EB" w:rsidRDefault="005156EB" w:rsidP="006C5DF9">
      <w:pPr>
        <w:rPr>
          <w:lang w:val="fr-CA"/>
        </w:rPr>
      </w:pPr>
      <w:r>
        <w:rPr>
          <w:lang w:val="fr-CA"/>
        </w:rPr>
        <w:t>Le ministère a l’autorité de recouvrir</w:t>
      </w:r>
      <w:r w:rsidR="00A14714">
        <w:rPr>
          <w:lang w:val="fr-CA"/>
        </w:rPr>
        <w:t xml:space="preserve"> les coûts</w:t>
      </w:r>
      <w:r>
        <w:rPr>
          <w:lang w:val="fr-CA"/>
        </w:rPr>
        <w:t xml:space="preserve"> pour les Partenariat</w:t>
      </w:r>
      <w:r w:rsidR="00F33D22">
        <w:rPr>
          <w:lang w:val="fr-CA"/>
        </w:rPr>
        <w:t>s</w:t>
      </w:r>
      <w:r>
        <w:rPr>
          <w:lang w:val="fr-CA"/>
        </w:rPr>
        <w:t xml:space="preserve"> de prestation de services suivants : </w:t>
      </w:r>
    </w:p>
    <w:p w14:paraId="7EEFA82C" w14:textId="77777777" w:rsidR="000D0C27" w:rsidRDefault="000D0C27" w:rsidP="006C5DF9">
      <w:pPr>
        <w:rPr>
          <w:lang w:val="fr-CA"/>
        </w:rPr>
      </w:pPr>
    </w:p>
    <w:p w14:paraId="4B139818" w14:textId="77777777" w:rsidR="000D0C27" w:rsidRPr="00F33D22" w:rsidRDefault="000D0C27" w:rsidP="000D0C27">
      <w:pPr>
        <w:pStyle w:val="ListParagraph"/>
        <w:numPr>
          <w:ilvl w:val="0"/>
          <w:numId w:val="22"/>
        </w:numPr>
        <w:rPr>
          <w:rFonts w:ascii="Helvetica" w:hAnsi="Helvetica"/>
          <w:lang w:val="fr-FR"/>
        </w:rPr>
      </w:pPr>
      <w:r w:rsidRPr="00F33D22">
        <w:rPr>
          <w:rFonts w:ascii="Helvetica" w:hAnsi="Helvetica"/>
          <w:lang w:val="fr-FR"/>
        </w:rPr>
        <w:t xml:space="preserve">Services d’information </w:t>
      </w:r>
      <w:r w:rsidR="008F014D" w:rsidRPr="00F33D22">
        <w:rPr>
          <w:rFonts w:ascii="Helvetica" w:hAnsi="Helvetica"/>
          <w:lang w:val="fr-FR"/>
        </w:rPr>
        <w:t>personnalisés</w:t>
      </w:r>
      <w:r w:rsidRPr="00F33D22">
        <w:rPr>
          <w:rFonts w:ascii="Helvetica" w:hAnsi="Helvetica"/>
          <w:lang w:val="fr-FR"/>
        </w:rPr>
        <w:t xml:space="preserve"> (A401)</w:t>
      </w:r>
    </w:p>
    <w:p w14:paraId="49BEB127" w14:textId="77777777" w:rsidR="000D0C27" w:rsidRPr="00F33D22" w:rsidRDefault="000D0C27" w:rsidP="000D0C27">
      <w:pPr>
        <w:pStyle w:val="ListParagraph"/>
        <w:numPr>
          <w:ilvl w:val="0"/>
          <w:numId w:val="22"/>
        </w:numPr>
        <w:rPr>
          <w:rFonts w:ascii="Helvetica" w:hAnsi="Helvetica"/>
          <w:lang w:val="fr-FR"/>
        </w:rPr>
      </w:pPr>
      <w:r w:rsidRPr="00F33D22">
        <w:rPr>
          <w:rFonts w:ascii="Helvetica" w:hAnsi="Helvetica"/>
          <w:lang w:val="fr-FR"/>
        </w:rPr>
        <w:t>Passeport (A402)</w:t>
      </w:r>
    </w:p>
    <w:p w14:paraId="339EF63E" w14:textId="77777777" w:rsidR="000D0C27" w:rsidRPr="00F33D22" w:rsidRDefault="008F014D" w:rsidP="000D0C27">
      <w:pPr>
        <w:pStyle w:val="ListParagraph"/>
        <w:numPr>
          <w:ilvl w:val="0"/>
          <w:numId w:val="22"/>
        </w:numPr>
        <w:rPr>
          <w:rFonts w:ascii="Helvetica" w:hAnsi="Helvetica"/>
          <w:lang w:val="fr-FR"/>
        </w:rPr>
      </w:pPr>
      <w:r w:rsidRPr="00F33D22">
        <w:rPr>
          <w:rFonts w:ascii="Helvetica" w:hAnsi="Helvetica"/>
          <w:lang w:val="fr-FR"/>
        </w:rPr>
        <w:t>Projet de modernisation du Programme de passeport (A403)</w:t>
      </w:r>
    </w:p>
    <w:p w14:paraId="74597087" w14:textId="77777777" w:rsidR="008F014D" w:rsidRPr="00F33D22" w:rsidRDefault="008F014D" w:rsidP="000D0C27">
      <w:pPr>
        <w:pStyle w:val="ListParagraph"/>
        <w:numPr>
          <w:ilvl w:val="0"/>
          <w:numId w:val="22"/>
        </w:numPr>
        <w:rPr>
          <w:rFonts w:ascii="Helvetica" w:hAnsi="Helvetica"/>
          <w:lang w:val="fr-FR"/>
        </w:rPr>
      </w:pPr>
      <w:r w:rsidRPr="00F33D22">
        <w:rPr>
          <w:rFonts w:ascii="Helvetica" w:hAnsi="Helvetica"/>
          <w:lang w:val="fr-FR"/>
        </w:rPr>
        <w:t>Programme de passeport électronique (A404)</w:t>
      </w:r>
    </w:p>
    <w:p w14:paraId="263EDA3D" w14:textId="77777777" w:rsidR="008F014D" w:rsidRPr="00F33D22" w:rsidRDefault="008F014D" w:rsidP="000D0C27">
      <w:pPr>
        <w:pStyle w:val="ListParagraph"/>
        <w:numPr>
          <w:ilvl w:val="0"/>
          <w:numId w:val="22"/>
        </w:numPr>
        <w:rPr>
          <w:rFonts w:ascii="Helvetica" w:hAnsi="Helvetica"/>
          <w:lang w:val="fr-FR"/>
        </w:rPr>
      </w:pPr>
      <w:r w:rsidRPr="00F33D22">
        <w:rPr>
          <w:rFonts w:ascii="Helvetica" w:hAnsi="Helvetica"/>
          <w:lang w:val="fr-FR"/>
        </w:rPr>
        <w:t xml:space="preserve">Services de agents </w:t>
      </w:r>
      <w:r w:rsidR="00F33D22" w:rsidRPr="00F33D22">
        <w:rPr>
          <w:rFonts w:ascii="Helvetica" w:hAnsi="Helvetica"/>
          <w:lang w:val="fr-FR"/>
        </w:rPr>
        <w:t>réceptionnaires (AR) des passeports (A405)</w:t>
      </w:r>
    </w:p>
    <w:p w14:paraId="54471EEA" w14:textId="77777777" w:rsidR="00F33D22" w:rsidRPr="00F33D22" w:rsidRDefault="00F33D22" w:rsidP="000D0C27">
      <w:pPr>
        <w:pStyle w:val="ListParagraph"/>
        <w:numPr>
          <w:ilvl w:val="0"/>
          <w:numId w:val="22"/>
        </w:numPr>
        <w:rPr>
          <w:rFonts w:ascii="Helvetica" w:hAnsi="Helvetica"/>
          <w:lang w:val="fr-FR"/>
        </w:rPr>
      </w:pPr>
      <w:r w:rsidRPr="00F33D22">
        <w:rPr>
          <w:rFonts w:ascii="Helvetica" w:hAnsi="Helvetica"/>
          <w:lang w:val="fr-FR"/>
        </w:rPr>
        <w:t>Biométrie (A406)</w:t>
      </w:r>
    </w:p>
    <w:p w14:paraId="4779DF28" w14:textId="77777777" w:rsidR="00F33D22" w:rsidRPr="00194417" w:rsidRDefault="00F33D22" w:rsidP="000D0C27">
      <w:pPr>
        <w:pStyle w:val="ListParagraph"/>
        <w:numPr>
          <w:ilvl w:val="0"/>
          <w:numId w:val="22"/>
        </w:numPr>
        <w:rPr>
          <w:lang w:val="fr-CA"/>
        </w:rPr>
      </w:pPr>
      <w:r>
        <w:rPr>
          <w:rFonts w:ascii="Helvetica" w:hAnsi="Helvetica"/>
          <w:lang w:val="fr-FR"/>
        </w:rPr>
        <w:t>Travailleurs étrangers temporaires (407)</w:t>
      </w:r>
    </w:p>
    <w:p w14:paraId="2972EDCE" w14:textId="77777777" w:rsidR="00BA4C41" w:rsidRPr="00194417" w:rsidRDefault="00BA4C41" w:rsidP="000D0C27">
      <w:pPr>
        <w:pStyle w:val="ListParagraph"/>
        <w:numPr>
          <w:ilvl w:val="0"/>
          <w:numId w:val="22"/>
        </w:numPr>
        <w:rPr>
          <w:lang w:val="fr-CA"/>
        </w:rPr>
      </w:pPr>
      <w:r>
        <w:rPr>
          <w:rFonts w:ascii="Helvetica" w:hAnsi="Helvetica"/>
          <w:lang w:val="fr-FR"/>
        </w:rPr>
        <w:t>Réservistes (A408)</w:t>
      </w:r>
    </w:p>
    <w:p w14:paraId="3919BD5F" w14:textId="77777777" w:rsidR="00BA4C41" w:rsidRPr="00194417" w:rsidRDefault="00BA4C41" w:rsidP="000D0C27">
      <w:pPr>
        <w:pStyle w:val="ListParagraph"/>
        <w:numPr>
          <w:ilvl w:val="0"/>
          <w:numId w:val="22"/>
        </w:numPr>
        <w:rPr>
          <w:lang w:val="fr-CA"/>
        </w:rPr>
      </w:pPr>
      <w:r>
        <w:rPr>
          <w:rFonts w:ascii="Helvetica" w:hAnsi="Helvetica"/>
          <w:lang w:val="fr-FR"/>
        </w:rPr>
        <w:t>Web (A409)</w:t>
      </w:r>
    </w:p>
    <w:p w14:paraId="2B82AE92" w14:textId="77777777" w:rsidR="00BA4C41" w:rsidRPr="00194417" w:rsidRDefault="00BA4C41" w:rsidP="000D0C27">
      <w:pPr>
        <w:pStyle w:val="ListParagraph"/>
        <w:numPr>
          <w:ilvl w:val="0"/>
          <w:numId w:val="22"/>
        </w:numPr>
        <w:rPr>
          <w:lang w:val="fr-CA"/>
        </w:rPr>
      </w:pPr>
      <w:r>
        <w:rPr>
          <w:rFonts w:ascii="Helvetica" w:hAnsi="Helvetica"/>
          <w:lang w:val="fr-FR"/>
        </w:rPr>
        <w:t>Anciens Combattants Canada (A410)</w:t>
      </w:r>
    </w:p>
    <w:p w14:paraId="4F6FCE56" w14:textId="2B1AE251" w:rsidR="00194417" w:rsidRDefault="004838E4" w:rsidP="004838E4">
      <w:pPr>
        <w:pStyle w:val="ListParagraph"/>
        <w:numPr>
          <w:ilvl w:val="0"/>
          <w:numId w:val="22"/>
        </w:numPr>
        <w:rPr>
          <w:rFonts w:ascii="Helvetica" w:hAnsi="Helvetica"/>
          <w:lang w:val="fr-FR"/>
        </w:rPr>
      </w:pPr>
      <w:r w:rsidRPr="004838E4">
        <w:rPr>
          <w:rFonts w:ascii="Helvetica" w:hAnsi="Helvetica"/>
          <w:lang w:val="fr-FR"/>
        </w:rPr>
        <w:t>Agence de la santé publique du Canada</w:t>
      </w:r>
      <w:r w:rsidRPr="004838E4" w:rsidDel="004838E4">
        <w:rPr>
          <w:rFonts w:ascii="Helvetica" w:hAnsi="Helvetica"/>
          <w:lang w:val="fr-FR"/>
        </w:rPr>
        <w:t xml:space="preserve"> </w:t>
      </w:r>
      <w:r w:rsidR="00194417" w:rsidRPr="00194417">
        <w:rPr>
          <w:rFonts w:ascii="Helvetica" w:hAnsi="Helvetica"/>
          <w:lang w:val="fr-FR"/>
        </w:rPr>
        <w:t>(A411)</w:t>
      </w:r>
    </w:p>
    <w:p w14:paraId="41690941" w14:textId="2F445E35" w:rsidR="00CD7BF8" w:rsidRDefault="00CD7BF8" w:rsidP="004838E4">
      <w:pPr>
        <w:pStyle w:val="ListParagraph"/>
        <w:numPr>
          <w:ilvl w:val="0"/>
          <w:numId w:val="22"/>
        </w:numPr>
        <w:rPr>
          <w:rFonts w:ascii="Helvetica" w:hAnsi="Helvetica"/>
          <w:lang w:val="fr-FR"/>
        </w:rPr>
      </w:pPr>
      <w:r>
        <w:rPr>
          <w:rFonts w:ascii="Helvetica" w:hAnsi="Helvetica"/>
          <w:lang w:val="fr-FR"/>
        </w:rPr>
        <w:t>Pêches et Océans Canada (A412)</w:t>
      </w:r>
    </w:p>
    <w:p w14:paraId="6CDED4EB" w14:textId="735AC4CE" w:rsidR="00CD7BF8" w:rsidRPr="00194417" w:rsidRDefault="00CD7BF8" w:rsidP="004838E4">
      <w:pPr>
        <w:pStyle w:val="ListParagraph"/>
        <w:numPr>
          <w:ilvl w:val="0"/>
          <w:numId w:val="22"/>
        </w:numPr>
        <w:rPr>
          <w:rFonts w:ascii="Helvetica" w:hAnsi="Helvetica"/>
          <w:lang w:val="fr-FR"/>
        </w:rPr>
      </w:pPr>
      <w:r>
        <w:rPr>
          <w:rFonts w:ascii="Helvetica" w:hAnsi="Helvetica"/>
          <w:lang w:val="fr-FR"/>
        </w:rPr>
        <w:t>Centre des opérations de livraison des passeports (A43)</w:t>
      </w:r>
    </w:p>
    <w:p w14:paraId="0F4B9508" w14:textId="77777777" w:rsidR="00F33D22" w:rsidRPr="00F33D22" w:rsidRDefault="00F33D22" w:rsidP="000D0C27">
      <w:pPr>
        <w:pStyle w:val="ListParagraph"/>
        <w:numPr>
          <w:ilvl w:val="0"/>
          <w:numId w:val="22"/>
        </w:numPr>
        <w:rPr>
          <w:lang w:val="fr-CA"/>
        </w:rPr>
      </w:pPr>
      <w:r>
        <w:rPr>
          <w:rFonts w:ascii="Helvetica" w:hAnsi="Helvetica"/>
          <w:lang w:val="fr-FR"/>
        </w:rPr>
        <w:t>Autres (A449)</w:t>
      </w:r>
    </w:p>
    <w:p w14:paraId="61A11AF0" w14:textId="77777777" w:rsidR="00F33D22" w:rsidRDefault="00F33D22" w:rsidP="00F33D22">
      <w:pPr>
        <w:pStyle w:val="ListParagraph"/>
        <w:rPr>
          <w:lang w:val="fr-CA"/>
        </w:rPr>
      </w:pPr>
    </w:p>
    <w:p w14:paraId="7C934A84" w14:textId="7E4718B0" w:rsidR="004B7815" w:rsidRDefault="00F33D22" w:rsidP="00E8661F">
      <w:pPr>
        <w:pStyle w:val="Heading3"/>
        <w:numPr>
          <w:ilvl w:val="2"/>
          <w:numId w:val="2"/>
        </w:numPr>
        <w:rPr>
          <w:lang w:val="fr-CA"/>
        </w:rPr>
      </w:pPr>
      <w:bookmarkStart w:id="58" w:name="_Toc72402526"/>
      <w:r>
        <w:rPr>
          <w:lang w:val="fr-CA"/>
        </w:rPr>
        <w:t>Prévisions pour Partenariats de prestations de services de faible valeur (Fond A449)</w:t>
      </w:r>
      <w:bookmarkEnd w:id="58"/>
    </w:p>
    <w:p w14:paraId="399EA848" w14:textId="77777777" w:rsidR="006C5DF9" w:rsidRDefault="006C5DF9" w:rsidP="006C5DF9">
      <w:pPr>
        <w:rPr>
          <w:rFonts w:cs="Arial"/>
          <w:highlight w:val="yellow"/>
          <w:lang w:val="fr-CA"/>
        </w:rPr>
      </w:pPr>
    </w:p>
    <w:p w14:paraId="16AAB597" w14:textId="57D66398" w:rsidR="00F33D22" w:rsidRPr="005943AA" w:rsidRDefault="005943AA" w:rsidP="006C5DF9">
      <w:pPr>
        <w:rPr>
          <w:rFonts w:ascii="Sylfaen" w:hAnsi="Sylfaen" w:cs="Arial"/>
          <w:lang w:val="fr-CA"/>
        </w:rPr>
      </w:pPr>
      <w:r w:rsidRPr="005943AA">
        <w:rPr>
          <w:rFonts w:cs="Arial"/>
          <w:lang w:val="fr-CA"/>
        </w:rPr>
        <w:t>Les</w:t>
      </w:r>
      <w:r>
        <w:rPr>
          <w:rFonts w:cs="Arial"/>
          <w:lang w:val="fr-CA"/>
        </w:rPr>
        <w:t xml:space="preserve"> Partenariats de prestation de services de faible valeur sont tous regroupés ensemble dans un seul fond (A449). En raison de certaines restrictions du syst</w:t>
      </w:r>
      <w:r w:rsidRPr="005943AA">
        <w:rPr>
          <w:rFonts w:cs="Arial"/>
          <w:lang w:val="fr-CA"/>
        </w:rPr>
        <w:t>ème</w:t>
      </w:r>
      <w:r>
        <w:rPr>
          <w:rFonts w:cs="Arial"/>
          <w:lang w:val="fr-CA"/>
        </w:rPr>
        <w:t xml:space="preserve"> </w:t>
      </w:r>
      <w:r w:rsidR="00011DE5">
        <w:rPr>
          <w:rFonts w:cs="Arial"/>
          <w:lang w:val="fr-CA"/>
        </w:rPr>
        <w:t>quant</w:t>
      </w:r>
      <w:r>
        <w:rPr>
          <w:rFonts w:cs="Arial"/>
          <w:lang w:val="fr-CA"/>
        </w:rPr>
        <w:t xml:space="preserve"> </w:t>
      </w:r>
      <w:r w:rsidR="00011DE5">
        <w:rPr>
          <w:rFonts w:cs="Arial"/>
          <w:lang w:val="fr-CA"/>
        </w:rPr>
        <w:t>à la distribution</w:t>
      </w:r>
      <w:r>
        <w:rPr>
          <w:rFonts w:cs="Arial"/>
          <w:lang w:val="fr-CA"/>
        </w:rPr>
        <w:t xml:space="preserve"> des coûts</w:t>
      </w:r>
      <w:r w:rsidR="00011DE5">
        <w:rPr>
          <w:rFonts w:cs="Arial"/>
          <w:lang w:val="fr-CA"/>
        </w:rPr>
        <w:t xml:space="preserve">, le processus prévisionnel pour ces </w:t>
      </w:r>
      <w:r w:rsidR="00011DE5" w:rsidRPr="00011DE5">
        <w:rPr>
          <w:rFonts w:cs="Arial"/>
          <w:lang w:val="fr-CA"/>
        </w:rPr>
        <w:t xml:space="preserve">activités </w:t>
      </w:r>
      <w:r w:rsidR="00011DE5">
        <w:rPr>
          <w:rFonts w:cs="Arial"/>
          <w:lang w:val="fr-CA"/>
        </w:rPr>
        <w:t xml:space="preserve">diffère. Ainsi, les prévisions salariales pour les employés assignés à ces partenariats de prestation de services continueront à être </w:t>
      </w:r>
      <w:r w:rsidR="00A14714">
        <w:rPr>
          <w:rFonts w:cs="Arial"/>
          <w:lang w:val="fr-CA"/>
        </w:rPr>
        <w:t xml:space="preserve">codés </w:t>
      </w:r>
      <w:r w:rsidR="00011DE5">
        <w:rPr>
          <w:rFonts w:cs="Arial"/>
          <w:lang w:val="fr-CA"/>
        </w:rPr>
        <w:t>aux fonds de fonctionnements régulier (B001) dans l’OPS. Ensuite, pour s’assurer que les budgets et les prévisions sont correctement alignés, un ajustement aux prévisions sera traité dans FMBB au moment des exercices prévisionnels ministériels. Cet ajustement aura pour but d’augmenter la prévision dans le fond A449 et de réduire la prévision dans le fond B001 pour le même montant.</w:t>
      </w:r>
      <w:r w:rsidR="00011DE5">
        <w:rPr>
          <w:rStyle w:val="FootnoteReference"/>
          <w:rFonts w:cs="Arial"/>
          <w:lang w:val="fr-CA"/>
        </w:rPr>
        <w:footnoteReference w:id="6"/>
      </w:r>
    </w:p>
    <w:p w14:paraId="2E0516C2" w14:textId="77777777" w:rsidR="006C5DF9" w:rsidRPr="005943AA" w:rsidRDefault="006C5DF9" w:rsidP="006C5DF9">
      <w:pPr>
        <w:rPr>
          <w:rFonts w:cs="Arial"/>
          <w:lang w:val="fr-CA"/>
        </w:rPr>
      </w:pPr>
    </w:p>
    <w:p w14:paraId="1446CD19" w14:textId="2B33D76A" w:rsidR="006C5DF9" w:rsidRPr="00011DE5" w:rsidRDefault="00011DE5" w:rsidP="006C5DF9">
      <w:pPr>
        <w:rPr>
          <w:rFonts w:cs="Arial"/>
          <w:lang w:val="fr-CA"/>
        </w:rPr>
      </w:pPr>
      <w:r w:rsidRPr="00011DE5">
        <w:rPr>
          <w:rFonts w:cs="Arial"/>
          <w:lang w:val="fr-CA"/>
        </w:rPr>
        <w:t xml:space="preserve">Les prévisions non-salariales pour les ententes de faible valeur devront </w:t>
      </w:r>
      <w:r>
        <w:rPr>
          <w:rFonts w:cs="Arial"/>
          <w:lang w:val="fr-CA"/>
        </w:rPr>
        <w:t>être inscrites dans l’</w:t>
      </w:r>
      <w:r w:rsidR="00A14714">
        <w:rPr>
          <w:rFonts w:cs="Arial"/>
          <w:lang w:val="fr-CA"/>
        </w:rPr>
        <w:t>o</w:t>
      </w:r>
      <w:r>
        <w:rPr>
          <w:rFonts w:cs="Arial"/>
          <w:lang w:val="fr-CA"/>
        </w:rPr>
        <w:t xml:space="preserve">util de </w:t>
      </w:r>
      <w:r w:rsidR="00416421">
        <w:rPr>
          <w:rFonts w:cs="Arial"/>
          <w:lang w:val="fr-CA"/>
        </w:rPr>
        <w:t>prévision</w:t>
      </w:r>
      <w:r w:rsidR="00A14714">
        <w:rPr>
          <w:rFonts w:cs="Arial"/>
          <w:lang w:val="fr-CA"/>
        </w:rPr>
        <w:t>s</w:t>
      </w:r>
      <w:r>
        <w:rPr>
          <w:rFonts w:cs="Arial"/>
          <w:lang w:val="fr-CA"/>
        </w:rPr>
        <w:t xml:space="preserve"> non</w:t>
      </w:r>
      <w:r w:rsidR="00A14714">
        <w:rPr>
          <w:rFonts w:cs="Arial"/>
          <w:lang w:val="fr-CA"/>
        </w:rPr>
        <w:t>-</w:t>
      </w:r>
      <w:r w:rsidR="00416421">
        <w:rPr>
          <w:rFonts w:cs="Arial"/>
          <w:lang w:val="fr-CA"/>
        </w:rPr>
        <w:t>salarial</w:t>
      </w:r>
      <w:r w:rsidR="00A14714">
        <w:rPr>
          <w:rFonts w:cs="Arial"/>
          <w:lang w:val="fr-CA"/>
        </w:rPr>
        <w:t>es</w:t>
      </w:r>
      <w:r>
        <w:rPr>
          <w:rFonts w:cs="Arial"/>
          <w:lang w:val="fr-CA"/>
        </w:rPr>
        <w:t xml:space="preserve"> dans le type de pr</w:t>
      </w:r>
      <w:r w:rsidR="00416421">
        <w:rPr>
          <w:rFonts w:cs="Arial"/>
          <w:lang w:val="fr-CA"/>
        </w:rPr>
        <w:t>évision F&amp;E (fond A449).</w:t>
      </w:r>
    </w:p>
    <w:p w14:paraId="7B36E988" w14:textId="77777777" w:rsidR="006C5DF9" w:rsidRPr="00416421" w:rsidRDefault="006C5DF9" w:rsidP="003F63CD">
      <w:pPr>
        <w:rPr>
          <w:rFonts w:asciiTheme="minorHAnsi" w:hAnsiTheme="minorHAnsi" w:cstheme="minorHAnsi"/>
          <w:lang w:val="fr-CA"/>
        </w:rPr>
      </w:pPr>
    </w:p>
    <w:p w14:paraId="04AA021E" w14:textId="47FE5BED" w:rsidR="003F63CD" w:rsidRPr="003F63CD" w:rsidRDefault="003F63CD" w:rsidP="00E8661F">
      <w:pPr>
        <w:pStyle w:val="Heading2"/>
        <w:numPr>
          <w:ilvl w:val="1"/>
          <w:numId w:val="2"/>
        </w:numPr>
        <w:rPr>
          <w:rFonts w:asciiTheme="minorHAnsi" w:hAnsiTheme="minorHAnsi" w:cstheme="minorHAnsi"/>
          <w:lang w:val="fr-CA"/>
        </w:rPr>
      </w:pPr>
      <w:bookmarkStart w:id="59" w:name="_Toc513716513"/>
      <w:bookmarkStart w:id="60" w:name="_Toc72402527"/>
      <w:r w:rsidRPr="003F63CD">
        <w:rPr>
          <w:rFonts w:asciiTheme="minorHAnsi" w:hAnsiTheme="minorHAnsi" w:cstheme="minorHAnsi"/>
          <w:lang w:val="fr-CA"/>
        </w:rPr>
        <w:t>Prévisions de revenu net en vertu d’un crédit (RNC)</w:t>
      </w:r>
      <w:bookmarkEnd w:id="59"/>
      <w:bookmarkEnd w:id="60"/>
    </w:p>
    <w:p w14:paraId="091FE82F" w14:textId="77777777" w:rsidR="003F63CD" w:rsidRPr="003F63CD" w:rsidRDefault="003F63CD" w:rsidP="003F63CD">
      <w:pPr>
        <w:rPr>
          <w:rFonts w:asciiTheme="minorHAnsi" w:hAnsiTheme="minorHAnsi" w:cstheme="minorHAnsi"/>
          <w:lang w:val="fr-CA"/>
        </w:rPr>
      </w:pPr>
    </w:p>
    <w:p w14:paraId="281AF7CA" w14:textId="77777777"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Les budgets relatifs aux activités pour lesquelles EDSC a des autorisations de crédit net o</w:t>
      </w:r>
      <w:r w:rsidR="000B7B63">
        <w:rPr>
          <w:rFonts w:asciiTheme="minorHAnsi" w:hAnsiTheme="minorHAnsi" w:cstheme="minorHAnsi"/>
          <w:bCs/>
          <w:lang w:val="fr-CA"/>
        </w:rPr>
        <w:t xml:space="preserve">nt été alloués en utilisant le </w:t>
      </w:r>
      <w:r w:rsidRPr="003F63CD">
        <w:rPr>
          <w:rFonts w:asciiTheme="minorHAnsi" w:hAnsiTheme="minorHAnsi" w:cstheme="minorHAnsi"/>
          <w:bCs/>
          <w:lang w:val="fr-CA"/>
        </w:rPr>
        <w:t>fond</w:t>
      </w:r>
      <w:r w:rsidR="000B7B63">
        <w:rPr>
          <w:rFonts w:asciiTheme="minorHAnsi" w:hAnsiTheme="minorHAnsi" w:cstheme="minorHAnsi"/>
          <w:bCs/>
          <w:lang w:val="fr-CA"/>
        </w:rPr>
        <w:t xml:space="preserve"> </w:t>
      </w:r>
      <w:r w:rsidRPr="003F63CD">
        <w:rPr>
          <w:rFonts w:asciiTheme="minorHAnsi" w:hAnsiTheme="minorHAnsi" w:cstheme="minorHAnsi"/>
          <w:bCs/>
          <w:lang w:val="fr-CA"/>
        </w:rPr>
        <w:t>de fonctionnements réguliers</w:t>
      </w:r>
      <w:r w:rsidR="000B7B63">
        <w:rPr>
          <w:rFonts w:asciiTheme="minorHAnsi" w:hAnsiTheme="minorHAnsi" w:cstheme="minorHAnsi"/>
          <w:bCs/>
          <w:lang w:val="fr-CA"/>
        </w:rPr>
        <w:t xml:space="preserve"> B00</w:t>
      </w:r>
      <w:r w:rsidR="00264926">
        <w:rPr>
          <w:rFonts w:asciiTheme="minorHAnsi" w:hAnsiTheme="minorHAnsi" w:cstheme="minorHAnsi"/>
          <w:bCs/>
          <w:lang w:val="fr-CA"/>
        </w:rPr>
        <w:t>9</w:t>
      </w:r>
      <w:r w:rsidR="000B7B63">
        <w:rPr>
          <w:rFonts w:asciiTheme="minorHAnsi" w:hAnsiTheme="minorHAnsi" w:cstheme="minorHAnsi"/>
          <w:bCs/>
          <w:lang w:val="fr-CA"/>
        </w:rPr>
        <w:t xml:space="preserve">. </w:t>
      </w:r>
      <w:r w:rsidRPr="003F63CD">
        <w:rPr>
          <w:rFonts w:asciiTheme="minorHAnsi" w:hAnsiTheme="minorHAnsi" w:cstheme="minorHAnsi"/>
          <w:bCs/>
          <w:lang w:val="fr-CA"/>
        </w:rPr>
        <w:t>Par conséquent, les prévisions relatives à ces activités font aussi parties des prévisions de fonds de fonctionnement réguliers (type de prévision F et E).</w:t>
      </w:r>
    </w:p>
    <w:p w14:paraId="2DA0DA60" w14:textId="77777777" w:rsidR="003F63CD" w:rsidRPr="003F63CD" w:rsidRDefault="003F63CD" w:rsidP="003F63CD">
      <w:pPr>
        <w:rPr>
          <w:rFonts w:asciiTheme="minorHAnsi" w:hAnsiTheme="minorHAnsi" w:cstheme="minorHAnsi"/>
          <w:bCs/>
          <w:lang w:val="fr-CA"/>
        </w:rPr>
      </w:pPr>
    </w:p>
    <w:p w14:paraId="0EE64E20" w14:textId="77777777"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Cependant, puisque les surplus en lien avec ces activités ne peuvent pas servir à d’autres usages, la situation financière des revenus nets en vertu d’un crédit doit être isolée du reste de la situation financière en lien avec les fonds de fonctionnement réguliers. Pour y arriver, il faut établir des prévisions concernant le montant de recouvrement anticipé de revenu n</w:t>
      </w:r>
      <w:r w:rsidR="000B7B63">
        <w:rPr>
          <w:rFonts w:asciiTheme="minorHAnsi" w:hAnsiTheme="minorHAnsi" w:cstheme="minorHAnsi"/>
          <w:bCs/>
          <w:lang w:val="fr-CA"/>
        </w:rPr>
        <w:t>et en vertu d’un crédit pour le</w:t>
      </w:r>
      <w:r w:rsidRPr="003F63CD">
        <w:rPr>
          <w:rFonts w:asciiTheme="minorHAnsi" w:hAnsiTheme="minorHAnsi" w:cstheme="minorHAnsi"/>
          <w:bCs/>
          <w:lang w:val="fr-CA"/>
        </w:rPr>
        <w:t xml:space="preserve"> fond</w:t>
      </w:r>
      <w:r w:rsidR="000B7B63">
        <w:rPr>
          <w:rFonts w:asciiTheme="minorHAnsi" w:hAnsiTheme="minorHAnsi" w:cstheme="minorHAnsi"/>
          <w:bCs/>
          <w:lang w:val="fr-CA"/>
        </w:rPr>
        <w:t xml:space="preserve"> B606 et</w:t>
      </w:r>
      <w:r w:rsidRPr="003F63CD">
        <w:rPr>
          <w:rFonts w:asciiTheme="minorHAnsi" w:hAnsiTheme="minorHAnsi" w:cstheme="minorHAnsi"/>
          <w:bCs/>
          <w:lang w:val="fr-CA"/>
        </w:rPr>
        <w:t xml:space="preserve"> entrer ces prévisions dans l’outil de prévisions non-salariales (type de prévision RNC) comme suit :</w:t>
      </w:r>
    </w:p>
    <w:p w14:paraId="344FCC69" w14:textId="77777777" w:rsidR="003F63CD" w:rsidRPr="003F63CD" w:rsidRDefault="003F63CD" w:rsidP="003F63CD">
      <w:pPr>
        <w:pStyle w:val="ListParagraph"/>
        <w:numPr>
          <w:ilvl w:val="0"/>
          <w:numId w:val="10"/>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t xml:space="preserve">Divisées entre Personnel (CB 96101) et F et E (CB 96102) pour la prévision du recouvrement du RNC; </w:t>
      </w:r>
    </w:p>
    <w:p w14:paraId="7461A71E" w14:textId="77777777" w:rsidR="003F63CD" w:rsidRPr="003F63CD" w:rsidRDefault="003F63CD" w:rsidP="003F63CD">
      <w:pPr>
        <w:pStyle w:val="ListParagraph"/>
        <w:numPr>
          <w:ilvl w:val="0"/>
          <w:numId w:val="10"/>
        </w:numPr>
        <w:spacing w:before="120"/>
        <w:ind w:left="714" w:hanging="357"/>
        <w:rPr>
          <w:rFonts w:asciiTheme="minorHAnsi" w:hAnsiTheme="minorHAnsi" w:cstheme="minorHAnsi"/>
          <w:bCs/>
          <w:lang w:val="fr-CA"/>
        </w:rPr>
      </w:pPr>
      <w:r w:rsidRPr="003F63CD">
        <w:rPr>
          <w:rFonts w:asciiTheme="minorHAnsi" w:hAnsiTheme="minorHAnsi" w:cstheme="minorHAnsi"/>
          <w:bCs/>
          <w:lang w:val="fr-CA"/>
        </w:rPr>
        <w:t>En valeur absolue (montant positif – même s’il s’agit d’un crédit).</w:t>
      </w:r>
    </w:p>
    <w:p w14:paraId="615514F8" w14:textId="77777777" w:rsidR="003F63CD" w:rsidRPr="003F63CD" w:rsidRDefault="003F63CD" w:rsidP="003F63CD">
      <w:pPr>
        <w:rPr>
          <w:rFonts w:asciiTheme="minorHAnsi" w:hAnsiTheme="minorHAnsi" w:cstheme="minorHAnsi"/>
          <w:bCs/>
          <w:lang w:val="fr-CA"/>
        </w:rPr>
      </w:pPr>
    </w:p>
    <w:p w14:paraId="18125DAA" w14:textId="4F075ADD" w:rsidR="003F63CD" w:rsidRPr="003F63CD" w:rsidRDefault="003F63CD" w:rsidP="003F63CD">
      <w:pPr>
        <w:rPr>
          <w:rFonts w:asciiTheme="minorHAnsi" w:hAnsiTheme="minorHAnsi" w:cstheme="minorHAnsi"/>
          <w:bCs/>
          <w:lang w:val="fr-CA"/>
        </w:rPr>
      </w:pPr>
      <w:r w:rsidRPr="003F63CD">
        <w:rPr>
          <w:rFonts w:asciiTheme="minorHAnsi" w:hAnsiTheme="minorHAnsi" w:cstheme="minorHAnsi"/>
          <w:bCs/>
          <w:lang w:val="fr-CA"/>
        </w:rPr>
        <w:t>Tout ajustement dans le FMBB doit également être entré sous la forme d’une valeur absolue (montant positif). Cependant, dans le module de FM de maSGE (SAP), et conséque</w:t>
      </w:r>
      <w:r w:rsidR="00A14714">
        <w:rPr>
          <w:rFonts w:asciiTheme="minorHAnsi" w:hAnsiTheme="minorHAnsi" w:cstheme="minorHAnsi"/>
          <w:bCs/>
          <w:lang w:val="fr-CA"/>
        </w:rPr>
        <w:t>mment</w:t>
      </w:r>
      <w:r w:rsidRPr="003F63CD">
        <w:rPr>
          <w:rFonts w:asciiTheme="minorHAnsi" w:hAnsiTheme="minorHAnsi" w:cstheme="minorHAnsi"/>
          <w:bCs/>
          <w:lang w:val="fr-CA"/>
        </w:rPr>
        <w:t xml:space="preserve"> dans le rapport BI Surplus/Déficit, les montants de recouvrement anticipés de revenu net en vertu d’un crédit seront présentés sous la forme d’une valeur négative (puisqu’il s’agit de crédits qui réduisent le financement net du Ministère).</w:t>
      </w:r>
    </w:p>
    <w:p w14:paraId="13A007FF" w14:textId="77777777" w:rsidR="003F63CD" w:rsidRPr="003F63CD" w:rsidRDefault="003F63CD" w:rsidP="003F63CD">
      <w:pPr>
        <w:rPr>
          <w:rFonts w:asciiTheme="minorHAnsi" w:hAnsiTheme="minorHAnsi" w:cstheme="minorHAnsi"/>
          <w:bCs/>
          <w:lang w:val="fr-CA"/>
        </w:rPr>
      </w:pPr>
    </w:p>
    <w:p w14:paraId="7D5F6ED1" w14:textId="77777777" w:rsidR="003F63CD" w:rsidRDefault="000B7B63" w:rsidP="000B7B63">
      <w:pPr>
        <w:rPr>
          <w:rFonts w:asciiTheme="minorHAnsi" w:hAnsiTheme="minorHAnsi" w:cstheme="minorHAnsi"/>
          <w:lang w:val="fr-CA"/>
        </w:rPr>
      </w:pPr>
      <w:r>
        <w:rPr>
          <w:rFonts w:asciiTheme="minorHAnsi" w:hAnsiTheme="minorHAnsi" w:cstheme="minorHAnsi"/>
          <w:bCs/>
          <w:lang w:val="fr-CA"/>
        </w:rPr>
        <w:t>Présentement, le</w:t>
      </w:r>
      <w:r w:rsidR="003F63CD" w:rsidRPr="003F63CD">
        <w:rPr>
          <w:rFonts w:asciiTheme="minorHAnsi" w:hAnsiTheme="minorHAnsi" w:cstheme="minorHAnsi"/>
          <w:bCs/>
          <w:lang w:val="fr-CA"/>
        </w:rPr>
        <w:t xml:space="preserve"> Ministère a des autorisations de crédit ne</w:t>
      </w:r>
      <w:r>
        <w:rPr>
          <w:rFonts w:asciiTheme="minorHAnsi" w:hAnsiTheme="minorHAnsi" w:cstheme="minorHAnsi"/>
          <w:bCs/>
          <w:lang w:val="fr-CA"/>
        </w:rPr>
        <w:t xml:space="preserve">t </w:t>
      </w:r>
      <w:r w:rsidR="00264926">
        <w:rPr>
          <w:rFonts w:asciiTheme="minorHAnsi" w:hAnsiTheme="minorHAnsi" w:cstheme="minorHAnsi"/>
          <w:bCs/>
          <w:lang w:val="fr-CA"/>
        </w:rPr>
        <w:t>uniquement</w:t>
      </w:r>
      <w:r w:rsidR="004B71D8">
        <w:rPr>
          <w:rFonts w:asciiTheme="minorHAnsi" w:hAnsiTheme="minorHAnsi" w:cstheme="minorHAnsi"/>
          <w:bCs/>
          <w:lang w:val="fr-CA"/>
        </w:rPr>
        <w:t xml:space="preserve"> </w:t>
      </w:r>
      <w:r>
        <w:rPr>
          <w:rFonts w:asciiTheme="minorHAnsi" w:hAnsiTheme="minorHAnsi" w:cstheme="minorHAnsi"/>
          <w:bCs/>
          <w:lang w:val="fr-CA"/>
        </w:rPr>
        <w:t xml:space="preserve">pour </w:t>
      </w:r>
      <w:r w:rsidR="003F63CD" w:rsidRPr="003F63CD">
        <w:rPr>
          <w:rFonts w:asciiTheme="minorHAnsi" w:hAnsiTheme="minorHAnsi" w:cstheme="minorHAnsi"/>
          <w:lang w:val="fr-CA"/>
        </w:rPr>
        <w:t>la Loi sur l’indemnisat</w:t>
      </w:r>
      <w:r>
        <w:rPr>
          <w:rFonts w:asciiTheme="minorHAnsi" w:hAnsiTheme="minorHAnsi" w:cstheme="minorHAnsi"/>
          <w:lang w:val="fr-CA"/>
        </w:rPr>
        <w:t>ion des agents de l’État (LIAE).</w:t>
      </w:r>
    </w:p>
    <w:p w14:paraId="512B3612" w14:textId="77777777" w:rsidR="004B71D8" w:rsidRDefault="004B71D8" w:rsidP="000B7B63">
      <w:pPr>
        <w:rPr>
          <w:rFonts w:asciiTheme="minorHAnsi" w:hAnsiTheme="minorHAnsi" w:cstheme="minorHAnsi"/>
          <w:lang w:val="fr-CA"/>
        </w:rPr>
      </w:pPr>
    </w:p>
    <w:p w14:paraId="1BBD66FB" w14:textId="5F53EC2A" w:rsidR="00963EE6" w:rsidRDefault="004B71D8" w:rsidP="00264926">
      <w:pPr>
        <w:pStyle w:val="Heading2"/>
        <w:numPr>
          <w:ilvl w:val="1"/>
          <w:numId w:val="2"/>
        </w:numPr>
        <w:rPr>
          <w:lang w:val="fr-CA"/>
        </w:rPr>
      </w:pPr>
      <w:bookmarkStart w:id="61" w:name="_Toc72402528"/>
      <w:r>
        <w:rPr>
          <w:lang w:val="fr-CA"/>
        </w:rPr>
        <w:t>Prévisions des mesures en réponse à la C</w:t>
      </w:r>
      <w:r w:rsidR="00264926">
        <w:rPr>
          <w:lang w:val="fr-CA"/>
        </w:rPr>
        <w:t>OVID</w:t>
      </w:r>
      <w:r>
        <w:rPr>
          <w:lang w:val="fr-CA"/>
        </w:rPr>
        <w:t>-19</w:t>
      </w:r>
      <w:bookmarkEnd w:id="61"/>
    </w:p>
    <w:p w14:paraId="5F24D8FA" w14:textId="77777777" w:rsidR="00963EE6" w:rsidRPr="00963EE6" w:rsidRDefault="00963EE6" w:rsidP="00963EE6">
      <w:pPr>
        <w:rPr>
          <w:lang w:val="fr-CA"/>
        </w:rPr>
      </w:pPr>
    </w:p>
    <w:p w14:paraId="7D47BF29" w14:textId="7EA31EE8" w:rsidR="004B71D8" w:rsidRPr="00963EE6" w:rsidRDefault="00264926" w:rsidP="00963EE6">
      <w:pPr>
        <w:pStyle w:val="Heading3"/>
        <w:numPr>
          <w:ilvl w:val="2"/>
          <w:numId w:val="2"/>
        </w:numPr>
        <w:spacing w:before="0"/>
        <w:rPr>
          <w:lang w:val="fr-CA"/>
        </w:rPr>
      </w:pPr>
      <w:bookmarkStart w:id="62" w:name="_Toc72402529"/>
      <w:r w:rsidRPr="00963EE6">
        <w:rPr>
          <w:lang w:val="fr-CA"/>
        </w:rPr>
        <w:t>Budget</w:t>
      </w:r>
      <w:bookmarkEnd w:id="62"/>
    </w:p>
    <w:p w14:paraId="447D701F" w14:textId="77777777" w:rsidR="004B71D8" w:rsidRDefault="004B71D8">
      <w:pPr>
        <w:rPr>
          <w:lang w:val="fr-CA"/>
        </w:rPr>
      </w:pPr>
    </w:p>
    <w:p w14:paraId="1B432237" w14:textId="4FA62E32" w:rsidR="004B71D8" w:rsidRDefault="00A14714">
      <w:pPr>
        <w:rPr>
          <w:lang w:val="fr-CA"/>
        </w:rPr>
      </w:pPr>
      <w:r>
        <w:rPr>
          <w:lang w:val="fr-CA"/>
        </w:rPr>
        <w:t xml:space="preserve">Les </w:t>
      </w:r>
      <w:r w:rsidR="004B71D8" w:rsidRPr="004B71D8">
        <w:rPr>
          <w:lang w:val="fr-CA"/>
        </w:rPr>
        <w:t>budget</w:t>
      </w:r>
      <w:r>
        <w:rPr>
          <w:lang w:val="fr-CA"/>
        </w:rPr>
        <w:t>s</w:t>
      </w:r>
      <w:r w:rsidR="004B71D8" w:rsidRPr="004B71D8">
        <w:rPr>
          <w:lang w:val="fr-CA"/>
        </w:rPr>
        <w:t xml:space="preserve"> de fonctionnement</w:t>
      </w:r>
      <w:r w:rsidR="005F50A8">
        <w:rPr>
          <w:lang w:val="fr-CA"/>
        </w:rPr>
        <w:t xml:space="preserve"> régulier ou</w:t>
      </w:r>
      <w:r w:rsidR="004B71D8" w:rsidRPr="004B71D8">
        <w:rPr>
          <w:lang w:val="fr-CA"/>
        </w:rPr>
        <w:t xml:space="preserve"> statutaire </w:t>
      </w:r>
      <w:r>
        <w:rPr>
          <w:lang w:val="fr-CA"/>
        </w:rPr>
        <w:t xml:space="preserve">des mesures en réponse à la COVID-19 </w:t>
      </w:r>
      <w:r w:rsidR="004B71D8" w:rsidRPr="004B71D8">
        <w:rPr>
          <w:lang w:val="fr-CA"/>
        </w:rPr>
        <w:t>s</w:t>
      </w:r>
      <w:r>
        <w:rPr>
          <w:lang w:val="fr-CA"/>
        </w:rPr>
        <w:t>ont</w:t>
      </w:r>
      <w:r w:rsidR="004B71D8" w:rsidRPr="004B71D8">
        <w:rPr>
          <w:lang w:val="fr-CA"/>
        </w:rPr>
        <w:t xml:space="preserve"> alloué aux </w:t>
      </w:r>
      <w:r w:rsidR="004B71D8">
        <w:rPr>
          <w:lang w:val="fr-CA"/>
        </w:rPr>
        <w:t>directions générales</w:t>
      </w:r>
      <w:r w:rsidR="004B71D8" w:rsidRPr="004B71D8">
        <w:rPr>
          <w:lang w:val="fr-CA"/>
        </w:rPr>
        <w:t xml:space="preserve"> et aux régions à l'aide de la distribution et du </w:t>
      </w:r>
      <w:r>
        <w:rPr>
          <w:lang w:val="fr-CA"/>
        </w:rPr>
        <w:t>codage financier</w:t>
      </w:r>
      <w:r w:rsidR="004B71D8" w:rsidRPr="004B71D8">
        <w:rPr>
          <w:lang w:val="fr-CA"/>
        </w:rPr>
        <w:t xml:space="preserve"> approprié fournis par l</w:t>
      </w:r>
      <w:r w:rsidR="004B71D8">
        <w:rPr>
          <w:lang w:val="fr-CA"/>
        </w:rPr>
        <w:t>e</w:t>
      </w:r>
      <w:r w:rsidR="004B71D8" w:rsidRPr="004B71D8">
        <w:rPr>
          <w:lang w:val="fr-CA"/>
        </w:rPr>
        <w:t xml:space="preserve"> </w:t>
      </w:r>
      <w:r w:rsidR="004B71D8">
        <w:rPr>
          <w:lang w:val="fr-CA"/>
        </w:rPr>
        <w:t>CGF responsable</w:t>
      </w:r>
      <w:r w:rsidR="004B71D8" w:rsidRPr="004B71D8">
        <w:rPr>
          <w:lang w:val="fr-CA"/>
        </w:rPr>
        <w:t>.</w:t>
      </w:r>
    </w:p>
    <w:p w14:paraId="3547229C" w14:textId="77777777" w:rsidR="00963EE6" w:rsidRPr="004B71D8" w:rsidRDefault="00963EE6">
      <w:pPr>
        <w:rPr>
          <w:lang w:val="fr-CA"/>
        </w:rPr>
      </w:pPr>
    </w:p>
    <w:p w14:paraId="66719518" w14:textId="64840C1B" w:rsidR="004B71D8" w:rsidRDefault="004B71D8" w:rsidP="00963EE6">
      <w:pPr>
        <w:pStyle w:val="Heading3"/>
        <w:numPr>
          <w:ilvl w:val="2"/>
          <w:numId w:val="2"/>
        </w:numPr>
        <w:spacing w:before="0"/>
        <w:rPr>
          <w:lang w:val="fr-CA"/>
        </w:rPr>
      </w:pPr>
      <w:bookmarkStart w:id="63" w:name="_Toc72402530"/>
      <w:r>
        <w:rPr>
          <w:lang w:val="fr-CA"/>
        </w:rPr>
        <w:t>Prévision</w:t>
      </w:r>
      <w:bookmarkEnd w:id="63"/>
    </w:p>
    <w:p w14:paraId="2E71944F" w14:textId="77777777" w:rsidR="004B71D8" w:rsidRDefault="004B71D8">
      <w:pPr>
        <w:rPr>
          <w:lang w:val="fr-CA"/>
        </w:rPr>
      </w:pPr>
    </w:p>
    <w:p w14:paraId="56536554" w14:textId="0F992827" w:rsidR="004B71D8" w:rsidRDefault="004D153A" w:rsidP="004B71D8">
      <w:pPr>
        <w:rPr>
          <w:lang w:val="fr-CA"/>
        </w:rPr>
      </w:pPr>
      <w:r>
        <w:rPr>
          <w:lang w:val="fr-CA"/>
        </w:rPr>
        <w:t>De façon similaire à</w:t>
      </w:r>
      <w:r w:rsidR="004B71D8" w:rsidRPr="004B71D8">
        <w:rPr>
          <w:lang w:val="fr-CA"/>
        </w:rPr>
        <w:t xml:space="preserve"> tous les autres programmes d'EDSC, des prévisions sont requises à chaque période de prévision (P3, P6, P8 et P10) en utilisant le </w:t>
      </w:r>
      <w:r w:rsidRPr="009E576A">
        <w:rPr>
          <w:lang w:val="fr-CA"/>
        </w:rPr>
        <w:t>codage financier COVID-19</w:t>
      </w:r>
      <w:r w:rsidR="004B71D8" w:rsidRPr="004B71D8">
        <w:rPr>
          <w:lang w:val="fr-CA"/>
        </w:rPr>
        <w:t xml:space="preserve"> approprié.</w:t>
      </w:r>
    </w:p>
    <w:p w14:paraId="58631E0E" w14:textId="77777777" w:rsidR="0044401B" w:rsidRDefault="0044401B" w:rsidP="004B71D8">
      <w:pPr>
        <w:rPr>
          <w:lang w:val="fr-CA"/>
        </w:rPr>
      </w:pPr>
    </w:p>
    <w:p w14:paraId="6D84F76B" w14:textId="77777777" w:rsidR="0044401B" w:rsidRPr="002425FE" w:rsidRDefault="007267E7" w:rsidP="004B71D8">
      <w:pPr>
        <w:rPr>
          <w:b/>
          <w:u w:val="single"/>
          <w:lang w:val="fr-CA"/>
        </w:rPr>
      </w:pPr>
      <w:r>
        <w:rPr>
          <w:b/>
          <w:u w:val="single"/>
          <w:lang w:val="fr-CA"/>
        </w:rPr>
        <w:t xml:space="preserve">Prévisions salariales </w:t>
      </w:r>
      <w:r w:rsidR="0044401B" w:rsidRPr="002425FE">
        <w:rPr>
          <w:b/>
          <w:u w:val="single"/>
          <w:lang w:val="fr-CA"/>
        </w:rPr>
        <w:t>:</w:t>
      </w:r>
    </w:p>
    <w:p w14:paraId="2114B923" w14:textId="77777777" w:rsidR="0044401B" w:rsidRDefault="0044401B" w:rsidP="004B71D8">
      <w:pPr>
        <w:rPr>
          <w:lang w:val="fr-CA"/>
        </w:rPr>
      </w:pPr>
    </w:p>
    <w:p w14:paraId="330F3188" w14:textId="77777777" w:rsidR="0044401B" w:rsidRDefault="002425FE" w:rsidP="004B71D8">
      <w:pPr>
        <w:rPr>
          <w:rFonts w:asciiTheme="minorHAnsi" w:hAnsiTheme="minorHAnsi" w:cstheme="minorHAnsi"/>
          <w:lang w:val="fr-CA"/>
        </w:rPr>
      </w:pPr>
      <w:r>
        <w:rPr>
          <w:lang w:val="fr-CA"/>
        </w:rPr>
        <w:t xml:space="preserve">1) </w:t>
      </w:r>
      <w:r w:rsidR="0044401B" w:rsidRPr="0044401B">
        <w:rPr>
          <w:lang w:val="fr-CA"/>
        </w:rPr>
        <w:t xml:space="preserve">Toutes les prévisions </w:t>
      </w:r>
      <w:r w:rsidR="0044401B" w:rsidRPr="002425FE">
        <w:rPr>
          <w:b/>
          <w:lang w:val="fr-CA"/>
        </w:rPr>
        <w:t>salariales</w:t>
      </w:r>
      <w:r w:rsidR="0044401B" w:rsidRPr="0044401B">
        <w:rPr>
          <w:lang w:val="fr-CA"/>
        </w:rPr>
        <w:t xml:space="preserve"> doivent être prévues par rapport au coda</w:t>
      </w:r>
      <w:r w:rsidR="0044401B">
        <w:rPr>
          <w:lang w:val="fr-CA"/>
        </w:rPr>
        <w:t>ge spécifique COVID-19 (fonds, DF</w:t>
      </w:r>
      <w:r w:rsidR="0044401B" w:rsidRPr="0044401B">
        <w:rPr>
          <w:lang w:val="fr-CA"/>
        </w:rPr>
        <w:t xml:space="preserve"> et </w:t>
      </w:r>
      <w:r w:rsidR="0044401B">
        <w:rPr>
          <w:lang w:val="fr-CA"/>
        </w:rPr>
        <w:t>o</w:t>
      </w:r>
      <w:r w:rsidR="0044401B" w:rsidRPr="0044401B">
        <w:rPr>
          <w:lang w:val="fr-CA"/>
        </w:rPr>
        <w:t xml:space="preserve">rdre interne) </w:t>
      </w:r>
      <w:r w:rsidR="0044401B" w:rsidRPr="002425FE">
        <w:rPr>
          <w:u w:val="single"/>
          <w:lang w:val="fr-CA"/>
        </w:rPr>
        <w:t>lorsque cela est possible</w:t>
      </w:r>
      <w:r w:rsidR="0044401B" w:rsidRPr="0044401B">
        <w:rPr>
          <w:lang w:val="fr-CA"/>
        </w:rPr>
        <w:t xml:space="preserve">. Le </w:t>
      </w:r>
      <w:r w:rsidR="0044401B" w:rsidRPr="002425FE">
        <w:rPr>
          <w:rFonts w:asciiTheme="minorHAnsi" w:hAnsiTheme="minorHAnsi" w:cstheme="minorHAnsi"/>
          <w:lang w:val="fr-CA"/>
        </w:rPr>
        <w:t>processus sera différent selon les deux (2) situations suivantes :</w:t>
      </w:r>
    </w:p>
    <w:p w14:paraId="68EC02A0" w14:textId="77777777" w:rsidR="00A82BF9" w:rsidRPr="002425FE" w:rsidRDefault="00A82BF9" w:rsidP="004B71D8">
      <w:pPr>
        <w:rPr>
          <w:rFonts w:asciiTheme="minorHAnsi" w:hAnsiTheme="minorHAnsi" w:cstheme="minorHAnsi"/>
          <w:lang w:val="fr-CA"/>
        </w:rPr>
      </w:pPr>
    </w:p>
    <w:p w14:paraId="412D9442" w14:textId="3288E83B" w:rsidR="00A82BF9" w:rsidRPr="002425FE" w:rsidRDefault="004D153A" w:rsidP="002425FE">
      <w:pPr>
        <w:pStyle w:val="ListParagraph"/>
        <w:numPr>
          <w:ilvl w:val="0"/>
          <w:numId w:val="31"/>
        </w:numPr>
        <w:rPr>
          <w:rFonts w:asciiTheme="minorHAnsi" w:hAnsiTheme="minorHAnsi" w:cstheme="minorHAnsi"/>
          <w:lang w:val="fr-CA"/>
        </w:rPr>
      </w:pPr>
      <w:r>
        <w:rPr>
          <w:rFonts w:asciiTheme="minorHAnsi" w:hAnsiTheme="minorHAnsi" w:cstheme="minorHAnsi"/>
          <w:lang w:val="fr-CA"/>
        </w:rPr>
        <w:t>Pour l</w:t>
      </w:r>
      <w:r w:rsidR="002425FE">
        <w:rPr>
          <w:rFonts w:asciiTheme="minorHAnsi" w:hAnsiTheme="minorHAnsi" w:cstheme="minorHAnsi"/>
          <w:lang w:val="fr-CA"/>
        </w:rPr>
        <w:t>es e</w:t>
      </w:r>
      <w:r w:rsidR="00A82BF9" w:rsidRPr="002425FE">
        <w:rPr>
          <w:rFonts w:asciiTheme="minorHAnsi" w:hAnsiTheme="minorHAnsi" w:cstheme="minorHAnsi"/>
          <w:lang w:val="fr-CA"/>
        </w:rPr>
        <w:t>mployés qui ont été réaffectés à 100% à l'une des mesures COVID-19</w:t>
      </w:r>
      <w:r>
        <w:rPr>
          <w:rFonts w:asciiTheme="minorHAnsi" w:hAnsiTheme="minorHAnsi" w:cstheme="minorHAnsi"/>
          <w:lang w:val="fr-CA"/>
        </w:rPr>
        <w:t xml:space="preserve">, </w:t>
      </w:r>
      <w:r w:rsidR="00A82BF9" w:rsidRPr="002425FE">
        <w:rPr>
          <w:rFonts w:asciiTheme="minorHAnsi" w:hAnsiTheme="minorHAnsi" w:cstheme="minorHAnsi"/>
          <w:lang w:val="fr-CA"/>
        </w:rPr>
        <w:t xml:space="preserve"> </w:t>
      </w:r>
      <w:r>
        <w:rPr>
          <w:rFonts w:asciiTheme="minorHAnsi" w:hAnsiTheme="minorHAnsi" w:cstheme="minorHAnsi"/>
          <w:lang w:val="fr-CA"/>
        </w:rPr>
        <w:t>une réaffectation temporaire doit</w:t>
      </w:r>
      <w:r w:rsidR="00A82BF9" w:rsidRPr="002425FE">
        <w:rPr>
          <w:rFonts w:asciiTheme="minorHAnsi" w:hAnsiTheme="minorHAnsi" w:cstheme="minorHAnsi"/>
          <w:lang w:val="fr-CA"/>
        </w:rPr>
        <w:t xml:space="preserve"> être saisis dans l'</w:t>
      </w:r>
      <w:r>
        <w:rPr>
          <w:rFonts w:asciiTheme="minorHAnsi" w:hAnsiTheme="minorHAnsi" w:cstheme="minorHAnsi"/>
          <w:lang w:val="fr-CA"/>
        </w:rPr>
        <w:t>O</w:t>
      </w:r>
      <w:r w:rsidR="00A82BF9" w:rsidRPr="002425FE">
        <w:rPr>
          <w:rFonts w:asciiTheme="minorHAnsi" w:hAnsiTheme="minorHAnsi" w:cstheme="minorHAnsi"/>
          <w:lang w:val="fr-CA"/>
        </w:rPr>
        <w:t>util de prévision des salaires (OPS</w:t>
      </w:r>
      <w:r>
        <w:rPr>
          <w:rFonts w:asciiTheme="minorHAnsi" w:hAnsiTheme="minorHAnsi" w:cstheme="minorHAnsi"/>
          <w:lang w:val="fr-CA"/>
        </w:rPr>
        <w:t>)</w:t>
      </w:r>
      <w:r w:rsidR="00A82BF9" w:rsidRPr="002425FE">
        <w:rPr>
          <w:rFonts w:asciiTheme="minorHAnsi" w:hAnsiTheme="minorHAnsi" w:cstheme="minorHAnsi"/>
          <w:lang w:val="fr-CA"/>
        </w:rPr>
        <w:t>. Les prévisions seront reportées automatiquement sous les bonnes initiatives / programme (domaine fonctionnel) et source de financement (fonds).</w:t>
      </w:r>
    </w:p>
    <w:p w14:paraId="0C9D838B" w14:textId="77777777" w:rsidR="00A82BF9" w:rsidRDefault="00A82BF9" w:rsidP="00A82BF9">
      <w:pPr>
        <w:rPr>
          <w:rFonts w:asciiTheme="minorHAnsi" w:hAnsiTheme="minorHAnsi" w:cstheme="minorHAnsi"/>
          <w:lang w:val="fr-CA"/>
        </w:rPr>
      </w:pPr>
    </w:p>
    <w:p w14:paraId="11CC1DA0" w14:textId="3CEB7DC4" w:rsidR="00A82BF9" w:rsidRDefault="004D153A" w:rsidP="002425FE">
      <w:pPr>
        <w:pStyle w:val="ListParagraph"/>
        <w:numPr>
          <w:ilvl w:val="0"/>
          <w:numId w:val="31"/>
        </w:numPr>
        <w:rPr>
          <w:rFonts w:asciiTheme="minorHAnsi" w:hAnsiTheme="minorHAnsi" w:cstheme="minorHAnsi"/>
          <w:lang w:val="fr-CA"/>
        </w:rPr>
      </w:pPr>
      <w:r>
        <w:rPr>
          <w:rFonts w:asciiTheme="minorHAnsi" w:hAnsiTheme="minorHAnsi" w:cstheme="minorHAnsi"/>
          <w:lang w:val="fr-CA"/>
        </w:rPr>
        <w:t>Pour l</w:t>
      </w:r>
      <w:r w:rsidR="00A82BF9" w:rsidRPr="002425FE">
        <w:rPr>
          <w:rFonts w:asciiTheme="minorHAnsi" w:hAnsiTheme="minorHAnsi" w:cstheme="minorHAnsi"/>
          <w:lang w:val="fr-CA"/>
        </w:rPr>
        <w:t xml:space="preserve">es employés NON réaffectés au </w:t>
      </w:r>
      <w:r w:rsidRPr="009E576A">
        <w:rPr>
          <w:lang w:val="fr-CA"/>
        </w:rPr>
        <w:t>codage financier</w:t>
      </w:r>
      <w:r>
        <w:rPr>
          <w:rFonts w:asciiTheme="minorHAnsi" w:hAnsiTheme="minorHAnsi" w:cstheme="minorHAnsi"/>
          <w:lang w:val="fr-CA"/>
        </w:rPr>
        <w:t xml:space="preserve"> d’une mesure en réponse à la</w:t>
      </w:r>
      <w:r w:rsidRPr="009E576A">
        <w:rPr>
          <w:lang w:val="fr-CA"/>
        </w:rPr>
        <w:t xml:space="preserve"> COVID-19</w:t>
      </w:r>
      <w:r w:rsidR="00A82BF9" w:rsidRPr="002425FE">
        <w:rPr>
          <w:rFonts w:asciiTheme="minorHAnsi" w:hAnsiTheme="minorHAnsi" w:cstheme="minorHAnsi"/>
          <w:lang w:val="fr-CA"/>
        </w:rPr>
        <w:t xml:space="preserve"> dans l’OPS, tels que les employés qui déclarent leur temps dans CATS, ou les employés qui consacrent du temps (ou des heures supplémentaires) à des initiatives spécifiques COVID-19 mais qui n'ont pas été officiellement réaffectés au codage COVID-19 dans l’OPS (en raison du niveau d'effort)</w:t>
      </w:r>
      <w:r>
        <w:rPr>
          <w:rFonts w:asciiTheme="minorHAnsi" w:hAnsiTheme="minorHAnsi" w:cstheme="minorHAnsi"/>
          <w:lang w:val="fr-CA"/>
        </w:rPr>
        <w:t>;</w:t>
      </w:r>
      <w:r w:rsidR="00A82BF9" w:rsidRPr="002425FE">
        <w:rPr>
          <w:rFonts w:asciiTheme="minorHAnsi" w:hAnsiTheme="minorHAnsi" w:cstheme="minorHAnsi"/>
          <w:lang w:val="fr-CA"/>
        </w:rPr>
        <w:t xml:space="preserve"> un ajustement des prévisions sera nécessaire (ajustement FMBB) pour réaligner les prévisions du codage actuel des employés dans </w:t>
      </w:r>
      <w:r w:rsidR="002425FE">
        <w:rPr>
          <w:rFonts w:asciiTheme="minorHAnsi" w:hAnsiTheme="minorHAnsi" w:cstheme="minorHAnsi"/>
          <w:lang w:val="fr-CA"/>
        </w:rPr>
        <w:t>l’OPS</w:t>
      </w:r>
      <w:r w:rsidR="00A82BF9" w:rsidRPr="002425FE">
        <w:rPr>
          <w:rFonts w:asciiTheme="minorHAnsi" w:hAnsiTheme="minorHAnsi" w:cstheme="minorHAnsi"/>
          <w:lang w:val="fr-CA"/>
        </w:rPr>
        <w:t xml:space="preserve"> sur l'initiative / le programme (domaine fonctionnel) et la source de financement (fonds) approprié</w:t>
      </w:r>
      <w:r w:rsidR="00003770">
        <w:rPr>
          <w:rFonts w:asciiTheme="minorHAnsi" w:hAnsiTheme="minorHAnsi" w:cstheme="minorHAnsi"/>
          <w:lang w:val="fr-CA"/>
        </w:rPr>
        <w:t>.</w:t>
      </w:r>
    </w:p>
    <w:p w14:paraId="39CA4159" w14:textId="77777777" w:rsidR="00003770" w:rsidRPr="002425FE" w:rsidRDefault="00003770" w:rsidP="00003770">
      <w:pPr>
        <w:pStyle w:val="ListParagraph"/>
        <w:rPr>
          <w:rFonts w:asciiTheme="minorHAnsi" w:hAnsiTheme="minorHAnsi" w:cstheme="minorHAnsi"/>
          <w:lang w:val="fr-CA"/>
        </w:rPr>
      </w:pPr>
    </w:p>
    <w:p w14:paraId="1F39BAD1" w14:textId="77777777" w:rsidR="00A82BF9" w:rsidRPr="007267E7" w:rsidRDefault="00A82BF9" w:rsidP="005F50A8">
      <w:pPr>
        <w:ind w:firstLine="360"/>
        <w:rPr>
          <w:rFonts w:asciiTheme="minorHAnsi" w:hAnsiTheme="minorHAnsi" w:cstheme="minorHAnsi"/>
          <w:bCs/>
          <w:sz w:val="22"/>
          <w:szCs w:val="22"/>
          <w:lang w:val="fr-CA"/>
        </w:rPr>
      </w:pPr>
      <w:r w:rsidRPr="007267E7">
        <w:rPr>
          <w:rFonts w:asciiTheme="minorHAnsi" w:hAnsiTheme="minorHAnsi" w:cstheme="minorHAnsi"/>
          <w:bCs/>
          <w:sz w:val="22"/>
          <w:szCs w:val="22"/>
          <w:lang w:val="fr-CA"/>
        </w:rPr>
        <w:t>Ajust</w:t>
      </w:r>
      <w:r w:rsidR="007267E7">
        <w:rPr>
          <w:rFonts w:asciiTheme="minorHAnsi" w:hAnsiTheme="minorHAnsi" w:cstheme="minorHAnsi"/>
          <w:bCs/>
          <w:sz w:val="22"/>
          <w:szCs w:val="22"/>
          <w:lang w:val="fr-CA"/>
        </w:rPr>
        <w:t>.</w:t>
      </w:r>
      <w:r w:rsidRPr="007267E7">
        <w:rPr>
          <w:rFonts w:asciiTheme="minorHAnsi" w:hAnsiTheme="minorHAnsi" w:cstheme="minorHAnsi"/>
          <w:bCs/>
          <w:sz w:val="22"/>
          <w:szCs w:val="22"/>
          <w:lang w:val="fr-CA"/>
        </w:rPr>
        <w:t xml:space="preserve"> FMBB (-) sous le codage actuel des employés dans l’OPS (fonds, DF)</w:t>
      </w:r>
    </w:p>
    <w:p w14:paraId="04C0A258" w14:textId="77777777" w:rsidR="00A82BF9" w:rsidRPr="007267E7" w:rsidRDefault="00A82BF9" w:rsidP="005F50A8">
      <w:pPr>
        <w:ind w:firstLine="360"/>
        <w:rPr>
          <w:rFonts w:asciiTheme="minorHAnsi" w:hAnsiTheme="minorHAnsi" w:cstheme="minorHAnsi"/>
          <w:bCs/>
          <w:sz w:val="22"/>
          <w:szCs w:val="22"/>
          <w:lang w:val="fr-CA"/>
        </w:rPr>
      </w:pPr>
      <w:r w:rsidRPr="007267E7">
        <w:rPr>
          <w:rFonts w:asciiTheme="minorHAnsi" w:hAnsiTheme="minorHAnsi" w:cstheme="minorHAnsi"/>
          <w:bCs/>
          <w:sz w:val="22"/>
          <w:szCs w:val="22"/>
          <w:lang w:val="fr-CA"/>
        </w:rPr>
        <w:t>Ajust</w:t>
      </w:r>
      <w:r w:rsidR="007267E7">
        <w:rPr>
          <w:rFonts w:asciiTheme="minorHAnsi" w:hAnsiTheme="minorHAnsi" w:cstheme="minorHAnsi"/>
          <w:bCs/>
          <w:sz w:val="22"/>
          <w:szCs w:val="22"/>
          <w:lang w:val="fr-CA"/>
        </w:rPr>
        <w:t>.</w:t>
      </w:r>
      <w:r w:rsidRPr="007267E7">
        <w:rPr>
          <w:rFonts w:asciiTheme="minorHAnsi" w:hAnsiTheme="minorHAnsi" w:cstheme="minorHAnsi"/>
          <w:bCs/>
          <w:sz w:val="22"/>
          <w:szCs w:val="22"/>
          <w:lang w:val="fr-CA"/>
        </w:rPr>
        <w:t xml:space="preserve"> FMBB (+) sous le codage</w:t>
      </w:r>
      <w:r w:rsidR="00F57110" w:rsidRPr="007267E7">
        <w:rPr>
          <w:rFonts w:asciiTheme="minorHAnsi" w:hAnsiTheme="minorHAnsi" w:cstheme="minorHAnsi"/>
          <w:bCs/>
          <w:sz w:val="22"/>
          <w:szCs w:val="22"/>
          <w:lang w:val="fr-CA"/>
        </w:rPr>
        <w:t xml:space="preserve"> des nouvelles initiatives / programmes (fonds, DF)</w:t>
      </w:r>
    </w:p>
    <w:p w14:paraId="6D20C935" w14:textId="77777777" w:rsidR="00F57110" w:rsidRPr="007267E7" w:rsidRDefault="00F57110" w:rsidP="00F57110">
      <w:pPr>
        <w:rPr>
          <w:rFonts w:asciiTheme="minorHAnsi" w:hAnsiTheme="minorHAnsi" w:cstheme="minorHAnsi"/>
          <w:lang w:val="fr-CA"/>
        </w:rPr>
      </w:pPr>
    </w:p>
    <w:p w14:paraId="1DD3DBC9" w14:textId="77777777" w:rsidR="007267E7" w:rsidRPr="00914230" w:rsidRDefault="00F57110" w:rsidP="00F57110">
      <w:pPr>
        <w:rPr>
          <w:rFonts w:asciiTheme="minorHAnsi" w:hAnsiTheme="minorHAnsi" w:cstheme="minorHAnsi"/>
          <w:bCs/>
          <w:i/>
          <w:sz w:val="22"/>
          <w:szCs w:val="22"/>
          <w:lang w:val="fr-CA"/>
        </w:rPr>
      </w:pPr>
      <w:r w:rsidRPr="00914230">
        <w:rPr>
          <w:rFonts w:asciiTheme="minorHAnsi" w:hAnsiTheme="minorHAnsi" w:cstheme="minorHAnsi"/>
          <w:bCs/>
          <w:i/>
          <w:sz w:val="22"/>
          <w:szCs w:val="22"/>
          <w:lang w:val="fr-CA"/>
        </w:rPr>
        <w:t>* La convention d</w:t>
      </w:r>
      <w:r w:rsidR="007267E7" w:rsidRPr="00914230">
        <w:rPr>
          <w:rFonts w:asciiTheme="minorHAnsi" w:hAnsiTheme="minorHAnsi" w:cstheme="minorHAnsi"/>
          <w:bCs/>
          <w:i/>
          <w:sz w:val="22"/>
          <w:szCs w:val="22"/>
          <w:lang w:val="fr-CA"/>
        </w:rPr>
        <w:t xml:space="preserve">’appellation </w:t>
      </w:r>
      <w:r w:rsidRPr="00914230">
        <w:rPr>
          <w:rFonts w:asciiTheme="minorHAnsi" w:hAnsiTheme="minorHAnsi" w:cstheme="minorHAnsi"/>
          <w:bCs/>
          <w:i/>
          <w:sz w:val="22"/>
          <w:szCs w:val="22"/>
          <w:lang w:val="fr-CA"/>
        </w:rPr>
        <w:t>recommandée à utiliser pour l'ajustement des prévisions est: COVID-19</w:t>
      </w:r>
      <w:r w:rsidR="00914230" w:rsidRPr="00914230">
        <w:rPr>
          <w:rFonts w:asciiTheme="minorHAnsi" w:hAnsiTheme="minorHAnsi" w:cstheme="minorHAnsi"/>
          <w:bCs/>
          <w:i/>
          <w:sz w:val="22"/>
          <w:szCs w:val="22"/>
          <w:lang w:val="fr-CA"/>
        </w:rPr>
        <w:t xml:space="preserve"> (sous le champ Texte d’en-tête) et Réalignement pour la COVID-19 (sous le champ Texte).</w:t>
      </w:r>
    </w:p>
    <w:p w14:paraId="63A3664A" w14:textId="77777777" w:rsidR="0044401B" w:rsidRPr="007267E7" w:rsidRDefault="0044401B" w:rsidP="004B71D8">
      <w:pPr>
        <w:rPr>
          <w:lang w:val="fr-CA"/>
        </w:rPr>
      </w:pPr>
    </w:p>
    <w:p w14:paraId="0E980E89" w14:textId="77777777" w:rsidR="00F57110" w:rsidRPr="007267E7" w:rsidRDefault="00F57110" w:rsidP="007267E7">
      <w:pPr>
        <w:rPr>
          <w:b/>
          <w:u w:val="single"/>
          <w:lang w:val="fr-CA"/>
        </w:rPr>
      </w:pPr>
      <w:r w:rsidRPr="007267E7">
        <w:rPr>
          <w:b/>
          <w:u w:val="single"/>
          <w:lang w:val="fr-CA"/>
        </w:rPr>
        <w:t>Prévisions non salariales</w:t>
      </w:r>
      <w:r w:rsidR="007267E7">
        <w:rPr>
          <w:b/>
          <w:u w:val="single"/>
          <w:lang w:val="fr-CA"/>
        </w:rPr>
        <w:t> :</w:t>
      </w:r>
    </w:p>
    <w:p w14:paraId="7A725596" w14:textId="77777777" w:rsidR="00F57110" w:rsidRDefault="00F57110" w:rsidP="004B71D8">
      <w:pPr>
        <w:rPr>
          <w:lang w:val="fr-CA"/>
        </w:rPr>
      </w:pPr>
    </w:p>
    <w:p w14:paraId="03F5893C" w14:textId="30B74E64" w:rsidR="004D153A" w:rsidRDefault="00787F30" w:rsidP="004B71D8">
      <w:pPr>
        <w:rPr>
          <w:lang w:val="fr-CA"/>
        </w:rPr>
      </w:pPr>
      <w:r>
        <w:rPr>
          <w:lang w:val="fr-CA"/>
        </w:rPr>
        <w:t>Les prévisions non-</w:t>
      </w:r>
      <w:r w:rsidR="00F57110" w:rsidRPr="00F57110">
        <w:rPr>
          <w:lang w:val="fr-CA"/>
        </w:rPr>
        <w:t xml:space="preserve">salariales doivent être saisies dans l'outil </w:t>
      </w:r>
      <w:r w:rsidR="00F57110">
        <w:rPr>
          <w:lang w:val="fr-CA"/>
        </w:rPr>
        <w:t>de prévision</w:t>
      </w:r>
      <w:r>
        <w:rPr>
          <w:lang w:val="fr-CA"/>
        </w:rPr>
        <w:t>s</w:t>
      </w:r>
      <w:r w:rsidR="00F57110">
        <w:rPr>
          <w:lang w:val="fr-CA"/>
        </w:rPr>
        <w:t xml:space="preserve"> </w:t>
      </w:r>
      <w:r w:rsidR="00F57110" w:rsidRPr="00F57110">
        <w:rPr>
          <w:lang w:val="fr-CA"/>
        </w:rPr>
        <w:t>non</w:t>
      </w:r>
      <w:r>
        <w:rPr>
          <w:lang w:val="fr-CA"/>
        </w:rPr>
        <w:t>-</w:t>
      </w:r>
      <w:r w:rsidR="00F57110" w:rsidRPr="00F57110">
        <w:rPr>
          <w:lang w:val="fr-CA"/>
        </w:rPr>
        <w:t>salarial</w:t>
      </w:r>
      <w:r>
        <w:rPr>
          <w:lang w:val="fr-CA"/>
        </w:rPr>
        <w:t>es</w:t>
      </w:r>
      <w:r w:rsidR="00F57110" w:rsidRPr="00F57110">
        <w:rPr>
          <w:lang w:val="fr-CA"/>
        </w:rPr>
        <w:t xml:space="preserve"> sous le </w:t>
      </w:r>
      <w:r w:rsidR="004D153A" w:rsidRPr="009E576A">
        <w:rPr>
          <w:lang w:val="fr-CA"/>
        </w:rPr>
        <w:t>codage financier COVID-19</w:t>
      </w:r>
      <w:r w:rsidR="00F57110">
        <w:rPr>
          <w:lang w:val="fr-CA"/>
        </w:rPr>
        <w:t xml:space="preserve"> approprié</w:t>
      </w:r>
      <w:r w:rsidR="00F57110" w:rsidRPr="00F57110">
        <w:rPr>
          <w:lang w:val="fr-CA"/>
        </w:rPr>
        <w:t>*.</w:t>
      </w:r>
    </w:p>
    <w:p w14:paraId="3486D800" w14:textId="77777777" w:rsidR="00F57110" w:rsidRPr="009E576A" w:rsidRDefault="00F57110" w:rsidP="004B71D8">
      <w:pPr>
        <w:rPr>
          <w:sz w:val="16"/>
          <w:lang w:val="fr-CA"/>
        </w:rPr>
      </w:pPr>
    </w:p>
    <w:p w14:paraId="4629C788" w14:textId="03471445" w:rsidR="00DF73DD" w:rsidRPr="00787F30" w:rsidRDefault="00F57110" w:rsidP="004B71D8">
      <w:pPr>
        <w:rPr>
          <w:rFonts w:asciiTheme="minorHAnsi" w:hAnsiTheme="minorHAnsi" w:cstheme="minorHAnsi"/>
          <w:bCs/>
          <w:i/>
          <w:sz w:val="18"/>
          <w:szCs w:val="18"/>
          <w:lang w:val="fr-CA"/>
        </w:rPr>
      </w:pPr>
      <w:r w:rsidRPr="00787F30">
        <w:rPr>
          <w:rFonts w:asciiTheme="minorHAnsi" w:hAnsiTheme="minorHAnsi" w:cstheme="minorHAnsi"/>
          <w:bCs/>
          <w:i/>
          <w:sz w:val="18"/>
          <w:szCs w:val="18"/>
          <w:lang w:val="fr-CA"/>
        </w:rPr>
        <w:t>* La composante domaine fonctionnel n’existe pas dans l’outil de prévision</w:t>
      </w:r>
      <w:r w:rsidR="00422103">
        <w:rPr>
          <w:rFonts w:asciiTheme="minorHAnsi" w:hAnsiTheme="minorHAnsi" w:cstheme="minorHAnsi"/>
          <w:bCs/>
          <w:i/>
          <w:sz w:val="18"/>
          <w:szCs w:val="18"/>
          <w:lang w:val="fr-CA"/>
        </w:rPr>
        <w:t>s non-</w:t>
      </w:r>
      <w:r w:rsidRPr="00787F30">
        <w:rPr>
          <w:rFonts w:asciiTheme="minorHAnsi" w:hAnsiTheme="minorHAnsi" w:cstheme="minorHAnsi"/>
          <w:bCs/>
          <w:i/>
          <w:sz w:val="18"/>
          <w:szCs w:val="18"/>
          <w:lang w:val="fr-CA"/>
        </w:rPr>
        <w:t>salariale</w:t>
      </w:r>
      <w:r w:rsidR="00422103">
        <w:rPr>
          <w:rFonts w:asciiTheme="minorHAnsi" w:hAnsiTheme="minorHAnsi" w:cstheme="minorHAnsi"/>
          <w:bCs/>
          <w:i/>
          <w:sz w:val="18"/>
          <w:szCs w:val="18"/>
          <w:lang w:val="fr-CA"/>
        </w:rPr>
        <w:t>s</w:t>
      </w:r>
      <w:r w:rsidRPr="00787F30">
        <w:rPr>
          <w:rFonts w:asciiTheme="minorHAnsi" w:hAnsiTheme="minorHAnsi" w:cstheme="minorHAnsi"/>
          <w:bCs/>
          <w:i/>
          <w:sz w:val="18"/>
          <w:szCs w:val="18"/>
          <w:lang w:val="fr-CA"/>
        </w:rPr>
        <w:t>.</w:t>
      </w:r>
    </w:p>
    <w:p w14:paraId="07C129C0" w14:textId="58F3E266" w:rsidR="004D153A" w:rsidRDefault="004D153A" w:rsidP="00DF73DD">
      <w:pPr>
        <w:rPr>
          <w:b/>
          <w:u w:val="single"/>
          <w:lang w:val="fr-CA"/>
        </w:rPr>
      </w:pPr>
    </w:p>
    <w:p w14:paraId="4F6EB05B" w14:textId="789BB023" w:rsidR="00F57110" w:rsidRPr="00DF73DD" w:rsidRDefault="0082084F" w:rsidP="00DF73DD">
      <w:pPr>
        <w:rPr>
          <w:b/>
          <w:u w:val="single"/>
          <w:lang w:val="fr-CA"/>
        </w:rPr>
      </w:pPr>
      <w:r>
        <w:rPr>
          <w:b/>
          <w:u w:val="single"/>
          <w:lang w:val="fr-CA"/>
        </w:rPr>
        <w:t>Bénéfices (paiements de transfert)</w:t>
      </w:r>
      <w:r w:rsidR="00DF73DD">
        <w:rPr>
          <w:b/>
          <w:u w:val="single"/>
          <w:lang w:val="fr-CA"/>
        </w:rPr>
        <w:t> :</w:t>
      </w:r>
    </w:p>
    <w:p w14:paraId="6470761D" w14:textId="77777777" w:rsidR="00F57110" w:rsidRDefault="00F57110" w:rsidP="004B71D8">
      <w:pPr>
        <w:rPr>
          <w:lang w:val="fr-CA"/>
        </w:rPr>
      </w:pPr>
    </w:p>
    <w:p w14:paraId="49701552" w14:textId="77777777" w:rsidR="004B71D8" w:rsidRPr="00A82BF9" w:rsidRDefault="00F57110" w:rsidP="004B71D8">
      <w:pPr>
        <w:rPr>
          <w:lang w:val="fr-CA"/>
        </w:rPr>
      </w:pPr>
      <w:r w:rsidRPr="00F57110">
        <w:rPr>
          <w:lang w:val="fr-CA"/>
        </w:rPr>
        <w:t>Aucune prévision n'est requise pour le financement statutaire (prestations versées aux citoyens ou aux organisations).</w:t>
      </w:r>
    </w:p>
    <w:p w14:paraId="6BEEBC02" w14:textId="77777777" w:rsidR="003F63CD" w:rsidRPr="00A82BF9" w:rsidRDefault="003F63CD" w:rsidP="003F63CD">
      <w:pPr>
        <w:spacing w:after="200" w:line="276" w:lineRule="auto"/>
        <w:rPr>
          <w:rFonts w:asciiTheme="minorHAnsi" w:hAnsiTheme="minorHAnsi" w:cstheme="minorHAnsi"/>
          <w:lang w:val="fr-CA"/>
        </w:rPr>
      </w:pPr>
    </w:p>
    <w:p w14:paraId="40AF9508" w14:textId="1A66C935" w:rsidR="003F63CD" w:rsidRPr="003F63CD" w:rsidRDefault="00963EE6" w:rsidP="00963EE6">
      <w:pPr>
        <w:pStyle w:val="Heading2"/>
        <w:numPr>
          <w:ilvl w:val="1"/>
          <w:numId w:val="2"/>
        </w:numPr>
        <w:rPr>
          <w:rFonts w:asciiTheme="minorHAnsi" w:hAnsiTheme="minorHAnsi" w:cstheme="minorHAnsi"/>
          <w:lang w:val="fr-CA"/>
        </w:rPr>
      </w:pPr>
      <w:bookmarkStart w:id="64" w:name="_Toc513716514"/>
      <w:bookmarkStart w:id="65" w:name="_Toc72402531"/>
      <w:r>
        <w:rPr>
          <w:rFonts w:asciiTheme="minorHAnsi" w:hAnsiTheme="minorHAnsi" w:cstheme="minorHAnsi"/>
          <w:lang w:val="fr-CA"/>
        </w:rPr>
        <w:t>P</w:t>
      </w:r>
      <w:r w:rsidR="003F63CD" w:rsidRPr="003F63CD">
        <w:rPr>
          <w:rFonts w:asciiTheme="minorHAnsi" w:hAnsiTheme="minorHAnsi" w:cstheme="minorHAnsi"/>
          <w:lang w:val="fr-CA"/>
        </w:rPr>
        <w:t>révisions des subventions et contributions</w:t>
      </w:r>
      <w:bookmarkEnd w:id="64"/>
      <w:bookmarkEnd w:id="65"/>
    </w:p>
    <w:p w14:paraId="2AF53AEF" w14:textId="77777777" w:rsidR="003F63CD" w:rsidRPr="003F63CD" w:rsidRDefault="003F63CD" w:rsidP="003F63CD">
      <w:pPr>
        <w:rPr>
          <w:rFonts w:asciiTheme="minorHAnsi" w:hAnsiTheme="minorHAnsi" w:cstheme="minorHAnsi"/>
          <w:lang w:val="fr-CA"/>
        </w:rPr>
      </w:pPr>
    </w:p>
    <w:p w14:paraId="1CE2B34D" w14:textId="541AC464"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 xml:space="preserve">EDSC a </w:t>
      </w:r>
      <w:r w:rsidR="00473E51">
        <w:rPr>
          <w:rFonts w:asciiTheme="minorHAnsi" w:hAnsiTheme="minorHAnsi" w:cstheme="minorHAnsi"/>
          <w:lang w:val="fr-CA"/>
        </w:rPr>
        <w:t>de nombreux</w:t>
      </w:r>
      <w:r w:rsidR="00473E51" w:rsidRPr="003F63CD">
        <w:rPr>
          <w:rFonts w:asciiTheme="minorHAnsi" w:hAnsiTheme="minorHAnsi" w:cstheme="minorHAnsi"/>
          <w:lang w:val="fr-CA"/>
        </w:rPr>
        <w:t xml:space="preserve"> </w:t>
      </w:r>
      <w:r w:rsidRPr="003F63CD">
        <w:rPr>
          <w:rFonts w:asciiTheme="minorHAnsi" w:hAnsiTheme="minorHAnsi" w:cstheme="minorHAnsi"/>
          <w:lang w:val="fr-CA"/>
        </w:rPr>
        <w:t>programmes de subventions et de contributions (S et C) financés grâce à deux sources de fonds, soit le</w:t>
      </w:r>
      <w:r w:rsidR="00473E51">
        <w:rPr>
          <w:rFonts w:asciiTheme="minorHAnsi" w:hAnsiTheme="minorHAnsi" w:cstheme="minorHAnsi"/>
          <w:lang w:val="fr-CA"/>
        </w:rPr>
        <w:t xml:space="preserve"> Fonds consolidé du</w:t>
      </w:r>
      <w:r w:rsidRPr="003F63CD">
        <w:rPr>
          <w:rFonts w:asciiTheme="minorHAnsi" w:hAnsiTheme="minorHAnsi" w:cstheme="minorHAnsi"/>
          <w:lang w:val="fr-CA"/>
        </w:rPr>
        <w:t xml:space="preserve"> Trésor et la </w:t>
      </w:r>
      <w:r w:rsidR="00473E51">
        <w:rPr>
          <w:rFonts w:asciiTheme="minorHAnsi" w:hAnsiTheme="minorHAnsi" w:cstheme="minorHAnsi"/>
          <w:lang w:val="fr-CA"/>
        </w:rPr>
        <w:t>P</w:t>
      </w:r>
      <w:r w:rsidRPr="003F63CD">
        <w:rPr>
          <w:rFonts w:asciiTheme="minorHAnsi" w:hAnsiTheme="minorHAnsi" w:cstheme="minorHAnsi"/>
          <w:lang w:val="fr-CA"/>
        </w:rPr>
        <w:t>artie II du compte d’</w:t>
      </w:r>
      <w:r w:rsidR="00473E51">
        <w:rPr>
          <w:rFonts w:asciiTheme="minorHAnsi" w:hAnsiTheme="minorHAnsi" w:cstheme="minorHAnsi"/>
          <w:lang w:val="fr-CA"/>
        </w:rPr>
        <w:t>A</w:t>
      </w:r>
      <w:r w:rsidRPr="003F63CD">
        <w:rPr>
          <w:rFonts w:asciiTheme="minorHAnsi" w:hAnsiTheme="minorHAnsi" w:cstheme="minorHAnsi"/>
          <w:lang w:val="fr-CA"/>
        </w:rPr>
        <w:t xml:space="preserve">ssurance-emploi. Il est essentiel de bien présenter les dépenses, les engagements et les plans futurs par rapport au budget d’un programme donné. Par conséquent, toutes les corrections nécessaires (p. ex., pièces de journal, désengagements) doivent être effectuées en temps opportun. Les prévisions doivent être entrées dans l’outil de prévisions non-salariales (type de prévision </w:t>
      </w:r>
      <w:r w:rsidRPr="003F63CD">
        <w:rPr>
          <w:rFonts w:asciiTheme="minorHAnsi" w:hAnsiTheme="minorHAnsi" w:cstheme="minorHAnsi"/>
          <w:bCs/>
          <w:lang w:val="fr-CA"/>
        </w:rPr>
        <w:t>Subvention et contribution</w:t>
      </w:r>
      <w:r w:rsidRPr="003F63CD">
        <w:rPr>
          <w:rFonts w:asciiTheme="minorHAnsi" w:hAnsiTheme="minorHAnsi" w:cstheme="minorHAnsi"/>
          <w:lang w:val="fr-CA"/>
        </w:rPr>
        <w:t>) au niveau du CF le plus bas (c.</w:t>
      </w:r>
      <w:r w:rsidRPr="003F63CD">
        <w:rPr>
          <w:rFonts w:asciiTheme="minorHAnsi" w:hAnsiTheme="minorHAnsi" w:cstheme="minorHAnsi"/>
          <w:lang w:val="fr-CA"/>
        </w:rPr>
        <w:noBreakHyphen/>
        <w:t>à</w:t>
      </w:r>
      <w:r w:rsidRPr="003F63CD">
        <w:rPr>
          <w:rFonts w:asciiTheme="minorHAnsi" w:hAnsiTheme="minorHAnsi" w:cstheme="minorHAnsi"/>
          <w:lang w:val="fr-CA"/>
        </w:rPr>
        <w:noBreakHyphen/>
        <w:t xml:space="preserve">d. le CF pour lequel les dépenses et engagements seront imputés), et pour chaque programme. Veuillez noter que les prévisions régionales et l’explication de variance doivent être soumises par province. </w:t>
      </w:r>
    </w:p>
    <w:p w14:paraId="40054799" w14:textId="77777777" w:rsidR="003F63CD" w:rsidRPr="003F63CD" w:rsidRDefault="003F63CD" w:rsidP="003F63CD">
      <w:pPr>
        <w:rPr>
          <w:rFonts w:asciiTheme="minorHAnsi" w:hAnsiTheme="minorHAnsi" w:cstheme="minorHAnsi"/>
          <w:lang w:val="fr-CA"/>
        </w:rPr>
      </w:pPr>
    </w:p>
    <w:p w14:paraId="25987C05" w14:textId="77777777" w:rsidR="003F63CD" w:rsidRPr="003F63CD" w:rsidRDefault="00422103" w:rsidP="003F63CD">
      <w:pPr>
        <w:rPr>
          <w:rFonts w:asciiTheme="minorHAnsi" w:hAnsiTheme="minorHAnsi" w:cstheme="minorHAnsi"/>
          <w:lang w:val="fr-CA"/>
        </w:rPr>
      </w:pPr>
      <w:r>
        <w:rPr>
          <w:rFonts w:asciiTheme="minorHAnsi" w:hAnsiTheme="minorHAnsi" w:cstheme="minorHAnsi"/>
          <w:lang w:val="fr-CA"/>
        </w:rPr>
        <w:t>Les données prévisionnelles s</w:t>
      </w:r>
      <w:r w:rsidR="003F63CD" w:rsidRPr="003F63CD">
        <w:rPr>
          <w:rFonts w:asciiTheme="minorHAnsi" w:hAnsiTheme="minorHAnsi" w:cstheme="minorHAnsi"/>
          <w:lang w:val="fr-CA"/>
        </w:rPr>
        <w:t xml:space="preserve">ont retirées de l’outil de prévisions non-salariales et transférées dans le module de gestion des fonds (FM) de maSGE (SAP), conformément à l’échéancier décrit dans l’annexe A (environ une semaine avant la fin de la période de prévision), ce qui gèlera les renseignements prévisionnels dans une version distincte du budget. </w:t>
      </w:r>
    </w:p>
    <w:p w14:paraId="65DA9193" w14:textId="77777777" w:rsidR="003F63CD" w:rsidRPr="003F63CD" w:rsidRDefault="003F63CD" w:rsidP="003F63CD">
      <w:pPr>
        <w:rPr>
          <w:rFonts w:asciiTheme="minorHAnsi" w:hAnsiTheme="minorHAnsi" w:cstheme="minorHAnsi"/>
          <w:lang w:val="fr-CA"/>
        </w:rPr>
      </w:pPr>
    </w:p>
    <w:p w14:paraId="0D0F925E" w14:textId="7841DDBE"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Les prévisions régionales des S et C de la Direction générale des opérations de programmes (DGOP) incluant les explications de variances devront être soumises au CGF de la DGOP via la bo</w:t>
      </w:r>
      <w:r w:rsidR="00473E51">
        <w:rPr>
          <w:rFonts w:asciiTheme="minorHAnsi" w:hAnsiTheme="minorHAnsi" w:cstheme="minorHAnsi"/>
          <w:lang w:val="fr-CA"/>
        </w:rPr>
        <w:t>î</w:t>
      </w:r>
      <w:r w:rsidRPr="003F63CD">
        <w:rPr>
          <w:rFonts w:asciiTheme="minorHAnsi" w:hAnsiTheme="minorHAnsi" w:cstheme="minorHAnsi"/>
          <w:lang w:val="fr-CA"/>
        </w:rPr>
        <w:t xml:space="preserve">te </w:t>
      </w:r>
      <w:r w:rsidR="00473E51">
        <w:rPr>
          <w:rFonts w:asciiTheme="minorHAnsi" w:hAnsiTheme="minorHAnsi" w:cstheme="minorHAnsi"/>
          <w:lang w:val="fr-CA"/>
        </w:rPr>
        <w:t>générique</w:t>
      </w:r>
      <w:r w:rsidRPr="003F63CD">
        <w:rPr>
          <w:rFonts w:asciiTheme="minorHAnsi" w:hAnsiTheme="minorHAnsi" w:cstheme="minorHAnsi"/>
          <w:lang w:val="fr-CA"/>
        </w:rPr>
        <w:t xml:space="preserve"> des prévisions financières (une version ébauche est acceptable) conformémen</w:t>
      </w:r>
      <w:r w:rsidR="00422103">
        <w:rPr>
          <w:rFonts w:asciiTheme="minorHAnsi" w:hAnsiTheme="minorHAnsi" w:cstheme="minorHAnsi"/>
          <w:lang w:val="fr-CA"/>
        </w:rPr>
        <w:t>t à l’échéancier décrit dans l’A</w:t>
      </w:r>
      <w:r w:rsidRPr="003F63CD">
        <w:rPr>
          <w:rFonts w:asciiTheme="minorHAnsi" w:hAnsiTheme="minorHAnsi" w:cstheme="minorHAnsi"/>
          <w:lang w:val="fr-CA"/>
        </w:rPr>
        <w:t>nnexe A (environ neuf jours avant la fin de la période de prévision). Note</w:t>
      </w:r>
      <w:r w:rsidR="00473E51">
        <w:rPr>
          <w:rFonts w:asciiTheme="minorHAnsi" w:hAnsiTheme="minorHAnsi" w:cstheme="minorHAnsi"/>
          <w:lang w:val="fr-CA"/>
        </w:rPr>
        <w:t>z</w:t>
      </w:r>
      <w:r w:rsidRPr="003F63CD">
        <w:rPr>
          <w:rFonts w:asciiTheme="minorHAnsi" w:hAnsiTheme="minorHAnsi" w:cstheme="minorHAnsi"/>
          <w:lang w:val="fr-CA"/>
        </w:rPr>
        <w:t xml:space="preserve"> que tout changement subséquent apporté après la date de soumission doit être communiqué au CGF de la DGOP et devra être enregistré comme un ajustement dans FMBB si approuvé.  Le CGF de la DGOP procédera à l’examen des prévisions provinciales afin de déterminer les prévisions globales pour chaque programme. Les résultats seron</w:t>
      </w:r>
      <w:r w:rsidR="000B7B63">
        <w:rPr>
          <w:rFonts w:asciiTheme="minorHAnsi" w:hAnsiTheme="minorHAnsi" w:cstheme="minorHAnsi"/>
          <w:lang w:val="fr-CA"/>
        </w:rPr>
        <w:t>t ensuite présentés à le</w:t>
      </w:r>
      <w:r w:rsidRPr="003F63CD">
        <w:rPr>
          <w:rFonts w:asciiTheme="minorHAnsi" w:hAnsiTheme="minorHAnsi" w:cstheme="minorHAnsi"/>
          <w:lang w:val="fr-CA"/>
        </w:rPr>
        <w:t xml:space="preserve"> SMA de la DGOP, pour approbation, avant la fin de la période de prévisions.</w:t>
      </w:r>
    </w:p>
    <w:p w14:paraId="296ECB16" w14:textId="77777777" w:rsidR="003F63CD" w:rsidRPr="003F63CD" w:rsidRDefault="003F63CD" w:rsidP="003F63CD">
      <w:pPr>
        <w:rPr>
          <w:rFonts w:asciiTheme="minorHAnsi" w:hAnsiTheme="minorHAnsi" w:cstheme="minorHAnsi"/>
          <w:lang w:val="fr-CA"/>
        </w:rPr>
      </w:pPr>
    </w:p>
    <w:p w14:paraId="1A71C18B" w14:textId="531EF9BC" w:rsidR="003F63CD" w:rsidRPr="003F63CD" w:rsidRDefault="003F63CD" w:rsidP="00963EE6">
      <w:pPr>
        <w:pStyle w:val="Heading2"/>
        <w:numPr>
          <w:ilvl w:val="1"/>
          <w:numId w:val="2"/>
        </w:numPr>
        <w:rPr>
          <w:rFonts w:asciiTheme="minorHAnsi" w:hAnsiTheme="minorHAnsi" w:cstheme="minorHAnsi"/>
          <w:szCs w:val="28"/>
          <w:lang w:val="fr-CA"/>
        </w:rPr>
      </w:pPr>
      <w:bookmarkStart w:id="66" w:name="_Toc513716515"/>
      <w:bookmarkStart w:id="67" w:name="_Toc72402532"/>
      <w:r w:rsidRPr="003F63CD">
        <w:rPr>
          <w:rFonts w:asciiTheme="minorHAnsi" w:hAnsiTheme="minorHAnsi" w:cstheme="minorHAnsi"/>
          <w:szCs w:val="28"/>
          <w:lang w:val="fr-CA"/>
        </w:rPr>
        <w:t>Ajustement des prévisions</w:t>
      </w:r>
      <w:bookmarkEnd w:id="66"/>
      <w:bookmarkEnd w:id="67"/>
    </w:p>
    <w:p w14:paraId="191AADF7" w14:textId="77777777" w:rsidR="003F63CD" w:rsidRPr="003F63CD" w:rsidRDefault="003F63CD" w:rsidP="003F63CD">
      <w:pPr>
        <w:rPr>
          <w:rFonts w:asciiTheme="minorHAnsi" w:hAnsiTheme="minorHAnsi" w:cstheme="minorHAnsi"/>
          <w:lang w:val="fr-CA"/>
        </w:rPr>
      </w:pPr>
    </w:p>
    <w:p w14:paraId="2F90A69C" w14:textId="11E4B63E"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 xml:space="preserve">Au cours de l’exercice prévisionnel, </w:t>
      </w:r>
      <w:r w:rsidR="00F57110">
        <w:rPr>
          <w:rFonts w:asciiTheme="minorHAnsi" w:hAnsiTheme="minorHAnsi" w:cstheme="minorHAnsi"/>
          <w:lang w:val="fr-CA"/>
        </w:rPr>
        <w:t xml:space="preserve">il est recommandé que </w:t>
      </w:r>
      <w:r w:rsidRPr="003F63CD">
        <w:rPr>
          <w:rFonts w:asciiTheme="minorHAnsi" w:hAnsiTheme="minorHAnsi" w:cstheme="minorHAnsi"/>
          <w:lang w:val="fr-CA"/>
        </w:rPr>
        <w:t xml:space="preserve">les modifications des prévisions </w:t>
      </w:r>
      <w:r w:rsidR="00F57110">
        <w:rPr>
          <w:rFonts w:asciiTheme="minorHAnsi" w:hAnsiTheme="minorHAnsi" w:cstheme="minorHAnsi"/>
          <w:lang w:val="fr-CA"/>
        </w:rPr>
        <w:t>soient</w:t>
      </w:r>
      <w:r w:rsidRPr="003F63CD">
        <w:rPr>
          <w:rFonts w:asciiTheme="minorHAnsi" w:hAnsiTheme="minorHAnsi" w:cstheme="minorHAnsi"/>
          <w:lang w:val="fr-CA"/>
        </w:rPr>
        <w:t xml:space="preserve"> effectuées directement dans l</w:t>
      </w:r>
      <w:r w:rsidR="00F57110">
        <w:rPr>
          <w:rFonts w:asciiTheme="minorHAnsi" w:hAnsiTheme="minorHAnsi" w:cstheme="minorHAnsi"/>
          <w:lang w:val="fr-CA"/>
        </w:rPr>
        <w:t>’</w:t>
      </w:r>
      <w:r w:rsidRPr="003F63CD">
        <w:rPr>
          <w:rFonts w:asciiTheme="minorHAnsi" w:hAnsiTheme="minorHAnsi" w:cstheme="minorHAnsi"/>
          <w:lang w:val="fr-CA"/>
        </w:rPr>
        <w:t xml:space="preserve">outil </w:t>
      </w:r>
      <w:r w:rsidR="00425E3B">
        <w:rPr>
          <w:rFonts w:asciiTheme="minorHAnsi" w:hAnsiTheme="minorHAnsi" w:cstheme="minorHAnsi"/>
          <w:lang w:val="fr-CA"/>
        </w:rPr>
        <w:t>prévisionnel approprié</w:t>
      </w:r>
      <w:r w:rsidRPr="003F63CD">
        <w:rPr>
          <w:rFonts w:asciiTheme="minorHAnsi" w:hAnsiTheme="minorHAnsi" w:cstheme="minorHAnsi"/>
          <w:lang w:val="fr-CA"/>
        </w:rPr>
        <w:t xml:space="preserve"> (OPS ou l’outil de prévisions non-salariales) au plus bas niveau possible, de manière à assurer l’intégrité des renseignements de notre registre de dossiers officiel.</w:t>
      </w:r>
    </w:p>
    <w:p w14:paraId="5B548C42" w14:textId="77777777" w:rsidR="00EC14A3" w:rsidRDefault="00EC14A3" w:rsidP="003F63CD">
      <w:pPr>
        <w:rPr>
          <w:rFonts w:asciiTheme="minorHAnsi" w:hAnsiTheme="minorHAnsi" w:cstheme="minorHAnsi"/>
          <w:lang w:val="fr-CA"/>
        </w:rPr>
      </w:pPr>
    </w:p>
    <w:p w14:paraId="559594CB" w14:textId="77777777" w:rsidR="003F63CD" w:rsidRPr="00EC14A3" w:rsidRDefault="003F63CD" w:rsidP="003F63CD">
      <w:pPr>
        <w:rPr>
          <w:rFonts w:asciiTheme="minorHAnsi" w:hAnsiTheme="minorHAnsi" w:cstheme="minorHAnsi"/>
          <w:b/>
          <w:u w:val="single"/>
          <w:lang w:val="fr-CA"/>
        </w:rPr>
      </w:pPr>
      <w:r w:rsidRPr="00EC14A3">
        <w:rPr>
          <w:rFonts w:asciiTheme="minorHAnsi" w:hAnsiTheme="minorHAnsi" w:cstheme="minorHAnsi"/>
          <w:b/>
          <w:u w:val="single"/>
          <w:lang w:val="fr-CA"/>
        </w:rPr>
        <w:t>L’option d’entrer un ajustement de prévision directement dans FMBB ne devrait être utilisé que dans les cas suivants :</w:t>
      </w:r>
    </w:p>
    <w:p w14:paraId="667A2143" w14:textId="0E301183" w:rsidR="003F63CD" w:rsidRPr="003F63CD" w:rsidRDefault="003F63CD" w:rsidP="003F63CD">
      <w:pPr>
        <w:pStyle w:val="ListParagraph"/>
        <w:numPr>
          <w:ilvl w:val="0"/>
          <w:numId w:val="7"/>
        </w:numPr>
        <w:spacing w:before="120"/>
        <w:ind w:left="714" w:hanging="357"/>
        <w:rPr>
          <w:rFonts w:asciiTheme="minorHAnsi" w:hAnsiTheme="minorHAnsi" w:cstheme="minorHAnsi"/>
          <w:lang w:val="fr-CA"/>
        </w:rPr>
      </w:pPr>
      <w:r w:rsidRPr="003F63CD">
        <w:rPr>
          <w:rFonts w:asciiTheme="minorHAnsi" w:hAnsiTheme="minorHAnsi" w:cstheme="minorHAnsi"/>
          <w:lang w:val="fr-CA"/>
        </w:rPr>
        <w:t>Si un ajustement est nécessaire après la date du transfert des données prévisionnelles des outils de prévision (OPS et l’outil de prévisions non-sala</w:t>
      </w:r>
      <w:r w:rsidR="009C4447">
        <w:rPr>
          <w:rFonts w:asciiTheme="minorHAnsi" w:hAnsiTheme="minorHAnsi" w:cstheme="minorHAnsi"/>
          <w:lang w:val="fr-CA"/>
        </w:rPr>
        <w:t>riales) vers le module de FM;</w:t>
      </w:r>
      <w:r w:rsidR="00F57110">
        <w:rPr>
          <w:rFonts w:asciiTheme="minorHAnsi" w:hAnsiTheme="minorHAnsi" w:cstheme="minorHAnsi"/>
          <w:lang w:val="fr-CA"/>
        </w:rPr>
        <w:t xml:space="preserve"> </w:t>
      </w:r>
    </w:p>
    <w:p w14:paraId="765AE84B" w14:textId="651C8FC7" w:rsidR="003F63CD" w:rsidRDefault="003F63CD" w:rsidP="003F63CD">
      <w:pPr>
        <w:pStyle w:val="ListParagraph"/>
        <w:numPr>
          <w:ilvl w:val="0"/>
          <w:numId w:val="7"/>
        </w:numPr>
        <w:spacing w:before="120"/>
        <w:ind w:left="714" w:hanging="357"/>
        <w:rPr>
          <w:rFonts w:asciiTheme="minorHAnsi" w:hAnsiTheme="minorHAnsi" w:cstheme="minorHAnsi"/>
          <w:lang w:val="fr-CA"/>
        </w:rPr>
      </w:pPr>
      <w:r w:rsidRPr="003F63CD">
        <w:rPr>
          <w:rFonts w:asciiTheme="minorHAnsi" w:hAnsiTheme="minorHAnsi" w:cstheme="minorHAnsi"/>
          <w:lang w:val="fr-CA"/>
        </w:rPr>
        <w:t>Si un ajustement négatif de prévisions liées au personnel (p. ex. attrition, surplus, congé sans solde, prévision de dotation prévue interne à la direction générale/région, etc.) est nécessaire et ne peut pas être comptabili</w:t>
      </w:r>
      <w:r w:rsidR="009C4447">
        <w:rPr>
          <w:rFonts w:asciiTheme="minorHAnsi" w:hAnsiTheme="minorHAnsi" w:cstheme="minorHAnsi"/>
          <w:lang w:val="fr-CA"/>
        </w:rPr>
        <w:t xml:space="preserve">sé directement dans l’outil </w:t>
      </w:r>
      <w:r w:rsidR="00EE53A9">
        <w:rPr>
          <w:rFonts w:asciiTheme="minorHAnsi" w:hAnsiTheme="minorHAnsi" w:cstheme="minorHAnsi"/>
          <w:lang w:val="fr-CA"/>
        </w:rPr>
        <w:t>OPS;</w:t>
      </w:r>
      <w:r w:rsidR="009C4447">
        <w:rPr>
          <w:rFonts w:asciiTheme="minorHAnsi" w:hAnsiTheme="minorHAnsi" w:cstheme="minorHAnsi"/>
          <w:lang w:val="fr-CA"/>
        </w:rPr>
        <w:t xml:space="preserve"> </w:t>
      </w:r>
    </w:p>
    <w:p w14:paraId="188E8719" w14:textId="13C4A02F" w:rsidR="009C4447" w:rsidRDefault="009C4447" w:rsidP="003F63CD">
      <w:pPr>
        <w:pStyle w:val="ListParagraph"/>
        <w:numPr>
          <w:ilvl w:val="0"/>
          <w:numId w:val="7"/>
        </w:numPr>
        <w:spacing w:before="120"/>
        <w:ind w:left="714" w:hanging="357"/>
        <w:rPr>
          <w:rFonts w:asciiTheme="minorHAnsi" w:hAnsiTheme="minorHAnsi" w:cstheme="minorHAnsi"/>
          <w:lang w:val="fr-CA"/>
        </w:rPr>
      </w:pPr>
      <w:r>
        <w:rPr>
          <w:rFonts w:asciiTheme="minorHAnsi" w:hAnsiTheme="minorHAnsi" w:cstheme="minorHAnsi"/>
          <w:lang w:val="fr-CA"/>
        </w:rPr>
        <w:t>Pour prévoir les montants en liens avec les Partenariats de prestation de services de faible valeur (Fond A449) et réduire les prévisions dans le fond de fonctionnement régulier (Fond B001)</w:t>
      </w:r>
      <w:r w:rsidR="00F57110">
        <w:rPr>
          <w:rFonts w:asciiTheme="minorHAnsi" w:hAnsiTheme="minorHAnsi" w:cstheme="minorHAnsi"/>
          <w:lang w:val="fr-CA"/>
        </w:rPr>
        <w:t xml:space="preserve">; </w:t>
      </w:r>
    </w:p>
    <w:p w14:paraId="2EE19BAE" w14:textId="44894A2E" w:rsidR="00F57110" w:rsidRDefault="00F57110" w:rsidP="003F63CD">
      <w:pPr>
        <w:pStyle w:val="ListParagraph"/>
        <w:numPr>
          <w:ilvl w:val="0"/>
          <w:numId w:val="7"/>
        </w:numPr>
        <w:spacing w:before="120"/>
        <w:ind w:left="714" w:hanging="357"/>
        <w:rPr>
          <w:rFonts w:asciiTheme="minorHAnsi" w:hAnsiTheme="minorHAnsi" w:cstheme="minorHAnsi"/>
          <w:lang w:val="fr-CA"/>
        </w:rPr>
      </w:pPr>
      <w:r>
        <w:rPr>
          <w:rFonts w:asciiTheme="minorHAnsi" w:hAnsiTheme="minorHAnsi" w:cstheme="minorHAnsi"/>
          <w:lang w:val="fr-CA"/>
        </w:rPr>
        <w:t>Pour prévoir pour les mesure</w:t>
      </w:r>
      <w:r w:rsidR="00935B57">
        <w:rPr>
          <w:rFonts w:asciiTheme="minorHAnsi" w:hAnsiTheme="minorHAnsi" w:cstheme="minorHAnsi"/>
          <w:lang w:val="fr-CA"/>
        </w:rPr>
        <w:t>s</w:t>
      </w:r>
      <w:r>
        <w:rPr>
          <w:rFonts w:asciiTheme="minorHAnsi" w:hAnsiTheme="minorHAnsi" w:cstheme="minorHAnsi"/>
          <w:lang w:val="fr-CA"/>
        </w:rPr>
        <w:t xml:space="preserve"> en</w:t>
      </w:r>
      <w:r w:rsidR="00EC14A3">
        <w:rPr>
          <w:rFonts w:asciiTheme="minorHAnsi" w:hAnsiTheme="minorHAnsi" w:cstheme="minorHAnsi"/>
          <w:lang w:val="fr-CA"/>
        </w:rPr>
        <w:t xml:space="preserve"> réponse à la COVID-19 </w:t>
      </w:r>
      <w:r>
        <w:rPr>
          <w:rFonts w:asciiTheme="minorHAnsi" w:hAnsiTheme="minorHAnsi" w:cstheme="minorHAnsi"/>
          <w:lang w:val="fr-CA"/>
        </w:rPr>
        <w:t>et réduire les prévisions de fonctionnement régulier en conséquence (fonds B001).</w:t>
      </w:r>
    </w:p>
    <w:p w14:paraId="201E34A2" w14:textId="77777777" w:rsidR="003F63CD" w:rsidRPr="00881FDC" w:rsidRDefault="003F63CD" w:rsidP="003F63CD">
      <w:pPr>
        <w:rPr>
          <w:rFonts w:asciiTheme="minorHAnsi" w:hAnsiTheme="minorHAnsi" w:cstheme="minorHAnsi"/>
          <w:lang w:val="fr-CA"/>
        </w:rPr>
      </w:pPr>
    </w:p>
    <w:p w14:paraId="41D5FD33" w14:textId="77777777" w:rsidR="003F63CD" w:rsidRDefault="003F63CD" w:rsidP="003F63CD">
      <w:pPr>
        <w:rPr>
          <w:rFonts w:asciiTheme="minorHAnsi" w:hAnsiTheme="minorHAnsi" w:cstheme="minorHAnsi"/>
          <w:lang w:val="fr-FR"/>
        </w:rPr>
      </w:pPr>
      <w:r w:rsidRPr="003F63CD">
        <w:rPr>
          <w:rFonts w:asciiTheme="minorHAnsi" w:hAnsiTheme="minorHAnsi" w:cstheme="minorHAnsi"/>
          <w:lang w:val="fr-CA"/>
        </w:rPr>
        <w:t xml:space="preserve">Ces types d’ajustements sont saisis dans le FMBB, par le CGF, dans une version distincte du budget (aux fins de l’établissement des prévisions), avec un type de document et un type de budget spécifiques (FADJ pour les ajustements réguliers et FAPS pour les ajustements </w:t>
      </w:r>
      <w:r w:rsidR="009C4447">
        <w:rPr>
          <w:rFonts w:asciiTheme="minorHAnsi" w:hAnsiTheme="minorHAnsi" w:cstheme="minorHAnsi"/>
          <w:lang w:val="fr-CA"/>
        </w:rPr>
        <w:t xml:space="preserve">reliés à </w:t>
      </w:r>
      <w:r w:rsidRPr="003F63CD">
        <w:rPr>
          <w:rFonts w:asciiTheme="minorHAnsi" w:hAnsiTheme="minorHAnsi" w:cstheme="minorHAnsi"/>
          <w:lang w:val="fr-CA"/>
        </w:rPr>
        <w:t>la dotation prévue). L’ajustement peut être effectué au niveau de la direction générale/région</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mais il est impératif</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qu'il soit fait</w:t>
      </w:r>
      <w:r w:rsidRPr="003F63CD">
        <w:rPr>
          <w:rFonts w:asciiTheme="minorHAnsi" w:hAnsiTheme="minorHAnsi" w:cstheme="minorHAnsi"/>
          <w:lang w:val="fr-FR"/>
        </w:rPr>
        <w:t xml:space="preserve"> au </w:t>
      </w:r>
      <w:r w:rsidRPr="003F63CD">
        <w:rPr>
          <w:rStyle w:val="hps"/>
          <w:rFonts w:asciiTheme="minorHAnsi" w:hAnsiTheme="minorHAnsi" w:cstheme="minorHAnsi"/>
          <w:lang w:val="fr-FR"/>
        </w:rPr>
        <w:t>niveau du fonds et</w:t>
      </w:r>
      <w:r w:rsidRPr="003F63CD">
        <w:rPr>
          <w:rFonts w:asciiTheme="minorHAnsi" w:hAnsiTheme="minorHAnsi" w:cstheme="minorHAnsi"/>
          <w:lang w:val="fr-FR"/>
        </w:rPr>
        <w:t xml:space="preserve"> du compte budgétaire.</w:t>
      </w:r>
    </w:p>
    <w:p w14:paraId="495F58E8" w14:textId="77777777" w:rsidR="008930C4" w:rsidRDefault="008930C4" w:rsidP="003F63CD">
      <w:pPr>
        <w:rPr>
          <w:rFonts w:asciiTheme="minorHAnsi" w:hAnsiTheme="minorHAnsi" w:cstheme="minorHAnsi"/>
          <w:lang w:val="fr-FR"/>
        </w:rPr>
      </w:pPr>
    </w:p>
    <w:p w14:paraId="69E28BC7" w14:textId="77777777" w:rsidR="008930C4" w:rsidRDefault="00EC14A3" w:rsidP="003F63CD">
      <w:pPr>
        <w:rPr>
          <w:rFonts w:asciiTheme="minorHAnsi" w:hAnsiTheme="minorHAnsi" w:cstheme="minorHAnsi"/>
          <w:lang w:val="fr-CA"/>
        </w:rPr>
      </w:pPr>
      <w:r w:rsidRPr="00EC14A3">
        <w:rPr>
          <w:rFonts w:asciiTheme="minorHAnsi" w:hAnsiTheme="minorHAnsi" w:cstheme="minorHAnsi"/>
          <w:lang w:val="fr-CA"/>
        </w:rPr>
        <w:t>Pour permettre l’analyse des ajustements aux pré</w:t>
      </w:r>
      <w:r>
        <w:rPr>
          <w:rFonts w:asciiTheme="minorHAnsi" w:hAnsiTheme="minorHAnsi" w:cstheme="minorHAnsi"/>
          <w:lang w:val="fr-CA"/>
        </w:rPr>
        <w:t xml:space="preserve">visions au niveau ministériel, </w:t>
      </w:r>
      <w:r w:rsidRPr="00EC14A3">
        <w:rPr>
          <w:rFonts w:asciiTheme="minorHAnsi" w:hAnsiTheme="minorHAnsi" w:cstheme="minorHAnsi"/>
          <w:lang w:val="fr-CA"/>
        </w:rPr>
        <w:t>une convention d’appellation standard a été établie pour les ajustements saisis dans FMBB</w:t>
      </w:r>
      <w:r w:rsidR="008930C4" w:rsidRPr="008930C4">
        <w:rPr>
          <w:rFonts w:asciiTheme="minorHAnsi" w:hAnsiTheme="minorHAnsi" w:cstheme="minorHAnsi"/>
          <w:lang w:val="fr-CA"/>
        </w:rPr>
        <w:t>:</w:t>
      </w:r>
    </w:p>
    <w:p w14:paraId="5B3999B0" w14:textId="2D9BF05D" w:rsidR="004A1E85" w:rsidRDefault="008F005F" w:rsidP="008930C4">
      <w:pPr>
        <w:rPr>
          <w:rFonts w:asciiTheme="minorHAnsi" w:hAnsiTheme="minorHAnsi" w:cstheme="minorHAnsi"/>
          <w:lang w:val="fr-CA"/>
        </w:rPr>
      </w:pPr>
      <w:r w:rsidRPr="008F005F">
        <w:rPr>
          <w:noProof/>
        </w:rPr>
        <w:drawing>
          <wp:inline distT="0" distB="0" distL="0" distR="0" wp14:anchorId="0D51BE9A" wp14:editId="5506D6E8">
            <wp:extent cx="6183630" cy="3517713"/>
            <wp:effectExtent l="0" t="0" r="762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9196" cy="3526568"/>
                    </a:xfrm>
                    <a:prstGeom prst="rect">
                      <a:avLst/>
                    </a:prstGeom>
                    <a:noFill/>
                    <a:ln>
                      <a:noFill/>
                    </a:ln>
                  </pic:spPr>
                </pic:pic>
              </a:graphicData>
            </a:graphic>
          </wp:inline>
        </w:drawing>
      </w:r>
    </w:p>
    <w:p w14:paraId="3EE579CF" w14:textId="77777777" w:rsidR="008F005F" w:rsidRDefault="008F005F" w:rsidP="008930C4">
      <w:pPr>
        <w:rPr>
          <w:rFonts w:asciiTheme="minorHAnsi" w:hAnsiTheme="minorHAnsi" w:cstheme="minorHAnsi"/>
          <w:lang w:val="fr-CA"/>
        </w:rPr>
      </w:pPr>
    </w:p>
    <w:p w14:paraId="4BC9E9D3" w14:textId="77777777" w:rsidR="00BD63AC" w:rsidRPr="00BD63AC" w:rsidRDefault="00BD63AC" w:rsidP="00BD63AC">
      <w:pPr>
        <w:rPr>
          <w:rFonts w:asciiTheme="minorHAnsi" w:hAnsiTheme="minorHAnsi" w:cstheme="minorHAnsi"/>
          <w:lang w:val="fr-CA"/>
        </w:rPr>
      </w:pPr>
      <w:r w:rsidRPr="00BD63AC">
        <w:rPr>
          <w:rFonts w:asciiTheme="minorHAnsi" w:hAnsiTheme="minorHAnsi" w:cstheme="minorHAnsi"/>
          <w:lang w:val="fr-FR"/>
        </w:rPr>
        <w:t>Les ajustements pour des raisons non énumérées ci-dessus doivent être identifiés par un texte d'en-tête et un texte clair et intuitif, ce qui facilitera l'examen et l'analyse des ajustements de prévision.</w:t>
      </w:r>
    </w:p>
    <w:p w14:paraId="1C1C2B48" w14:textId="77777777" w:rsidR="003F63CD" w:rsidRPr="003F63CD" w:rsidRDefault="003F63CD" w:rsidP="003F63CD">
      <w:pPr>
        <w:rPr>
          <w:rFonts w:asciiTheme="minorHAnsi" w:hAnsiTheme="minorHAnsi" w:cstheme="minorHAnsi"/>
          <w:lang w:val="fr-CA"/>
        </w:rPr>
      </w:pPr>
    </w:p>
    <w:p w14:paraId="7FB524A5" w14:textId="4264B285" w:rsidR="003F63CD" w:rsidRPr="00BD63AC" w:rsidRDefault="003F63CD" w:rsidP="003F63CD">
      <w:pPr>
        <w:rPr>
          <w:rFonts w:asciiTheme="minorHAnsi" w:hAnsiTheme="minorHAnsi" w:cstheme="minorHAnsi"/>
          <w:u w:val="single"/>
          <w:lang w:val="fr-CA"/>
        </w:rPr>
      </w:pPr>
      <w:r w:rsidRPr="00BD63AC">
        <w:rPr>
          <w:rFonts w:asciiTheme="minorHAnsi" w:hAnsiTheme="minorHAnsi" w:cstheme="minorHAnsi"/>
          <w:u w:val="single"/>
          <w:lang w:val="fr-CA"/>
        </w:rPr>
        <w:t>La dotation prévue identifié</w:t>
      </w:r>
      <w:r w:rsidR="009649B1">
        <w:rPr>
          <w:rFonts w:asciiTheme="minorHAnsi" w:hAnsiTheme="minorHAnsi" w:cstheme="minorHAnsi"/>
          <w:u w:val="single"/>
          <w:lang w:val="fr-CA"/>
        </w:rPr>
        <w:t>e</w:t>
      </w:r>
      <w:r w:rsidRPr="00BD63AC">
        <w:rPr>
          <w:rFonts w:asciiTheme="minorHAnsi" w:hAnsiTheme="minorHAnsi" w:cstheme="minorHAnsi"/>
          <w:u w:val="single"/>
          <w:lang w:val="fr-CA"/>
        </w:rPr>
        <w:t xml:space="preserve"> comme étant </w:t>
      </w:r>
      <w:r w:rsidRPr="00BD63AC">
        <w:rPr>
          <w:rFonts w:asciiTheme="minorHAnsi" w:hAnsiTheme="minorHAnsi" w:cstheme="minorHAnsi"/>
          <w:b/>
          <w:u w:val="single"/>
          <w:lang w:val="fr-CA"/>
        </w:rPr>
        <w:t>interne à la direction générale/région</w:t>
      </w:r>
      <w:r w:rsidRPr="00BD63AC">
        <w:rPr>
          <w:rFonts w:asciiTheme="minorHAnsi" w:hAnsiTheme="minorHAnsi" w:cstheme="minorHAnsi"/>
          <w:u w:val="single"/>
          <w:lang w:val="fr-CA"/>
        </w:rPr>
        <w:t xml:space="preserve"> dans l’OPS devrait avoir une contrepartie dans les ajustements de FMBB pour en ann</w:t>
      </w:r>
      <w:r w:rsidR="009C4447" w:rsidRPr="00BD63AC">
        <w:rPr>
          <w:rFonts w:asciiTheme="minorHAnsi" w:hAnsiTheme="minorHAnsi" w:cstheme="minorHAnsi"/>
          <w:u w:val="single"/>
          <w:lang w:val="fr-CA"/>
        </w:rPr>
        <w:t xml:space="preserve">uler l’effet financier puisque </w:t>
      </w:r>
      <w:r w:rsidRPr="00BD63AC">
        <w:rPr>
          <w:rFonts w:asciiTheme="minorHAnsi" w:hAnsiTheme="minorHAnsi" w:cstheme="minorHAnsi"/>
          <w:u w:val="single"/>
          <w:lang w:val="fr-CA"/>
        </w:rPr>
        <w:t xml:space="preserve">ce type de dotation prévue devrait avoir un effet nul au niveau </w:t>
      </w:r>
      <w:r w:rsidR="009C4447" w:rsidRPr="00BD63AC">
        <w:rPr>
          <w:rFonts w:asciiTheme="minorHAnsi" w:hAnsiTheme="minorHAnsi" w:cstheme="minorHAnsi"/>
          <w:u w:val="single"/>
          <w:lang w:val="fr-CA"/>
        </w:rPr>
        <w:t>de la direction générale/région</w:t>
      </w:r>
      <w:r w:rsidR="008930C4">
        <w:rPr>
          <w:rFonts w:asciiTheme="minorHAnsi" w:hAnsiTheme="minorHAnsi" w:cstheme="minorHAnsi"/>
          <w:u w:val="single"/>
          <w:lang w:val="fr-CA"/>
        </w:rPr>
        <w:t xml:space="preserve"> (voir </w:t>
      </w:r>
      <w:r w:rsidR="00BD63AC">
        <w:rPr>
          <w:rFonts w:asciiTheme="minorHAnsi" w:hAnsiTheme="minorHAnsi" w:cstheme="minorHAnsi"/>
          <w:u w:val="single"/>
          <w:lang w:val="fr-CA"/>
        </w:rPr>
        <w:t>A</w:t>
      </w:r>
      <w:r w:rsidR="008930C4">
        <w:rPr>
          <w:rFonts w:asciiTheme="minorHAnsi" w:hAnsiTheme="minorHAnsi" w:cstheme="minorHAnsi"/>
          <w:u w:val="single"/>
          <w:lang w:val="fr-CA"/>
        </w:rPr>
        <w:t>nnexe B)</w:t>
      </w:r>
      <w:r w:rsidRPr="00BD63AC">
        <w:rPr>
          <w:rFonts w:asciiTheme="minorHAnsi" w:hAnsiTheme="minorHAnsi" w:cstheme="minorHAnsi"/>
          <w:u w:val="single"/>
          <w:lang w:val="fr-CA"/>
        </w:rPr>
        <w:t xml:space="preserve">.  </w:t>
      </w:r>
    </w:p>
    <w:p w14:paraId="634BD6AF" w14:textId="77777777" w:rsidR="003F63CD" w:rsidRPr="003F63CD" w:rsidRDefault="003F63CD" w:rsidP="003F63CD">
      <w:pPr>
        <w:rPr>
          <w:rFonts w:asciiTheme="minorHAnsi" w:hAnsiTheme="minorHAnsi" w:cstheme="minorHAnsi"/>
          <w:lang w:val="fr-CA"/>
        </w:rPr>
      </w:pPr>
    </w:p>
    <w:p w14:paraId="6F77E471"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Contrairement à BI, où l’information est mise à jour au cours de la nuit et disponible la journée suivante, un rapport démontrant le résultat de l’ajustement dans FMBB sur la prévision totale peut être consulté, dès que l’ajustement est saisi, en utilisant le rapport du module FM ZKFM_Z300.</w:t>
      </w:r>
    </w:p>
    <w:p w14:paraId="6583C054" w14:textId="77777777" w:rsidR="003F63CD" w:rsidRPr="003F63CD" w:rsidRDefault="003F63CD" w:rsidP="003F63CD">
      <w:pPr>
        <w:rPr>
          <w:rFonts w:asciiTheme="minorHAnsi" w:hAnsiTheme="minorHAnsi" w:cstheme="minorHAnsi"/>
          <w:lang w:val="fr-CA"/>
        </w:rPr>
      </w:pPr>
    </w:p>
    <w:p w14:paraId="0A764B55" w14:textId="18B28D65"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Les liens ci</w:t>
      </w:r>
      <w:r w:rsidRPr="003F63CD">
        <w:rPr>
          <w:rFonts w:asciiTheme="minorHAnsi" w:hAnsiTheme="minorHAnsi" w:cstheme="minorHAnsi"/>
          <w:lang w:val="fr-CA"/>
        </w:rPr>
        <w:noBreakHyphen/>
        <w:t xml:space="preserve">dessous mènent à des </w:t>
      </w:r>
      <w:r w:rsidRPr="00CF13FD">
        <w:rPr>
          <w:lang w:val="fr-CA"/>
        </w:rPr>
        <w:t>procédures détaillées</w:t>
      </w:r>
      <w:r w:rsidRPr="003F63CD">
        <w:rPr>
          <w:rFonts w:asciiTheme="minorHAnsi" w:hAnsiTheme="minorHAnsi" w:cstheme="minorHAnsi"/>
          <w:lang w:val="fr-CA"/>
        </w:rPr>
        <w:t xml:space="preserve"> </w:t>
      </w:r>
      <w:r w:rsidR="009649B1">
        <w:rPr>
          <w:rFonts w:asciiTheme="minorHAnsi" w:hAnsiTheme="minorHAnsi" w:cstheme="minorHAnsi"/>
          <w:lang w:val="fr-CA"/>
        </w:rPr>
        <w:t xml:space="preserve">de maSGE (SAP) </w:t>
      </w:r>
      <w:r w:rsidRPr="003F63CD">
        <w:rPr>
          <w:rFonts w:asciiTheme="minorHAnsi" w:hAnsiTheme="minorHAnsi" w:cstheme="minorHAnsi"/>
          <w:lang w:val="fr-CA"/>
        </w:rPr>
        <w:t xml:space="preserve">expliquant les différentes actions potentielles liées aux ajustements de prévisions. </w:t>
      </w:r>
      <w:r w:rsidR="009649B1">
        <w:rPr>
          <w:rFonts w:asciiTheme="minorHAnsi" w:hAnsiTheme="minorHAnsi" w:cstheme="minorHAnsi"/>
          <w:lang w:val="fr-CA"/>
        </w:rPr>
        <w:t>Voir également</w:t>
      </w:r>
      <w:r w:rsidRPr="003F63CD">
        <w:rPr>
          <w:rFonts w:asciiTheme="minorHAnsi" w:hAnsiTheme="minorHAnsi" w:cstheme="minorHAnsi"/>
          <w:lang w:val="fr-CA"/>
        </w:rPr>
        <w:t xml:space="preserve"> l’Annexe B </w:t>
      </w:r>
      <w:r w:rsidR="009649B1">
        <w:rPr>
          <w:rFonts w:asciiTheme="minorHAnsi" w:hAnsiTheme="minorHAnsi" w:cstheme="minorHAnsi"/>
          <w:lang w:val="fr-CA"/>
        </w:rPr>
        <w:t>pour</w:t>
      </w:r>
      <w:r w:rsidRPr="003F63CD">
        <w:rPr>
          <w:rFonts w:asciiTheme="minorHAnsi" w:hAnsiTheme="minorHAnsi" w:cstheme="minorHAnsi"/>
          <w:lang w:val="fr-CA"/>
        </w:rPr>
        <w:t xml:space="preserve"> de l’information technique sur la saisie des ajustements dans le FMBB.</w:t>
      </w:r>
    </w:p>
    <w:p w14:paraId="7734B62C" w14:textId="77777777" w:rsidR="003F63CD" w:rsidRPr="003F63CD" w:rsidRDefault="003F63CD" w:rsidP="003F63CD">
      <w:pPr>
        <w:rPr>
          <w:rFonts w:asciiTheme="minorHAnsi" w:hAnsiTheme="minorHAnsi" w:cstheme="minorHAnsi"/>
          <w:lang w:val="fr-CA"/>
        </w:rPr>
      </w:pPr>
    </w:p>
    <w:p w14:paraId="3C3D9BF6" w14:textId="77777777" w:rsidR="003F63CD" w:rsidRPr="003F63CD" w:rsidRDefault="00D45BCF" w:rsidP="003F63CD">
      <w:pPr>
        <w:rPr>
          <w:rFonts w:asciiTheme="minorHAnsi" w:hAnsiTheme="minorHAnsi" w:cstheme="minorHAnsi"/>
          <w:lang w:val="fr-CA"/>
        </w:rPr>
      </w:pPr>
      <w:hyperlink r:id="rId32" w:history="1">
        <w:r w:rsidR="003F63CD" w:rsidRPr="003F63CD">
          <w:rPr>
            <w:rStyle w:val="Hyperlink"/>
            <w:rFonts w:asciiTheme="minorHAnsi" w:hAnsiTheme="minorHAnsi" w:cstheme="minorHAnsi"/>
            <w:lang w:val="fr-CA"/>
          </w:rPr>
          <w:t>Ajustements de prévisions Fonds supplémentaires</w:t>
        </w:r>
      </w:hyperlink>
    </w:p>
    <w:p w14:paraId="22950E73" w14:textId="77777777" w:rsidR="003F63CD" w:rsidRPr="003F63CD" w:rsidRDefault="00D45BCF" w:rsidP="003F63CD">
      <w:pPr>
        <w:rPr>
          <w:rFonts w:asciiTheme="minorHAnsi" w:hAnsiTheme="minorHAnsi" w:cstheme="minorHAnsi"/>
          <w:bCs/>
          <w:lang w:val="fr-CA"/>
        </w:rPr>
      </w:pPr>
      <w:hyperlink r:id="rId33" w:history="1">
        <w:r w:rsidR="003F63CD" w:rsidRPr="003F63CD">
          <w:rPr>
            <w:rStyle w:val="Hyperlink"/>
            <w:rFonts w:asciiTheme="minorHAnsi" w:hAnsiTheme="minorHAnsi" w:cstheme="minorHAnsi"/>
            <w:lang w:val="fr-CA"/>
          </w:rPr>
          <w:t>Ajustements de prévisions Restitutions</w:t>
        </w:r>
      </w:hyperlink>
      <w:r w:rsidR="003F63CD" w:rsidRPr="003F63CD" w:rsidDel="00E4395F">
        <w:rPr>
          <w:rFonts w:asciiTheme="minorHAnsi" w:hAnsiTheme="minorHAnsi" w:cstheme="minorHAnsi"/>
          <w:lang w:val="fr-CA"/>
        </w:rPr>
        <w:t xml:space="preserve"> </w:t>
      </w:r>
    </w:p>
    <w:p w14:paraId="4B5822B3" w14:textId="77777777" w:rsidR="003F63CD" w:rsidRPr="003F63CD" w:rsidRDefault="003F63CD" w:rsidP="003F63CD">
      <w:pPr>
        <w:rPr>
          <w:rFonts w:asciiTheme="minorHAnsi" w:hAnsiTheme="minorHAnsi" w:cstheme="minorHAnsi"/>
          <w:lang w:val="fr-CA"/>
        </w:rPr>
      </w:pPr>
    </w:p>
    <w:p w14:paraId="0F380D77" w14:textId="402F0DDB" w:rsidR="003F63CD" w:rsidRPr="003F63CD" w:rsidRDefault="003F63CD" w:rsidP="00963EE6">
      <w:pPr>
        <w:pStyle w:val="Heading2"/>
        <w:numPr>
          <w:ilvl w:val="1"/>
          <w:numId w:val="2"/>
        </w:numPr>
        <w:rPr>
          <w:rFonts w:asciiTheme="minorHAnsi" w:hAnsiTheme="minorHAnsi" w:cstheme="minorHAnsi"/>
          <w:lang w:val="fr-CA"/>
        </w:rPr>
      </w:pPr>
      <w:bookmarkStart w:id="68" w:name="_Toc513716516"/>
      <w:bookmarkStart w:id="69" w:name="_Toc72402533"/>
      <w:bookmarkStart w:id="70" w:name="_Toc419208343"/>
      <w:r w:rsidRPr="003F63CD">
        <w:rPr>
          <w:rFonts w:asciiTheme="minorHAnsi" w:hAnsiTheme="minorHAnsi" w:cstheme="minorHAnsi"/>
          <w:lang w:val="fr-CA"/>
        </w:rPr>
        <w:t xml:space="preserve">Explication de l’écart et approbation des prévisions par le </w:t>
      </w:r>
      <w:bookmarkEnd w:id="68"/>
      <w:r w:rsidR="00CF13FD">
        <w:rPr>
          <w:rFonts w:asciiTheme="minorHAnsi" w:hAnsiTheme="minorHAnsi" w:cstheme="minorHAnsi"/>
          <w:lang w:val="fr-CA"/>
        </w:rPr>
        <w:t>SMA</w:t>
      </w:r>
      <w:bookmarkEnd w:id="69"/>
    </w:p>
    <w:p w14:paraId="746938F0" w14:textId="77777777" w:rsidR="003F63CD" w:rsidRPr="003F63CD" w:rsidRDefault="003F63CD" w:rsidP="003F63CD">
      <w:pPr>
        <w:rPr>
          <w:rFonts w:asciiTheme="minorHAnsi" w:hAnsiTheme="minorHAnsi" w:cstheme="minorHAnsi"/>
          <w:lang w:val="fr-CA"/>
        </w:rPr>
      </w:pPr>
    </w:p>
    <w:p w14:paraId="03BA3D90" w14:textId="77777777" w:rsidR="003F63CD" w:rsidRPr="003F63CD" w:rsidRDefault="003F63CD" w:rsidP="003F63CD">
      <w:pPr>
        <w:rPr>
          <w:rFonts w:asciiTheme="minorHAnsi" w:hAnsiTheme="minorHAnsi" w:cstheme="minorHAnsi"/>
          <w:lang w:val="fr-CA"/>
        </w:rPr>
      </w:pPr>
      <w:r w:rsidRPr="003F63CD">
        <w:rPr>
          <w:rFonts w:asciiTheme="minorHAnsi" w:hAnsiTheme="minorHAnsi" w:cstheme="minorHAnsi"/>
          <w:lang w:val="fr-CA"/>
        </w:rPr>
        <w:t>Le rapport BI Surplus/Déficit</w:t>
      </w:r>
      <w:r w:rsidRPr="003F63CD">
        <w:rPr>
          <w:rStyle w:val="hps"/>
          <w:rFonts w:asciiTheme="minorHAnsi" w:hAnsiTheme="minorHAnsi" w:cstheme="minorHAnsi"/>
          <w:lang w:val="fr-FR"/>
        </w:rPr>
        <w:t xml:space="preserve"> </w:t>
      </w:r>
      <w:r w:rsidR="00CF13FD">
        <w:rPr>
          <w:rStyle w:val="hps"/>
          <w:rFonts w:asciiTheme="minorHAnsi" w:hAnsiTheme="minorHAnsi" w:cstheme="minorHAnsi"/>
          <w:lang w:val="fr-FR"/>
        </w:rPr>
        <w:t xml:space="preserve">(FM23) </w:t>
      </w:r>
      <w:r w:rsidRPr="003F63CD">
        <w:rPr>
          <w:rStyle w:val="hps"/>
          <w:rFonts w:asciiTheme="minorHAnsi" w:hAnsiTheme="minorHAnsi" w:cstheme="minorHAnsi"/>
          <w:lang w:val="fr-FR"/>
        </w:rPr>
        <w:t>est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utilisé pour fournir une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explication de l’écart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entre le budget et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les prévisions</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Le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CGF</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doit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extraire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la situation financière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de sa direction générale/région</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en utilisant le rapport BI Surplus/Déficit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et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ajouter manuellement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une section</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au bas</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du rapport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fournissant des explications</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détaillées des écarts en utilisant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les</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2</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catégories suivantes</w:t>
      </w:r>
      <w:r w:rsidRPr="003F63CD">
        <w:rPr>
          <w:rFonts w:asciiTheme="minorHAnsi" w:hAnsiTheme="minorHAnsi" w:cstheme="minorHAnsi"/>
          <w:lang w:val="fr-FR"/>
        </w:rPr>
        <w:t>:</w:t>
      </w:r>
    </w:p>
    <w:p w14:paraId="1AD85FDB" w14:textId="77777777" w:rsidR="003F63CD" w:rsidRPr="003F63CD" w:rsidRDefault="003F63CD" w:rsidP="003F63CD">
      <w:pPr>
        <w:rPr>
          <w:rFonts w:asciiTheme="minorHAnsi" w:hAnsiTheme="minorHAnsi" w:cstheme="minorHAnsi"/>
          <w:lang w:val="fr-CA"/>
        </w:rPr>
      </w:pPr>
    </w:p>
    <w:bookmarkEnd w:id="70"/>
    <w:p w14:paraId="79E22447" w14:textId="77777777" w:rsidR="003F63CD" w:rsidRPr="003F63CD" w:rsidRDefault="003F63CD" w:rsidP="003F63CD">
      <w:pPr>
        <w:pStyle w:val="ListParagraph"/>
        <w:numPr>
          <w:ilvl w:val="0"/>
          <w:numId w:val="7"/>
        </w:numPr>
        <w:spacing w:before="120"/>
        <w:ind w:left="714" w:hanging="357"/>
        <w:rPr>
          <w:rFonts w:asciiTheme="minorHAnsi" w:hAnsiTheme="minorHAnsi" w:cstheme="minorHAnsi"/>
          <w:lang w:val="fr-CA"/>
        </w:rPr>
      </w:pPr>
      <w:r w:rsidRPr="003F63CD">
        <w:rPr>
          <w:rFonts w:asciiTheme="minorHAnsi" w:hAnsiTheme="minorHAnsi" w:cstheme="minorHAnsi"/>
          <w:lang w:val="fr-CA"/>
        </w:rPr>
        <w:t xml:space="preserve">Transferts internes, </w:t>
      </w:r>
      <w:r w:rsidR="00CF13FD">
        <w:rPr>
          <w:rFonts w:asciiTheme="minorHAnsi" w:hAnsiTheme="minorHAnsi" w:cstheme="minorHAnsi"/>
          <w:lang w:val="fr-CA"/>
        </w:rPr>
        <w:t>y compris</w:t>
      </w:r>
      <w:r w:rsidR="00BD63AC">
        <w:rPr>
          <w:rFonts w:asciiTheme="minorHAnsi" w:hAnsiTheme="minorHAnsi" w:cstheme="minorHAnsi"/>
          <w:lang w:val="fr-CA"/>
        </w:rPr>
        <w:t> ;</w:t>
      </w:r>
      <w:r w:rsidR="00CF13FD">
        <w:rPr>
          <w:rFonts w:asciiTheme="minorHAnsi" w:hAnsiTheme="minorHAnsi" w:cstheme="minorHAnsi"/>
          <w:lang w:val="fr-CA"/>
        </w:rPr>
        <w:t xml:space="preserve"> les </w:t>
      </w:r>
      <w:r w:rsidRPr="003F63CD">
        <w:rPr>
          <w:rFonts w:asciiTheme="minorHAnsi" w:hAnsiTheme="minorHAnsi" w:cstheme="minorHAnsi"/>
          <w:lang w:val="fr-CA"/>
        </w:rPr>
        <w:t>ABF</w:t>
      </w:r>
      <w:r w:rsidR="00CF13FD">
        <w:rPr>
          <w:rFonts w:asciiTheme="minorHAnsi" w:hAnsiTheme="minorHAnsi" w:cstheme="minorHAnsi"/>
          <w:lang w:val="fr-CA"/>
        </w:rPr>
        <w:t>, les transferts entre directions générales, les transferts entre fonds/secteurs d’activités, les transferts avec la réserve corporative</w:t>
      </w:r>
      <w:r w:rsidRPr="003F63CD">
        <w:rPr>
          <w:rFonts w:asciiTheme="minorHAnsi" w:hAnsiTheme="minorHAnsi" w:cstheme="minorHAnsi"/>
          <w:lang w:val="fr-CA"/>
        </w:rPr>
        <w:t xml:space="preserve"> et autres ajustements</w:t>
      </w:r>
      <w:r w:rsidR="00CF13FD">
        <w:rPr>
          <w:rFonts w:asciiTheme="minorHAnsi" w:hAnsiTheme="minorHAnsi" w:cstheme="minorHAnsi"/>
          <w:lang w:val="fr-CA"/>
        </w:rPr>
        <w:t xml:space="preserve"> (transferts budgétaires). Le s</w:t>
      </w:r>
      <w:r w:rsidRPr="003F63CD">
        <w:rPr>
          <w:rFonts w:asciiTheme="minorHAnsi" w:hAnsiTheme="minorHAnsi" w:cstheme="minorHAnsi"/>
          <w:lang w:val="fr-CA"/>
        </w:rPr>
        <w:t xml:space="preserve">ous-total de cette section doit être reporté manuellement dans le rapport d’approbation des prévisions. </w:t>
      </w:r>
      <w:r w:rsidRPr="003F63CD">
        <w:rPr>
          <w:rStyle w:val="hps"/>
          <w:rFonts w:asciiTheme="minorHAnsi" w:hAnsiTheme="minorHAnsi" w:cstheme="minorHAnsi"/>
          <w:lang w:val="fr-FR"/>
        </w:rPr>
        <w:t xml:space="preserve">L’écart </w:t>
      </w:r>
      <w:r w:rsidRPr="003F63CD">
        <w:rPr>
          <w:rFonts w:asciiTheme="minorHAnsi" w:hAnsiTheme="minorHAnsi" w:cstheme="minorHAnsi"/>
          <w:lang w:val="fr-FR"/>
        </w:rPr>
        <w:t xml:space="preserve">net </w:t>
      </w:r>
      <w:r w:rsidRPr="003F63CD">
        <w:rPr>
          <w:rStyle w:val="hps"/>
          <w:rFonts w:asciiTheme="minorHAnsi" w:hAnsiTheme="minorHAnsi" w:cstheme="minorHAnsi"/>
          <w:lang w:val="fr-FR"/>
        </w:rPr>
        <w:t>rapporté de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BI additionné à ce sous-total présente le résultat de la direction générale/</w:t>
      </w:r>
      <w:r w:rsidRPr="003F63CD">
        <w:rPr>
          <w:rFonts w:asciiTheme="minorHAnsi" w:hAnsiTheme="minorHAnsi" w:cstheme="minorHAnsi"/>
          <w:lang w:val="fr-FR"/>
        </w:rPr>
        <w:t xml:space="preserve">région </w:t>
      </w:r>
      <w:r w:rsidRPr="003F63CD">
        <w:rPr>
          <w:rStyle w:val="hps"/>
          <w:rFonts w:asciiTheme="minorHAnsi" w:hAnsiTheme="minorHAnsi" w:cstheme="minorHAnsi"/>
          <w:lang w:val="fr-FR"/>
        </w:rPr>
        <w:t>qui sera présenté</w:t>
      </w:r>
      <w:r w:rsidRPr="003F63CD">
        <w:rPr>
          <w:rFonts w:asciiTheme="minorHAnsi" w:hAnsiTheme="minorHAnsi" w:cstheme="minorHAnsi"/>
          <w:lang w:val="fr-FR"/>
        </w:rPr>
        <w:t xml:space="preserve"> </w:t>
      </w:r>
      <w:r w:rsidR="005B7430">
        <w:rPr>
          <w:rFonts w:asciiTheme="minorHAnsi" w:hAnsiTheme="minorHAnsi" w:cstheme="minorHAnsi"/>
          <w:lang w:val="fr-FR"/>
        </w:rPr>
        <w:t xml:space="preserve">dans le RFM et </w:t>
      </w:r>
      <w:r w:rsidRPr="003F63CD">
        <w:rPr>
          <w:rStyle w:val="hps"/>
          <w:rFonts w:asciiTheme="minorHAnsi" w:hAnsiTheme="minorHAnsi" w:cstheme="minorHAnsi"/>
          <w:lang w:val="fr-FR"/>
        </w:rPr>
        <w:t>au</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CGP</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w:t>
      </w:r>
      <w:r w:rsidRPr="003F63CD">
        <w:rPr>
          <w:rFonts w:asciiTheme="minorHAnsi" w:hAnsiTheme="minorHAnsi" w:cstheme="minorHAnsi"/>
          <w:lang w:val="fr-FR"/>
        </w:rPr>
        <w:t xml:space="preserve">surplus/déficit </w:t>
      </w:r>
      <w:r w:rsidRPr="003F63CD">
        <w:rPr>
          <w:rStyle w:val="hps"/>
          <w:rFonts w:asciiTheme="minorHAnsi" w:hAnsiTheme="minorHAnsi" w:cstheme="minorHAnsi"/>
          <w:lang w:val="fr-FR"/>
        </w:rPr>
        <w:t>de la direction générale/région)</w:t>
      </w:r>
      <w:r w:rsidRPr="003F63CD">
        <w:rPr>
          <w:rFonts w:asciiTheme="minorHAnsi" w:hAnsiTheme="minorHAnsi" w:cstheme="minorHAnsi"/>
          <w:lang w:val="fr-FR"/>
        </w:rPr>
        <w:t>.</w:t>
      </w:r>
    </w:p>
    <w:p w14:paraId="7396C22F" w14:textId="77777777" w:rsidR="003F63CD" w:rsidRPr="003F63CD" w:rsidRDefault="005B7430" w:rsidP="003F63CD">
      <w:pPr>
        <w:pStyle w:val="ListParagraph"/>
        <w:numPr>
          <w:ilvl w:val="0"/>
          <w:numId w:val="7"/>
        </w:numPr>
        <w:spacing w:before="120"/>
        <w:ind w:left="714" w:hanging="357"/>
        <w:rPr>
          <w:rFonts w:asciiTheme="minorHAnsi" w:hAnsiTheme="minorHAnsi" w:cstheme="minorHAnsi"/>
          <w:lang w:val="fr-CA"/>
        </w:rPr>
      </w:pPr>
      <w:r>
        <w:rPr>
          <w:rStyle w:val="hps"/>
          <w:rFonts w:asciiTheme="minorHAnsi" w:hAnsiTheme="minorHAnsi" w:cstheme="minorHAnsi"/>
          <w:lang w:val="fr-FR"/>
        </w:rPr>
        <w:t>Déficit (p</w:t>
      </w:r>
      <w:r w:rsidR="003F63CD" w:rsidRPr="003F63CD">
        <w:rPr>
          <w:rStyle w:val="hps"/>
          <w:rFonts w:asciiTheme="minorHAnsi" w:hAnsiTheme="minorHAnsi" w:cstheme="minorHAnsi"/>
          <w:lang w:val="fr-FR"/>
        </w:rPr>
        <w:t>ressions</w:t>
      </w:r>
      <w:r>
        <w:rPr>
          <w:rStyle w:val="hps"/>
          <w:rFonts w:asciiTheme="minorHAnsi" w:hAnsiTheme="minorHAnsi" w:cstheme="minorHAnsi"/>
          <w:lang w:val="fr-FR"/>
        </w:rPr>
        <w:t>)</w:t>
      </w:r>
      <w:r w:rsidR="003F63CD" w:rsidRPr="003F63CD">
        <w:rPr>
          <w:rStyle w:val="hps"/>
          <w:rFonts w:asciiTheme="minorHAnsi" w:hAnsiTheme="minorHAnsi" w:cstheme="minorHAnsi"/>
          <w:lang w:val="fr-FR"/>
        </w:rPr>
        <w:t xml:space="preserve"> et</w:t>
      </w:r>
      <w:r w:rsidR="003F63CD" w:rsidRPr="003F63CD">
        <w:rPr>
          <w:rFonts w:asciiTheme="minorHAnsi" w:hAnsiTheme="minorHAnsi" w:cstheme="minorHAnsi"/>
          <w:lang w:val="fr-FR"/>
        </w:rPr>
        <w:t xml:space="preserve"> </w:t>
      </w:r>
      <w:r>
        <w:rPr>
          <w:rFonts w:asciiTheme="minorHAnsi" w:hAnsiTheme="minorHAnsi" w:cstheme="minorHAnsi"/>
          <w:lang w:val="fr-FR"/>
        </w:rPr>
        <w:t>S</w:t>
      </w:r>
      <w:r w:rsidR="003F63CD" w:rsidRPr="003F63CD">
        <w:rPr>
          <w:rStyle w:val="hps"/>
          <w:rFonts w:asciiTheme="minorHAnsi" w:hAnsiTheme="minorHAnsi" w:cstheme="minorHAnsi"/>
          <w:lang w:val="fr-FR"/>
        </w:rPr>
        <w:t>urplus</w:t>
      </w:r>
      <w:r>
        <w:rPr>
          <w:rStyle w:val="hps"/>
          <w:rFonts w:asciiTheme="minorHAnsi" w:hAnsiTheme="minorHAnsi" w:cstheme="minorHAnsi"/>
          <w:lang w:val="fr-FR"/>
        </w:rPr>
        <w:t xml:space="preserve"> (rapatriable et non-rapatriable)</w:t>
      </w:r>
      <w:r w:rsidRPr="003F63CD">
        <w:rPr>
          <w:rFonts w:asciiTheme="minorHAnsi" w:hAnsiTheme="minorHAnsi" w:cstheme="minorHAnsi"/>
          <w:lang w:val="fr-FR"/>
        </w:rPr>
        <w:t xml:space="preserve"> :</w:t>
      </w:r>
      <w:r w:rsidR="003F63CD" w:rsidRPr="003F63CD">
        <w:rPr>
          <w:rFonts w:asciiTheme="minorHAnsi" w:hAnsiTheme="minorHAnsi" w:cstheme="minorHAnsi"/>
          <w:lang w:val="fr-FR"/>
        </w:rPr>
        <w:t xml:space="preserve"> </w:t>
      </w:r>
      <w:r w:rsidR="003F63CD" w:rsidRPr="003F63CD">
        <w:rPr>
          <w:rStyle w:val="hps"/>
          <w:rFonts w:asciiTheme="minorHAnsi" w:hAnsiTheme="minorHAnsi" w:cstheme="minorHAnsi"/>
          <w:lang w:val="fr-FR"/>
        </w:rPr>
        <w:t>un total</w:t>
      </w:r>
      <w:r w:rsidR="003F63CD" w:rsidRPr="003F63CD">
        <w:rPr>
          <w:rFonts w:asciiTheme="minorHAnsi" w:hAnsiTheme="minorHAnsi" w:cstheme="minorHAnsi"/>
          <w:lang w:val="fr-FR"/>
        </w:rPr>
        <w:t xml:space="preserve"> </w:t>
      </w:r>
      <w:r w:rsidR="003F63CD" w:rsidRPr="003F63CD">
        <w:rPr>
          <w:rStyle w:val="hps"/>
          <w:rFonts w:asciiTheme="minorHAnsi" w:hAnsiTheme="minorHAnsi" w:cstheme="minorHAnsi"/>
          <w:lang w:val="fr-FR"/>
        </w:rPr>
        <w:t>de contrôle</w:t>
      </w:r>
      <w:r w:rsidR="003F63CD" w:rsidRPr="003F63CD">
        <w:rPr>
          <w:rFonts w:asciiTheme="minorHAnsi" w:hAnsiTheme="minorHAnsi" w:cstheme="minorHAnsi"/>
          <w:lang w:val="fr-FR"/>
        </w:rPr>
        <w:t xml:space="preserve"> </w:t>
      </w:r>
      <w:r w:rsidR="003F63CD" w:rsidRPr="003F63CD">
        <w:rPr>
          <w:rStyle w:val="hps"/>
          <w:rFonts w:asciiTheme="minorHAnsi" w:hAnsiTheme="minorHAnsi" w:cstheme="minorHAnsi"/>
          <w:lang w:val="fr-FR"/>
        </w:rPr>
        <w:t>au bas</w:t>
      </w:r>
      <w:r w:rsidR="003F63CD" w:rsidRPr="003F63CD">
        <w:rPr>
          <w:rFonts w:asciiTheme="minorHAnsi" w:hAnsiTheme="minorHAnsi" w:cstheme="minorHAnsi"/>
          <w:lang w:val="fr-FR"/>
        </w:rPr>
        <w:t xml:space="preserve"> </w:t>
      </w:r>
      <w:r w:rsidR="003F63CD" w:rsidRPr="003F63CD">
        <w:rPr>
          <w:rStyle w:val="hps"/>
          <w:rFonts w:asciiTheme="minorHAnsi" w:hAnsiTheme="minorHAnsi" w:cstheme="minorHAnsi"/>
          <w:lang w:val="fr-FR"/>
        </w:rPr>
        <w:t>du rapport</w:t>
      </w:r>
      <w:r w:rsidR="003F63CD" w:rsidRPr="003F63CD">
        <w:rPr>
          <w:rFonts w:asciiTheme="minorHAnsi" w:hAnsiTheme="minorHAnsi" w:cstheme="minorHAnsi"/>
          <w:lang w:val="fr-FR"/>
        </w:rPr>
        <w:t xml:space="preserve"> </w:t>
      </w:r>
      <w:r w:rsidR="003F63CD" w:rsidRPr="003F63CD">
        <w:rPr>
          <w:rStyle w:val="hps"/>
          <w:rFonts w:asciiTheme="minorHAnsi" w:hAnsiTheme="minorHAnsi" w:cstheme="minorHAnsi"/>
          <w:lang w:val="fr-FR"/>
        </w:rPr>
        <w:t>assure que</w:t>
      </w:r>
      <w:r w:rsidR="003F63CD" w:rsidRPr="003F63CD">
        <w:rPr>
          <w:rFonts w:asciiTheme="minorHAnsi" w:hAnsiTheme="minorHAnsi" w:cstheme="minorHAnsi"/>
          <w:lang w:val="fr-FR"/>
        </w:rPr>
        <w:t xml:space="preserve"> </w:t>
      </w:r>
      <w:r w:rsidR="003F63CD" w:rsidRPr="003F63CD">
        <w:rPr>
          <w:rStyle w:val="hps"/>
          <w:rFonts w:asciiTheme="minorHAnsi" w:hAnsiTheme="minorHAnsi" w:cstheme="minorHAnsi"/>
          <w:lang w:val="fr-FR"/>
        </w:rPr>
        <w:t>toutes les pressions</w:t>
      </w:r>
      <w:r w:rsidR="003F63CD" w:rsidRPr="003F63CD">
        <w:rPr>
          <w:rFonts w:asciiTheme="minorHAnsi" w:hAnsiTheme="minorHAnsi" w:cstheme="minorHAnsi"/>
          <w:lang w:val="fr-FR"/>
        </w:rPr>
        <w:t xml:space="preserve"> </w:t>
      </w:r>
      <w:r w:rsidR="003F63CD" w:rsidRPr="003F63CD">
        <w:rPr>
          <w:rStyle w:val="hps"/>
          <w:rFonts w:asciiTheme="minorHAnsi" w:hAnsiTheme="minorHAnsi" w:cstheme="minorHAnsi"/>
          <w:lang w:val="fr-FR"/>
        </w:rPr>
        <w:t>et les surplus</w:t>
      </w:r>
      <w:r w:rsidR="003F63CD" w:rsidRPr="003F63CD">
        <w:rPr>
          <w:rFonts w:asciiTheme="minorHAnsi" w:hAnsiTheme="minorHAnsi" w:cstheme="minorHAnsi"/>
          <w:lang w:val="fr-FR"/>
        </w:rPr>
        <w:t xml:space="preserve"> </w:t>
      </w:r>
      <w:r w:rsidR="003F63CD" w:rsidRPr="003F63CD">
        <w:rPr>
          <w:rStyle w:val="hps"/>
          <w:rFonts w:asciiTheme="minorHAnsi" w:hAnsiTheme="minorHAnsi" w:cstheme="minorHAnsi"/>
          <w:lang w:val="fr-FR"/>
        </w:rPr>
        <w:t>sont expliqués</w:t>
      </w:r>
      <w:r w:rsidR="003F63CD" w:rsidRPr="003F63CD">
        <w:rPr>
          <w:rFonts w:asciiTheme="minorHAnsi" w:hAnsiTheme="minorHAnsi" w:cstheme="minorHAnsi"/>
          <w:lang w:val="fr-FR"/>
        </w:rPr>
        <w:t>.</w:t>
      </w:r>
    </w:p>
    <w:p w14:paraId="79A471CB" w14:textId="77777777" w:rsidR="003F63CD" w:rsidRPr="003F63CD" w:rsidRDefault="003F63CD" w:rsidP="003F63CD">
      <w:pPr>
        <w:pStyle w:val="ListParagraph"/>
        <w:spacing w:before="120"/>
        <w:ind w:left="714"/>
        <w:rPr>
          <w:rFonts w:asciiTheme="minorHAnsi" w:hAnsiTheme="minorHAnsi" w:cstheme="minorHAnsi"/>
          <w:lang w:val="fr-CA"/>
        </w:rPr>
      </w:pPr>
    </w:p>
    <w:p w14:paraId="34AE682A" w14:textId="4CD8849C" w:rsidR="003F63CD" w:rsidRDefault="003F63CD" w:rsidP="003F63CD">
      <w:pPr>
        <w:rPr>
          <w:rStyle w:val="hps"/>
          <w:rFonts w:asciiTheme="minorHAnsi" w:hAnsiTheme="minorHAnsi" w:cstheme="minorHAnsi"/>
          <w:lang w:val="fr-FR"/>
        </w:rPr>
      </w:pPr>
      <w:r w:rsidRPr="003F63CD">
        <w:rPr>
          <w:rStyle w:val="hps"/>
          <w:rFonts w:asciiTheme="minorHAnsi" w:hAnsiTheme="minorHAnsi" w:cstheme="minorHAnsi"/>
          <w:lang w:val="fr-FR"/>
        </w:rPr>
        <w:t>Par ailleurs,</w:t>
      </w:r>
      <w:r w:rsidR="00801D1B">
        <w:rPr>
          <w:rStyle w:val="hps"/>
          <w:rFonts w:asciiTheme="minorHAnsi" w:hAnsiTheme="minorHAnsi" w:cstheme="minorHAnsi"/>
          <w:lang w:val="fr-FR"/>
        </w:rPr>
        <w:t xml:space="preserve"> le rapport d’Approbation des prévisions qui résume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la situation financière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de la direction générale/région</w:t>
      </w:r>
      <w:r w:rsidR="00801D1B">
        <w:rPr>
          <w:rStyle w:val="hps"/>
          <w:rFonts w:asciiTheme="minorHAnsi" w:hAnsiTheme="minorHAnsi" w:cstheme="minorHAnsi"/>
          <w:lang w:val="fr-FR"/>
        </w:rPr>
        <w:t xml:space="preserve">, doit être préparé et, ensuite, être approuvé par le SMA. </w:t>
      </w:r>
    </w:p>
    <w:p w14:paraId="296423B9" w14:textId="01D03026" w:rsidR="00ED2895" w:rsidRDefault="00ED2895" w:rsidP="003F63CD">
      <w:pPr>
        <w:rPr>
          <w:rStyle w:val="hps"/>
          <w:rFonts w:asciiTheme="minorHAnsi" w:hAnsiTheme="minorHAnsi" w:cstheme="minorHAnsi"/>
          <w:lang w:val="fr-FR"/>
        </w:rPr>
      </w:pPr>
    </w:p>
    <w:p w14:paraId="2AD3CF83" w14:textId="4368745E" w:rsidR="00ED2895" w:rsidRDefault="00ED2895" w:rsidP="003F63CD">
      <w:pPr>
        <w:rPr>
          <w:rStyle w:val="hps"/>
          <w:rFonts w:asciiTheme="minorHAnsi" w:hAnsiTheme="minorHAnsi" w:cstheme="minorHAnsi"/>
          <w:lang w:val="fr-FR"/>
        </w:rPr>
      </w:pPr>
      <w:r>
        <w:rPr>
          <w:rStyle w:val="hps"/>
          <w:rFonts w:asciiTheme="minorHAnsi" w:hAnsiTheme="minorHAnsi" w:cstheme="minorHAnsi"/>
          <w:lang w:val="fr-FR"/>
        </w:rPr>
        <w:t xml:space="preserve">La signature numérique est fortement recommandée et est l’option à préconiser. Cliquez </w:t>
      </w:r>
      <w:hyperlink r:id="rId34" w:history="1">
        <w:r w:rsidRPr="00ED2895">
          <w:rPr>
            <w:rStyle w:val="Hyperlink"/>
            <w:rFonts w:asciiTheme="minorHAnsi" w:hAnsiTheme="minorHAnsi" w:cstheme="minorHAnsi"/>
            <w:lang w:val="fr-FR"/>
          </w:rPr>
          <w:t>ici</w:t>
        </w:r>
      </w:hyperlink>
      <w:r>
        <w:rPr>
          <w:rStyle w:val="hps"/>
          <w:rFonts w:asciiTheme="minorHAnsi" w:hAnsiTheme="minorHAnsi" w:cstheme="minorHAnsi"/>
          <w:lang w:val="fr-FR"/>
        </w:rPr>
        <w:t xml:space="preserve"> pour des instructions détaillées sur comment approuver un document en utilisant la signature numérique.</w:t>
      </w:r>
    </w:p>
    <w:p w14:paraId="21DEF0FF" w14:textId="77777777" w:rsidR="004A1E85" w:rsidRDefault="004A1E85" w:rsidP="003F63CD">
      <w:pPr>
        <w:rPr>
          <w:rStyle w:val="hps"/>
          <w:rFonts w:asciiTheme="minorHAnsi" w:hAnsiTheme="minorHAnsi" w:cstheme="minorHAnsi"/>
          <w:lang w:val="fr-FR"/>
        </w:rPr>
      </w:pPr>
    </w:p>
    <w:p w14:paraId="00D02308" w14:textId="77777777" w:rsidR="004A1E85" w:rsidRDefault="004A1E85" w:rsidP="003F63CD">
      <w:pPr>
        <w:rPr>
          <w:rStyle w:val="hps"/>
          <w:rFonts w:asciiTheme="minorHAnsi" w:hAnsiTheme="minorHAnsi" w:cstheme="minorHAnsi"/>
          <w:lang w:val="fr-FR"/>
        </w:rPr>
      </w:pPr>
      <w:r w:rsidRPr="004A1E85">
        <w:rPr>
          <w:rStyle w:val="hps"/>
          <w:rFonts w:asciiTheme="minorHAnsi" w:hAnsiTheme="minorHAnsi" w:cstheme="minorHAnsi"/>
          <w:lang w:val="fr-FR"/>
        </w:rPr>
        <w:t xml:space="preserve">Les versions mises à jour du </w:t>
      </w:r>
      <w:r w:rsidR="00BD63AC">
        <w:rPr>
          <w:rStyle w:val="hps"/>
          <w:rFonts w:asciiTheme="minorHAnsi" w:hAnsiTheme="minorHAnsi" w:cstheme="minorHAnsi"/>
          <w:lang w:val="fr-FR"/>
        </w:rPr>
        <w:t>gabarit</w:t>
      </w:r>
      <w:r w:rsidRPr="004A1E85">
        <w:rPr>
          <w:rStyle w:val="hps"/>
          <w:rFonts w:asciiTheme="minorHAnsi" w:hAnsiTheme="minorHAnsi" w:cstheme="minorHAnsi"/>
          <w:lang w:val="fr-FR"/>
        </w:rPr>
        <w:t xml:space="preserve"> d'explication des écarts ainsi que </w:t>
      </w:r>
      <w:r w:rsidR="00BD63AC">
        <w:rPr>
          <w:rStyle w:val="hps"/>
          <w:rFonts w:asciiTheme="minorHAnsi" w:hAnsiTheme="minorHAnsi" w:cstheme="minorHAnsi"/>
          <w:lang w:val="fr-FR"/>
        </w:rPr>
        <w:t>du</w:t>
      </w:r>
      <w:r w:rsidRPr="004A1E85">
        <w:rPr>
          <w:rStyle w:val="hps"/>
          <w:rFonts w:asciiTheme="minorHAnsi" w:hAnsiTheme="minorHAnsi" w:cstheme="minorHAnsi"/>
          <w:lang w:val="fr-FR"/>
        </w:rPr>
        <w:t xml:space="preserve"> formulaire d'approbation des prévisions sont publiés sur </w:t>
      </w:r>
      <w:r>
        <w:rPr>
          <w:rStyle w:val="hps"/>
          <w:rFonts w:asciiTheme="minorHAnsi" w:hAnsiTheme="minorHAnsi" w:cstheme="minorHAnsi"/>
          <w:lang w:val="fr-FR"/>
        </w:rPr>
        <w:t>le</w:t>
      </w:r>
      <w:r w:rsidRPr="004A1E85">
        <w:rPr>
          <w:rStyle w:val="hps"/>
          <w:rFonts w:asciiTheme="minorHAnsi" w:hAnsiTheme="minorHAnsi" w:cstheme="minorHAnsi"/>
          <w:lang w:val="fr-FR"/>
        </w:rPr>
        <w:t xml:space="preserve"> SharePoint</w:t>
      </w:r>
      <w:r>
        <w:rPr>
          <w:rStyle w:val="hps"/>
          <w:rFonts w:asciiTheme="minorHAnsi" w:hAnsiTheme="minorHAnsi" w:cstheme="minorHAnsi"/>
          <w:lang w:val="fr-FR"/>
        </w:rPr>
        <w:t xml:space="preserve"> de la GRM</w:t>
      </w:r>
      <w:r w:rsidRPr="004A1E85">
        <w:rPr>
          <w:rStyle w:val="hps"/>
          <w:rFonts w:asciiTheme="minorHAnsi" w:hAnsiTheme="minorHAnsi" w:cstheme="minorHAnsi"/>
          <w:lang w:val="fr-FR"/>
        </w:rPr>
        <w:t xml:space="preserve"> à chaque période de prévision.</w:t>
      </w:r>
    </w:p>
    <w:p w14:paraId="4BDCACD1" w14:textId="77777777" w:rsidR="00801D1B" w:rsidRPr="003F63CD" w:rsidRDefault="00801D1B" w:rsidP="003F63CD">
      <w:pPr>
        <w:rPr>
          <w:rStyle w:val="hps"/>
          <w:rFonts w:asciiTheme="minorHAnsi" w:hAnsiTheme="minorHAnsi" w:cstheme="minorHAnsi"/>
          <w:lang w:val="fr-CA"/>
        </w:rPr>
      </w:pPr>
    </w:p>
    <w:p w14:paraId="6BDEAFA2" w14:textId="14E72ABE" w:rsidR="003F63CD" w:rsidRDefault="003F63CD" w:rsidP="003F63CD">
      <w:pPr>
        <w:rPr>
          <w:rFonts w:asciiTheme="minorHAnsi" w:hAnsiTheme="minorHAnsi" w:cstheme="minorHAnsi"/>
          <w:lang w:val="fr-FR"/>
        </w:rPr>
      </w:pPr>
      <w:r w:rsidRPr="003F63CD">
        <w:rPr>
          <w:rStyle w:val="hps"/>
          <w:rFonts w:asciiTheme="minorHAnsi" w:hAnsiTheme="minorHAnsi" w:cstheme="minorHAnsi"/>
          <w:lang w:val="fr-FR"/>
        </w:rPr>
        <w:t>Une fois</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complétée et signée à la fois par</w:t>
      </w:r>
      <w:r w:rsidRPr="003F63CD">
        <w:rPr>
          <w:rFonts w:asciiTheme="minorHAnsi" w:hAnsiTheme="minorHAnsi" w:cstheme="minorHAnsi"/>
          <w:lang w:val="fr-FR"/>
        </w:rPr>
        <w:t xml:space="preserve"> </w:t>
      </w:r>
      <w:r w:rsidR="00801D1B">
        <w:rPr>
          <w:rStyle w:val="hps"/>
          <w:rFonts w:asciiTheme="minorHAnsi" w:hAnsiTheme="minorHAnsi" w:cstheme="minorHAnsi"/>
          <w:lang w:val="fr-FR"/>
        </w:rPr>
        <w:t>le SMA</w:t>
      </w:r>
      <w:r w:rsidRPr="003F63CD">
        <w:rPr>
          <w:rStyle w:val="hps"/>
          <w:rFonts w:asciiTheme="minorHAnsi" w:hAnsiTheme="minorHAnsi" w:cstheme="minorHAnsi"/>
          <w:lang w:val="fr-FR"/>
        </w:rPr>
        <w:t xml:space="preserve"> et le CGF</w:t>
      </w:r>
      <w:r w:rsidR="00801D1B">
        <w:rPr>
          <w:rStyle w:val="hps"/>
          <w:rFonts w:asciiTheme="minorHAnsi" w:hAnsiTheme="minorHAnsi" w:cstheme="minorHAnsi"/>
          <w:lang w:val="fr-FR"/>
        </w:rPr>
        <w:t xml:space="preserve"> (y compris le nom des signataires en lettres moulées)</w:t>
      </w:r>
      <w:r w:rsidRPr="003F63CD">
        <w:rPr>
          <w:rStyle w:val="hps"/>
          <w:rFonts w:asciiTheme="minorHAnsi" w:hAnsiTheme="minorHAnsi" w:cstheme="minorHAnsi"/>
          <w:lang w:val="fr-FR"/>
        </w:rPr>
        <w:t>, une copie des deux</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rapports</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sont</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soumis à la</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GRM</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selon</w:t>
      </w:r>
      <w:r w:rsidRPr="003F63CD">
        <w:rPr>
          <w:rFonts w:asciiTheme="minorHAnsi" w:hAnsiTheme="minorHAnsi" w:cstheme="minorHAnsi"/>
          <w:lang w:val="fr-FR"/>
        </w:rPr>
        <w:t xml:space="preserve"> le calendrier prévisionnel </w:t>
      </w:r>
      <w:r w:rsidRPr="003F63CD">
        <w:rPr>
          <w:rStyle w:val="hps"/>
          <w:rFonts w:asciiTheme="minorHAnsi" w:hAnsiTheme="minorHAnsi" w:cstheme="minorHAnsi"/>
          <w:lang w:val="fr-FR"/>
        </w:rPr>
        <w:t>ministériel</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w:t>
      </w:r>
      <w:r w:rsidRPr="003F63CD">
        <w:rPr>
          <w:rFonts w:asciiTheme="minorHAnsi" w:hAnsiTheme="minorHAnsi" w:cstheme="minorHAnsi"/>
          <w:lang w:val="fr-FR"/>
        </w:rPr>
        <w:t xml:space="preserve">Annexe </w:t>
      </w:r>
      <w:r w:rsidRPr="003F63CD">
        <w:rPr>
          <w:rStyle w:val="hps"/>
          <w:rFonts w:asciiTheme="minorHAnsi" w:hAnsiTheme="minorHAnsi" w:cstheme="minorHAnsi"/>
          <w:lang w:val="fr-FR"/>
        </w:rPr>
        <w:t>A)</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par l'intermédiaire de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 xml:space="preserve">la boîte </w:t>
      </w:r>
      <w:r w:rsidR="009649B1">
        <w:rPr>
          <w:rStyle w:val="hps"/>
          <w:rFonts w:asciiTheme="minorHAnsi" w:hAnsiTheme="minorHAnsi" w:cstheme="minorHAnsi"/>
          <w:lang w:val="fr-FR"/>
        </w:rPr>
        <w:t>générique</w:t>
      </w:r>
      <w:r w:rsidRPr="003F63CD">
        <w:rPr>
          <w:rFonts w:asciiTheme="minorHAnsi" w:hAnsiTheme="minorHAnsi" w:cstheme="minorHAnsi"/>
          <w:lang w:val="fr-FR"/>
        </w:rPr>
        <w:t xml:space="preserve"> </w:t>
      </w:r>
      <w:r w:rsidRPr="003F63CD">
        <w:rPr>
          <w:rStyle w:val="hps"/>
          <w:rFonts w:asciiTheme="minorHAnsi" w:hAnsiTheme="minorHAnsi" w:cstheme="minorHAnsi"/>
          <w:lang w:val="fr-FR"/>
        </w:rPr>
        <w:t>des prévisions</w:t>
      </w:r>
      <w:r w:rsidRPr="003F63CD">
        <w:rPr>
          <w:rFonts w:asciiTheme="minorHAnsi" w:hAnsiTheme="minorHAnsi" w:cstheme="minorHAnsi"/>
          <w:lang w:val="fr-FR"/>
        </w:rPr>
        <w:t xml:space="preserve">: </w:t>
      </w:r>
      <w:hyperlink r:id="rId35" w:history="1">
        <w:r w:rsidRPr="003F63CD">
          <w:rPr>
            <w:rStyle w:val="Hyperlink"/>
            <w:rFonts w:asciiTheme="minorHAnsi" w:hAnsiTheme="minorHAnsi" w:cstheme="minorHAnsi"/>
            <w:lang w:val="fr-FR"/>
          </w:rPr>
          <w:t>NC-prévision-Mailbox-CRM_Boîtes-aux-lettres- Guide-GRM-GD</w:t>
        </w:r>
      </w:hyperlink>
      <w:r w:rsidRPr="003F63CD">
        <w:rPr>
          <w:rFonts w:asciiTheme="minorHAnsi" w:hAnsiTheme="minorHAnsi" w:cstheme="minorHAnsi"/>
          <w:lang w:val="fr-FR"/>
        </w:rPr>
        <w:t>.</w:t>
      </w:r>
    </w:p>
    <w:p w14:paraId="5904B9C2" w14:textId="77777777" w:rsidR="00801D1B" w:rsidRDefault="00801D1B" w:rsidP="003F63CD">
      <w:pPr>
        <w:rPr>
          <w:rFonts w:asciiTheme="minorHAnsi" w:hAnsiTheme="minorHAnsi" w:cstheme="minorHAnsi"/>
          <w:lang w:val="fr-FR"/>
        </w:rPr>
      </w:pPr>
    </w:p>
    <w:p w14:paraId="25573480" w14:textId="77777777" w:rsidR="00844876" w:rsidRDefault="00844876" w:rsidP="005A2022">
      <w:pPr>
        <w:rPr>
          <w:lang w:val="fr-FR"/>
        </w:rPr>
        <w:sectPr w:rsidR="00844876" w:rsidSect="005A2022">
          <w:headerReference w:type="default" r:id="rId36"/>
          <w:footerReference w:type="even" r:id="rId37"/>
          <w:footerReference w:type="default" r:id="rId38"/>
          <w:headerReference w:type="first" r:id="rId39"/>
          <w:pgSz w:w="12240" w:h="15840"/>
          <w:pgMar w:top="1800" w:right="1800" w:bottom="1440" w:left="1440" w:header="720" w:footer="720" w:gutter="0"/>
          <w:cols w:space="720"/>
          <w:titlePg/>
          <w:docGrid w:linePitch="360"/>
        </w:sectPr>
      </w:pPr>
    </w:p>
    <w:p w14:paraId="1D85D0FE" w14:textId="77777777" w:rsidR="00844876" w:rsidRDefault="00844876" w:rsidP="005A2022">
      <w:pPr>
        <w:rPr>
          <w:lang w:val="fr-CA"/>
        </w:rPr>
      </w:pPr>
      <w:bookmarkStart w:id="71" w:name="_Toc513716520"/>
    </w:p>
    <w:p w14:paraId="31AF667C" w14:textId="681957F0" w:rsidR="00844876" w:rsidRDefault="00844876" w:rsidP="00844876">
      <w:pPr>
        <w:pStyle w:val="Heading1"/>
        <w:rPr>
          <w:lang w:val="fr-CA"/>
        </w:rPr>
      </w:pPr>
      <w:bookmarkStart w:id="72" w:name="_Toc72402534"/>
      <w:r w:rsidRPr="00514ABE">
        <w:rPr>
          <w:lang w:val="fr-CA"/>
        </w:rPr>
        <w:t>ANNEXE A – Calendrier prévisionnel</w:t>
      </w:r>
      <w:r w:rsidR="009649B1">
        <w:rPr>
          <w:lang w:val="fr-CA"/>
        </w:rPr>
        <w:t xml:space="preserve"> ministériel de 2021-22</w:t>
      </w:r>
      <w:bookmarkEnd w:id="72"/>
      <w:r w:rsidRPr="00514ABE">
        <w:rPr>
          <w:lang w:val="fr-CA"/>
        </w:rPr>
        <w:t xml:space="preserve"> </w:t>
      </w:r>
      <w:bookmarkEnd w:id="71"/>
    </w:p>
    <w:p w14:paraId="30FB5E17" w14:textId="77777777" w:rsidR="00844876" w:rsidRDefault="00844876" w:rsidP="00844876">
      <w:pPr>
        <w:rPr>
          <w:lang w:val="fr-CA"/>
        </w:rPr>
      </w:pPr>
    </w:p>
    <w:p w14:paraId="3655774A" w14:textId="1BE15D61" w:rsidR="00844876" w:rsidRDefault="00844876" w:rsidP="00844876">
      <w:pPr>
        <w:rPr>
          <w:lang w:val="fr-CA"/>
        </w:rPr>
      </w:pPr>
    </w:p>
    <w:p w14:paraId="07CE310C" w14:textId="77777777" w:rsidR="00844876" w:rsidRDefault="00844876" w:rsidP="00844876">
      <w:pPr>
        <w:rPr>
          <w:lang w:val="fr-CA"/>
        </w:rPr>
      </w:pPr>
    </w:p>
    <w:p w14:paraId="0C3C40B3" w14:textId="77777777" w:rsidR="00844876" w:rsidRDefault="00844876" w:rsidP="00844876">
      <w:pPr>
        <w:rPr>
          <w:lang w:val="fr-CA"/>
        </w:rPr>
      </w:pPr>
    </w:p>
    <w:p w14:paraId="7E8AD45C" w14:textId="48A61F4F" w:rsidR="00844876" w:rsidRDefault="00CE35E6" w:rsidP="00844876">
      <w:pPr>
        <w:rPr>
          <w:lang w:val="fr-CA"/>
        </w:rPr>
        <w:sectPr w:rsidR="00844876" w:rsidSect="00844876">
          <w:pgSz w:w="15840" w:h="12240" w:orient="landscape"/>
          <w:pgMar w:top="1440" w:right="1800" w:bottom="1800" w:left="1440" w:header="720" w:footer="720" w:gutter="0"/>
          <w:cols w:space="720"/>
          <w:titlePg/>
          <w:docGrid w:linePitch="360"/>
        </w:sectPr>
      </w:pPr>
      <w:r w:rsidRPr="00CE35E6">
        <w:rPr>
          <w:noProof/>
        </w:rPr>
        <w:drawing>
          <wp:inline distT="0" distB="0" distL="0" distR="0" wp14:anchorId="3609615D" wp14:editId="2901A96E">
            <wp:extent cx="8874148" cy="3378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88309" cy="3383591"/>
                    </a:xfrm>
                    <a:prstGeom prst="rect">
                      <a:avLst/>
                    </a:prstGeom>
                    <a:noFill/>
                    <a:ln>
                      <a:noFill/>
                    </a:ln>
                  </pic:spPr>
                </pic:pic>
              </a:graphicData>
            </a:graphic>
          </wp:inline>
        </w:drawing>
      </w:r>
    </w:p>
    <w:p w14:paraId="2F01DC9C" w14:textId="170E9E6F" w:rsidR="00844876" w:rsidRPr="003F1788" w:rsidRDefault="00844876" w:rsidP="00844876">
      <w:pPr>
        <w:pStyle w:val="Heading1"/>
        <w:ind w:left="432" w:hanging="432"/>
        <w:rPr>
          <w:lang w:val="fr-CA"/>
        </w:rPr>
      </w:pPr>
      <w:bookmarkStart w:id="73" w:name="_Toc513716521"/>
      <w:bookmarkStart w:id="74" w:name="_Toc72402535"/>
      <w:r w:rsidRPr="003F1788">
        <w:rPr>
          <w:lang w:val="fr-CA"/>
        </w:rPr>
        <w:t>ANNEXE B – Saisie de budget dans le FMBB</w:t>
      </w:r>
      <w:bookmarkEnd w:id="73"/>
      <w:bookmarkEnd w:id="74"/>
      <w:r w:rsidRPr="003F1788">
        <w:rPr>
          <w:lang w:val="fr-CA"/>
        </w:rPr>
        <w:t xml:space="preserve"> </w:t>
      </w:r>
    </w:p>
    <w:p w14:paraId="75792B01" w14:textId="77777777" w:rsidR="00844876" w:rsidRPr="003F1788" w:rsidRDefault="00844876" w:rsidP="00844876">
      <w:pPr>
        <w:rPr>
          <w:lang w:val="fr-CA"/>
        </w:rPr>
      </w:pPr>
    </w:p>
    <w:p w14:paraId="4473B981" w14:textId="5699F86E" w:rsidR="00844876" w:rsidRPr="001D22F8" w:rsidRDefault="00844876" w:rsidP="00844876">
      <w:pPr>
        <w:rPr>
          <w:rFonts w:eastAsiaTheme="minorHAnsi"/>
          <w:b/>
          <w:sz w:val="28"/>
          <w:lang w:val="fr-CA" w:eastAsia="en-US"/>
        </w:rPr>
      </w:pPr>
      <w:r w:rsidRPr="001D22F8">
        <w:rPr>
          <w:rFonts w:eastAsiaTheme="minorHAnsi"/>
          <w:b/>
          <w:sz w:val="28"/>
          <w:lang w:val="fr-CA" w:eastAsia="en-US"/>
        </w:rPr>
        <w:t>Allocation approuvée d</w:t>
      </w:r>
      <w:r w:rsidR="009A7BBA">
        <w:rPr>
          <w:rFonts w:eastAsiaTheme="minorHAnsi"/>
          <w:b/>
          <w:sz w:val="28"/>
          <w:lang w:val="fr-CA" w:eastAsia="en-US"/>
        </w:rPr>
        <w:t>u financement potentiel pour fin de planification</w:t>
      </w:r>
    </w:p>
    <w:p w14:paraId="26A05252" w14:textId="77777777" w:rsidR="00844876" w:rsidRPr="003F1788" w:rsidRDefault="00844876" w:rsidP="00844876">
      <w:pPr>
        <w:rPr>
          <w:lang w:val="fr-CA"/>
        </w:rPr>
      </w:pPr>
    </w:p>
    <w:p w14:paraId="6F82E010" w14:textId="6BDC8447" w:rsidR="00844876" w:rsidRPr="003F1788" w:rsidRDefault="00844876" w:rsidP="00844876">
      <w:pPr>
        <w:rPr>
          <w:lang w:val="fr-CA"/>
        </w:rPr>
      </w:pPr>
      <w:r w:rsidRPr="00085F87">
        <w:rPr>
          <w:rFonts w:eastAsiaTheme="minorHAnsi" w:cs="Arial"/>
          <w:lang w:val="fr-CA" w:eastAsia="en-US"/>
        </w:rPr>
        <w:t xml:space="preserve">Pour ajuster le budget </w:t>
      </w:r>
      <w:r w:rsidRPr="00682744">
        <w:rPr>
          <w:rFonts w:eastAsiaTheme="minorHAnsi" w:cs="Arial"/>
          <w:lang w:val="fr-CA" w:eastAsia="en-US"/>
        </w:rPr>
        <w:t>théorique pour les éléments approuvés d</w:t>
      </w:r>
      <w:r w:rsidR="009A7BBA">
        <w:rPr>
          <w:rFonts w:eastAsiaTheme="minorHAnsi" w:cs="Arial"/>
          <w:lang w:val="fr-CA" w:eastAsia="en-US"/>
        </w:rPr>
        <w:t>u financement potentiel pour fin de planification</w:t>
      </w:r>
      <w:r w:rsidRPr="00682744">
        <w:rPr>
          <w:rFonts w:eastAsiaTheme="minorHAnsi" w:cs="Arial"/>
          <w:lang w:val="fr-CA" w:eastAsia="en-US"/>
        </w:rPr>
        <w:t xml:space="preserve"> dans la version Bxx du budget. Ce montant sera entré par la GRM et distribué par les CGF, </w:t>
      </w:r>
      <w:r w:rsidRPr="00682744">
        <w:rPr>
          <w:lang w:val="fr-CA"/>
        </w:rPr>
        <w:t>pendant le mois avant le début de la période de prévision.</w:t>
      </w:r>
    </w:p>
    <w:p w14:paraId="0ADAC292" w14:textId="77777777" w:rsidR="00844876" w:rsidRPr="003F1788" w:rsidRDefault="00844876" w:rsidP="00844876">
      <w:pPr>
        <w:rPr>
          <w:lang w:val="fr-CA"/>
        </w:rPr>
      </w:pPr>
    </w:p>
    <w:p w14:paraId="05671F27" w14:textId="77777777" w:rsidR="00844876" w:rsidRPr="003F1788" w:rsidRDefault="00844876" w:rsidP="00844876">
      <w:pPr>
        <w:rPr>
          <w:rFonts w:eastAsiaTheme="minorHAnsi" w:cs="Arial"/>
          <w:lang w:val="fr-CA" w:eastAsia="en-US"/>
        </w:rPr>
      </w:pPr>
      <w:r w:rsidRPr="003F1788">
        <w:rPr>
          <w:lang w:val="fr-CA"/>
        </w:rPr>
        <w:t>Les codes suivants doivent être utilisés dans le FMBB :</w:t>
      </w:r>
    </w:p>
    <w:p w14:paraId="6022D2EA" w14:textId="77777777" w:rsidR="00844876" w:rsidRPr="003F1788" w:rsidRDefault="00844876" w:rsidP="00844876">
      <w:pPr>
        <w:rPr>
          <w:rFonts w:eastAsiaTheme="minorHAnsi" w:cs="Arial"/>
          <w:lang w:val="fr-CA" w:eastAsia="en-US"/>
        </w:rPr>
      </w:pPr>
    </w:p>
    <w:tbl>
      <w:tblPr>
        <w:tblStyle w:val="TableGrid1"/>
        <w:tblW w:w="0" w:type="auto"/>
        <w:tblLook w:val="04A0" w:firstRow="1" w:lastRow="0" w:firstColumn="1" w:lastColumn="0" w:noHBand="0" w:noVBand="1"/>
      </w:tblPr>
      <w:tblGrid>
        <w:gridCol w:w="795"/>
        <w:gridCol w:w="1838"/>
        <w:gridCol w:w="2552"/>
        <w:gridCol w:w="2172"/>
        <w:gridCol w:w="1633"/>
      </w:tblGrid>
      <w:tr w:rsidR="00844876" w:rsidRPr="003F1788" w14:paraId="04BD790F" w14:textId="77777777" w:rsidTr="00E66A86">
        <w:trPr>
          <w:trHeight w:val="473"/>
        </w:trPr>
        <w:tc>
          <w:tcPr>
            <w:tcW w:w="817" w:type="dxa"/>
            <w:vAlign w:val="center"/>
          </w:tcPr>
          <w:p w14:paraId="33023A3E"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Par</w:t>
            </w:r>
          </w:p>
        </w:tc>
        <w:tc>
          <w:tcPr>
            <w:tcW w:w="1985" w:type="dxa"/>
            <w:vAlign w:val="center"/>
          </w:tcPr>
          <w:p w14:paraId="77813130"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Processus</w:t>
            </w:r>
          </w:p>
        </w:tc>
        <w:tc>
          <w:tcPr>
            <w:tcW w:w="2976" w:type="dxa"/>
            <w:vAlign w:val="center"/>
          </w:tcPr>
          <w:p w14:paraId="32490862"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Type de document</w:t>
            </w:r>
          </w:p>
        </w:tc>
        <w:tc>
          <w:tcPr>
            <w:tcW w:w="2552" w:type="dxa"/>
            <w:vAlign w:val="center"/>
          </w:tcPr>
          <w:p w14:paraId="36D35A83"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Version</w:t>
            </w:r>
          </w:p>
        </w:tc>
        <w:tc>
          <w:tcPr>
            <w:tcW w:w="1858" w:type="dxa"/>
            <w:vAlign w:val="center"/>
          </w:tcPr>
          <w:p w14:paraId="6544354B" w14:textId="77777777" w:rsidR="00844876" w:rsidRPr="003F178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Type de budget</w:t>
            </w:r>
          </w:p>
        </w:tc>
      </w:tr>
      <w:tr w:rsidR="00844876" w:rsidRPr="003F1788" w14:paraId="5447168F" w14:textId="77777777" w:rsidTr="00E66A86">
        <w:trPr>
          <w:trHeight w:val="344"/>
        </w:trPr>
        <w:tc>
          <w:tcPr>
            <w:tcW w:w="817" w:type="dxa"/>
          </w:tcPr>
          <w:p w14:paraId="73D9DCC2"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GRM</w:t>
            </w:r>
          </w:p>
        </w:tc>
        <w:tc>
          <w:tcPr>
            <w:tcW w:w="1985" w:type="dxa"/>
          </w:tcPr>
          <w:p w14:paraId="07F6F40B"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Supplément</w:t>
            </w:r>
          </w:p>
        </w:tc>
        <w:tc>
          <w:tcPr>
            <w:tcW w:w="2976" w:type="dxa"/>
          </w:tcPr>
          <w:p w14:paraId="27FCFD53" w14:textId="77777777" w:rsidR="00844876" w:rsidRPr="001D22F8" w:rsidRDefault="00844876" w:rsidP="00E66A86">
            <w:pPr>
              <w:spacing w:after="200" w:line="276" w:lineRule="auto"/>
              <w:rPr>
                <w:rFonts w:eastAsiaTheme="minorHAnsi" w:cs="Arial"/>
                <w:lang w:val="fr-CA" w:eastAsia="en-US"/>
              </w:rPr>
            </w:pPr>
            <w:r w:rsidRPr="001D22F8">
              <w:rPr>
                <w:rFonts w:eastAsiaTheme="minorHAnsi" w:cs="Arial"/>
                <w:lang w:val="fr-CA" w:eastAsia="en-US"/>
              </w:rPr>
              <w:t>FB1 (prév. budg.)</w:t>
            </w:r>
          </w:p>
        </w:tc>
        <w:tc>
          <w:tcPr>
            <w:tcW w:w="2552" w:type="dxa"/>
          </w:tcPr>
          <w:p w14:paraId="2F8F1CE4" w14:textId="77777777" w:rsidR="00844876" w:rsidRPr="001D22F8" w:rsidRDefault="00844876" w:rsidP="00E66A86">
            <w:pPr>
              <w:spacing w:after="200" w:line="276" w:lineRule="auto"/>
              <w:rPr>
                <w:rFonts w:eastAsiaTheme="minorHAnsi" w:cs="Arial"/>
                <w:lang w:val="fr-CA" w:eastAsia="en-US"/>
              </w:rPr>
            </w:pPr>
            <w:r w:rsidRPr="001D22F8">
              <w:rPr>
                <w:rFonts w:eastAsiaTheme="minorHAnsi" w:cs="Arial"/>
                <w:lang w:val="fr-CA" w:eastAsia="en-US"/>
              </w:rPr>
              <w:t>B02 / B05 / B07 / B09</w:t>
            </w:r>
          </w:p>
        </w:tc>
        <w:tc>
          <w:tcPr>
            <w:tcW w:w="1858" w:type="dxa"/>
          </w:tcPr>
          <w:p w14:paraId="20541219" w14:textId="77777777" w:rsidR="00844876" w:rsidRPr="001D22F8" w:rsidRDefault="00844876" w:rsidP="00E66A86">
            <w:pPr>
              <w:spacing w:after="200" w:line="276" w:lineRule="auto"/>
              <w:rPr>
                <w:rFonts w:eastAsiaTheme="minorHAnsi" w:cs="Arial"/>
                <w:lang w:val="fr-CA" w:eastAsia="en-US"/>
              </w:rPr>
            </w:pPr>
            <w:r w:rsidRPr="001D22F8">
              <w:rPr>
                <w:rFonts w:eastAsiaTheme="minorHAnsi" w:cs="Arial"/>
                <w:lang w:val="fr-CA" w:eastAsia="en-US"/>
              </w:rPr>
              <w:t>FADJ</w:t>
            </w:r>
          </w:p>
        </w:tc>
      </w:tr>
      <w:tr w:rsidR="00844876" w:rsidRPr="003F1788" w14:paraId="136157CF" w14:textId="77777777" w:rsidTr="00E66A86">
        <w:trPr>
          <w:trHeight w:val="380"/>
        </w:trPr>
        <w:tc>
          <w:tcPr>
            <w:tcW w:w="817" w:type="dxa"/>
          </w:tcPr>
          <w:p w14:paraId="46393EBF"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CGF</w:t>
            </w:r>
          </w:p>
        </w:tc>
        <w:tc>
          <w:tcPr>
            <w:tcW w:w="1985" w:type="dxa"/>
          </w:tcPr>
          <w:p w14:paraId="1D28F437"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Supplément</w:t>
            </w:r>
          </w:p>
        </w:tc>
        <w:tc>
          <w:tcPr>
            <w:tcW w:w="2976" w:type="dxa"/>
          </w:tcPr>
          <w:p w14:paraId="472D98C1"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FB2 (transf. supp. prév.)</w:t>
            </w:r>
          </w:p>
        </w:tc>
        <w:tc>
          <w:tcPr>
            <w:tcW w:w="2552" w:type="dxa"/>
          </w:tcPr>
          <w:p w14:paraId="3B49F57C" w14:textId="77777777" w:rsidR="00844876" w:rsidRPr="001D22F8" w:rsidRDefault="00844876" w:rsidP="00E66A86">
            <w:pPr>
              <w:spacing w:after="200" w:line="276" w:lineRule="auto"/>
              <w:rPr>
                <w:rFonts w:eastAsiaTheme="minorHAnsi" w:cs="Arial"/>
                <w:lang w:val="fr-CA" w:eastAsia="en-US"/>
              </w:rPr>
            </w:pPr>
            <w:r w:rsidRPr="001D22F8">
              <w:rPr>
                <w:rFonts w:eastAsiaTheme="minorHAnsi" w:cs="Arial"/>
                <w:lang w:val="fr-CA" w:eastAsia="en-US"/>
              </w:rPr>
              <w:t>B02 / B05 / B07 / B09</w:t>
            </w:r>
          </w:p>
        </w:tc>
        <w:tc>
          <w:tcPr>
            <w:tcW w:w="1858" w:type="dxa"/>
          </w:tcPr>
          <w:p w14:paraId="1F5B79EE" w14:textId="77777777" w:rsidR="00844876" w:rsidRPr="001D22F8" w:rsidRDefault="00844876" w:rsidP="00E66A86">
            <w:pPr>
              <w:spacing w:after="200" w:line="276" w:lineRule="auto"/>
              <w:rPr>
                <w:rFonts w:eastAsiaTheme="minorHAnsi" w:cs="Arial"/>
                <w:lang w:val="fr-CA" w:eastAsia="en-US"/>
              </w:rPr>
            </w:pPr>
            <w:r w:rsidRPr="001D22F8">
              <w:rPr>
                <w:rFonts w:eastAsiaTheme="minorHAnsi" w:cs="Arial"/>
                <w:lang w:val="fr-CA" w:eastAsia="en-US"/>
              </w:rPr>
              <w:t>FADJ</w:t>
            </w:r>
          </w:p>
        </w:tc>
      </w:tr>
    </w:tbl>
    <w:p w14:paraId="18726A75" w14:textId="77777777" w:rsidR="00844876" w:rsidRPr="003F1788" w:rsidRDefault="00844876" w:rsidP="00844876">
      <w:pPr>
        <w:spacing w:line="276" w:lineRule="auto"/>
        <w:rPr>
          <w:rFonts w:eastAsiaTheme="minorHAnsi" w:cs="Arial"/>
          <w:lang w:val="fr-CA" w:eastAsia="en-US"/>
        </w:rPr>
      </w:pPr>
    </w:p>
    <w:p w14:paraId="786ABE34" w14:textId="77777777" w:rsidR="00844876" w:rsidRPr="001D22F8" w:rsidRDefault="00844876" w:rsidP="00844876">
      <w:pPr>
        <w:rPr>
          <w:rFonts w:eastAsiaTheme="minorHAnsi"/>
          <w:b/>
          <w:sz w:val="28"/>
          <w:lang w:val="fr-CA" w:eastAsia="en-US"/>
        </w:rPr>
      </w:pPr>
      <w:r w:rsidRPr="001D22F8">
        <w:rPr>
          <w:rFonts w:eastAsiaTheme="minorHAnsi"/>
          <w:b/>
          <w:sz w:val="28"/>
          <w:lang w:val="fr-CA" w:eastAsia="en-US"/>
        </w:rPr>
        <w:t>Ajustement des prévisions</w:t>
      </w:r>
    </w:p>
    <w:p w14:paraId="320FB778" w14:textId="77777777" w:rsidR="00844876" w:rsidRPr="003F1788" w:rsidRDefault="00844876" w:rsidP="00844876">
      <w:pPr>
        <w:rPr>
          <w:lang w:val="fr-CA"/>
        </w:rPr>
      </w:pPr>
    </w:p>
    <w:p w14:paraId="1FFE43B2" w14:textId="77777777" w:rsidR="00844876" w:rsidRPr="003F1788" w:rsidRDefault="00844876" w:rsidP="00844876">
      <w:pPr>
        <w:rPr>
          <w:rFonts w:eastAsiaTheme="minorHAnsi" w:cs="Arial"/>
          <w:lang w:val="fr-CA" w:eastAsia="en-US"/>
        </w:rPr>
      </w:pPr>
      <w:r>
        <w:rPr>
          <w:rFonts w:eastAsiaTheme="minorHAnsi" w:cs="Arial"/>
          <w:lang w:val="fr-CA" w:eastAsia="en-US"/>
        </w:rPr>
        <w:t xml:space="preserve">Pour ajuster </w:t>
      </w:r>
      <w:r w:rsidRPr="003F1788">
        <w:rPr>
          <w:rFonts w:eastAsiaTheme="minorHAnsi" w:cs="Arial"/>
          <w:lang w:val="fr-CA" w:eastAsia="en-US"/>
        </w:rPr>
        <w:t>une prévision dans le FMBB dans la version FXX de la prévision. Ce montant sera entré par les CGF, directement au niveau approprié (</w:t>
      </w:r>
      <w:r w:rsidRPr="00151D6C">
        <w:rPr>
          <w:rFonts w:eastAsiaTheme="minorHAnsi" w:cs="Arial"/>
          <w:lang w:val="fr-CA" w:eastAsia="en-US"/>
        </w:rPr>
        <w:t>pas de distribution). Cette étape peut survenir avant ou après le retrait des prévisions dans l’OPS et</w:t>
      </w:r>
      <w:r>
        <w:rPr>
          <w:rFonts w:eastAsiaTheme="minorHAnsi" w:cs="Arial"/>
          <w:lang w:val="fr-CA" w:eastAsia="en-US"/>
        </w:rPr>
        <w:t xml:space="preserve"> dans</w:t>
      </w:r>
      <w:r w:rsidRPr="00151D6C">
        <w:rPr>
          <w:rFonts w:eastAsiaTheme="minorHAnsi" w:cs="Arial"/>
          <w:lang w:val="fr-CA" w:eastAsia="en-US"/>
        </w:rPr>
        <w:t xml:space="preserve"> l’outil de prévision non-salariales et leur transfert dans le FMBB.</w:t>
      </w:r>
    </w:p>
    <w:p w14:paraId="7877D9FA" w14:textId="77777777" w:rsidR="00844876" w:rsidRPr="003F1788" w:rsidRDefault="00844876" w:rsidP="00844876">
      <w:pPr>
        <w:rPr>
          <w:rFonts w:eastAsiaTheme="minorHAnsi" w:cs="Arial"/>
          <w:lang w:val="fr-CA" w:eastAsia="en-US"/>
        </w:rPr>
      </w:pPr>
    </w:p>
    <w:tbl>
      <w:tblPr>
        <w:tblStyle w:val="TableGrid1"/>
        <w:tblW w:w="0" w:type="auto"/>
        <w:tblLook w:val="04A0" w:firstRow="1" w:lastRow="0" w:firstColumn="1" w:lastColumn="0" w:noHBand="0" w:noVBand="1"/>
      </w:tblPr>
      <w:tblGrid>
        <w:gridCol w:w="783"/>
        <w:gridCol w:w="2367"/>
        <w:gridCol w:w="2018"/>
        <w:gridCol w:w="2170"/>
        <w:gridCol w:w="1652"/>
      </w:tblGrid>
      <w:tr w:rsidR="00844876" w:rsidRPr="001D22F8" w14:paraId="7DE3DDE1" w14:textId="77777777" w:rsidTr="00E66A86">
        <w:trPr>
          <w:trHeight w:val="429"/>
        </w:trPr>
        <w:tc>
          <w:tcPr>
            <w:tcW w:w="817" w:type="dxa"/>
            <w:vAlign w:val="center"/>
          </w:tcPr>
          <w:p w14:paraId="28F2559D"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Par</w:t>
            </w:r>
          </w:p>
        </w:tc>
        <w:tc>
          <w:tcPr>
            <w:tcW w:w="2693" w:type="dxa"/>
            <w:vAlign w:val="center"/>
          </w:tcPr>
          <w:p w14:paraId="73CB435F"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Processus</w:t>
            </w:r>
          </w:p>
        </w:tc>
        <w:tc>
          <w:tcPr>
            <w:tcW w:w="2268" w:type="dxa"/>
            <w:vAlign w:val="center"/>
          </w:tcPr>
          <w:p w14:paraId="57E47D76"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Type de document</w:t>
            </w:r>
          </w:p>
        </w:tc>
        <w:tc>
          <w:tcPr>
            <w:tcW w:w="2552" w:type="dxa"/>
            <w:vAlign w:val="center"/>
          </w:tcPr>
          <w:p w14:paraId="73ADEBB6"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Version</w:t>
            </w:r>
          </w:p>
        </w:tc>
        <w:tc>
          <w:tcPr>
            <w:tcW w:w="1858" w:type="dxa"/>
            <w:vAlign w:val="center"/>
          </w:tcPr>
          <w:p w14:paraId="723888C5" w14:textId="77777777" w:rsidR="00844876" w:rsidRPr="001D22F8" w:rsidRDefault="00844876" w:rsidP="00E66A86">
            <w:pPr>
              <w:spacing w:after="200" w:line="276" w:lineRule="auto"/>
              <w:jc w:val="center"/>
              <w:rPr>
                <w:rFonts w:eastAsiaTheme="minorHAnsi" w:cs="Arial"/>
                <w:b/>
                <w:lang w:val="fr-CA" w:eastAsia="en-US"/>
              </w:rPr>
            </w:pPr>
            <w:r w:rsidRPr="001D22F8">
              <w:rPr>
                <w:rFonts w:eastAsiaTheme="minorHAnsi" w:cs="Arial"/>
                <w:b/>
                <w:lang w:val="fr-CA" w:eastAsia="en-US"/>
              </w:rPr>
              <w:t>Type de budget</w:t>
            </w:r>
          </w:p>
        </w:tc>
      </w:tr>
      <w:tr w:rsidR="00844876" w:rsidRPr="009E576A" w14:paraId="0E0248EF" w14:textId="77777777" w:rsidTr="00E66A86">
        <w:trPr>
          <w:trHeight w:val="933"/>
        </w:trPr>
        <w:tc>
          <w:tcPr>
            <w:tcW w:w="817" w:type="dxa"/>
          </w:tcPr>
          <w:p w14:paraId="29C40BBB"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CGF</w:t>
            </w:r>
          </w:p>
        </w:tc>
        <w:tc>
          <w:tcPr>
            <w:tcW w:w="2693" w:type="dxa"/>
          </w:tcPr>
          <w:p w14:paraId="6102DCAC"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 xml:space="preserve">Supplément </w:t>
            </w:r>
          </w:p>
          <w:p w14:paraId="45D8A739"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(pour accroître la prévision)</w:t>
            </w:r>
          </w:p>
        </w:tc>
        <w:tc>
          <w:tcPr>
            <w:tcW w:w="2268" w:type="dxa"/>
          </w:tcPr>
          <w:p w14:paraId="23940F66" w14:textId="77777777" w:rsidR="00844876" w:rsidRPr="001D22F8" w:rsidRDefault="00844876" w:rsidP="00E66A86">
            <w:pPr>
              <w:spacing w:after="200" w:line="276" w:lineRule="auto"/>
              <w:rPr>
                <w:rFonts w:eastAsiaTheme="minorHAnsi" w:cs="Arial"/>
                <w:lang w:val="fr-CA" w:eastAsia="en-US"/>
              </w:rPr>
            </w:pPr>
            <w:r w:rsidRPr="001D22F8">
              <w:rPr>
                <w:rFonts w:cs="Arial"/>
                <w:lang w:val="fr-CA"/>
              </w:rPr>
              <w:t>FF1 (prévision)</w:t>
            </w:r>
          </w:p>
        </w:tc>
        <w:tc>
          <w:tcPr>
            <w:tcW w:w="2552" w:type="dxa"/>
          </w:tcPr>
          <w:p w14:paraId="021F7FCB" w14:textId="77777777" w:rsidR="00844876" w:rsidRPr="001D22F8" w:rsidRDefault="00844876" w:rsidP="00E66A86">
            <w:pPr>
              <w:spacing w:after="200" w:line="276" w:lineRule="auto"/>
              <w:rPr>
                <w:rFonts w:eastAsiaTheme="minorHAnsi" w:cs="Arial"/>
                <w:lang w:val="fr-CA" w:eastAsia="en-US"/>
              </w:rPr>
            </w:pPr>
            <w:r w:rsidRPr="001D22F8">
              <w:rPr>
                <w:rFonts w:eastAsiaTheme="minorHAnsi" w:cs="Arial"/>
                <w:lang w:val="fr-CA"/>
              </w:rPr>
              <w:t xml:space="preserve">F03 / F06 / F08 / F10 </w:t>
            </w:r>
          </w:p>
        </w:tc>
        <w:tc>
          <w:tcPr>
            <w:tcW w:w="1858" w:type="dxa"/>
          </w:tcPr>
          <w:p w14:paraId="0D764A05" w14:textId="77777777" w:rsidR="00844876" w:rsidRPr="001D22F8" w:rsidRDefault="00844876" w:rsidP="00E66A86">
            <w:pPr>
              <w:spacing w:after="200" w:line="276" w:lineRule="auto"/>
              <w:rPr>
                <w:rFonts w:eastAsiaTheme="minorHAnsi" w:cs="Arial"/>
                <w:lang w:val="fr-CA" w:eastAsia="en-US"/>
              </w:rPr>
            </w:pPr>
            <w:r w:rsidRPr="001D22F8">
              <w:rPr>
                <w:rFonts w:eastAsiaTheme="minorHAnsi" w:cs="Arial"/>
                <w:lang w:val="fr-CA" w:eastAsia="en-US"/>
              </w:rPr>
              <w:t>FADJ; et FAPS pour Dotation prévue</w:t>
            </w:r>
          </w:p>
        </w:tc>
      </w:tr>
      <w:tr w:rsidR="00844876" w:rsidRPr="009E576A" w14:paraId="19BB4CAB" w14:textId="77777777" w:rsidTr="00E66A86">
        <w:trPr>
          <w:trHeight w:val="835"/>
        </w:trPr>
        <w:tc>
          <w:tcPr>
            <w:tcW w:w="817" w:type="dxa"/>
          </w:tcPr>
          <w:p w14:paraId="08B4BC43"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CGF</w:t>
            </w:r>
          </w:p>
        </w:tc>
        <w:tc>
          <w:tcPr>
            <w:tcW w:w="2693" w:type="dxa"/>
          </w:tcPr>
          <w:p w14:paraId="18A71C1A"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 xml:space="preserve">Restitution </w:t>
            </w:r>
          </w:p>
          <w:p w14:paraId="5DEDC90A" w14:textId="77777777" w:rsidR="00844876" w:rsidRPr="001D22F8" w:rsidRDefault="00844876" w:rsidP="00E66A86">
            <w:pPr>
              <w:spacing w:line="276" w:lineRule="auto"/>
              <w:rPr>
                <w:rFonts w:eastAsiaTheme="minorHAnsi" w:cs="Arial"/>
                <w:lang w:val="fr-CA" w:eastAsia="en-US"/>
              </w:rPr>
            </w:pPr>
            <w:r w:rsidRPr="001D22F8">
              <w:rPr>
                <w:rFonts w:eastAsiaTheme="minorHAnsi" w:cs="Arial"/>
                <w:lang w:val="fr-CA" w:eastAsia="en-US"/>
              </w:rPr>
              <w:t>(pour réduire la prévision)</w:t>
            </w:r>
          </w:p>
        </w:tc>
        <w:tc>
          <w:tcPr>
            <w:tcW w:w="2268" w:type="dxa"/>
          </w:tcPr>
          <w:p w14:paraId="06467C4C" w14:textId="77777777" w:rsidR="00844876" w:rsidRPr="001D22F8" w:rsidRDefault="00844876" w:rsidP="00E66A86">
            <w:pPr>
              <w:spacing w:after="200" w:line="276" w:lineRule="auto"/>
              <w:rPr>
                <w:rFonts w:cs="Arial"/>
                <w:lang w:val="fr-CA"/>
              </w:rPr>
            </w:pPr>
            <w:r w:rsidRPr="001D22F8">
              <w:rPr>
                <w:rFonts w:cs="Arial"/>
                <w:lang w:val="fr-CA"/>
              </w:rPr>
              <w:t>FF1 (prévision)</w:t>
            </w:r>
          </w:p>
        </w:tc>
        <w:tc>
          <w:tcPr>
            <w:tcW w:w="2552" w:type="dxa"/>
          </w:tcPr>
          <w:p w14:paraId="591B2628" w14:textId="77777777" w:rsidR="00844876" w:rsidRPr="001D22F8" w:rsidRDefault="00844876" w:rsidP="00E66A86">
            <w:pPr>
              <w:spacing w:after="200" w:line="276" w:lineRule="auto"/>
              <w:rPr>
                <w:rFonts w:eastAsiaTheme="minorHAnsi" w:cs="Arial"/>
                <w:lang w:val="fr-CA"/>
              </w:rPr>
            </w:pPr>
            <w:r w:rsidRPr="001D22F8">
              <w:rPr>
                <w:rFonts w:eastAsiaTheme="minorHAnsi" w:cs="Arial"/>
                <w:lang w:val="fr-CA"/>
              </w:rPr>
              <w:t xml:space="preserve">F03 / F06 / F08 / F10 </w:t>
            </w:r>
          </w:p>
        </w:tc>
        <w:tc>
          <w:tcPr>
            <w:tcW w:w="1858" w:type="dxa"/>
          </w:tcPr>
          <w:p w14:paraId="0193AF5E" w14:textId="77777777" w:rsidR="00844876" w:rsidRPr="001D22F8" w:rsidRDefault="00844876" w:rsidP="00E66A86">
            <w:pPr>
              <w:spacing w:after="200" w:line="276" w:lineRule="auto"/>
              <w:rPr>
                <w:rFonts w:eastAsiaTheme="minorHAnsi" w:cs="Arial"/>
                <w:lang w:val="fr-CA" w:eastAsia="en-US"/>
              </w:rPr>
            </w:pPr>
            <w:r w:rsidRPr="001D22F8">
              <w:rPr>
                <w:rFonts w:eastAsiaTheme="minorHAnsi" w:cs="Arial"/>
                <w:lang w:val="fr-CA" w:eastAsia="en-US"/>
              </w:rPr>
              <w:t>FADJ; et FAPS pour Dotation prévue</w:t>
            </w:r>
          </w:p>
        </w:tc>
      </w:tr>
    </w:tbl>
    <w:p w14:paraId="4178F358" w14:textId="77777777" w:rsidR="00844876" w:rsidRDefault="00844876" w:rsidP="00844876">
      <w:pPr>
        <w:rPr>
          <w:lang w:val="fr-CA"/>
        </w:rPr>
      </w:pPr>
    </w:p>
    <w:p w14:paraId="581C574A" w14:textId="77777777" w:rsidR="000E5831" w:rsidRDefault="000E5831" w:rsidP="00844876">
      <w:pPr>
        <w:rPr>
          <w:lang w:val="fr-CA"/>
        </w:rPr>
      </w:pPr>
    </w:p>
    <w:p w14:paraId="524D8BA5" w14:textId="77777777" w:rsidR="000E5831" w:rsidRPr="003F1788" w:rsidRDefault="000E5831" w:rsidP="00844876">
      <w:pPr>
        <w:rPr>
          <w:lang w:val="fr-CA"/>
        </w:rPr>
      </w:pPr>
    </w:p>
    <w:p w14:paraId="03F32A03" w14:textId="77777777" w:rsidR="00844876" w:rsidRPr="003F1788" w:rsidRDefault="00844876" w:rsidP="00844876">
      <w:pPr>
        <w:rPr>
          <w:rFonts w:eastAsiaTheme="minorHAnsi" w:cs="Arial"/>
          <w:lang w:val="fr-CA" w:eastAsia="en-US"/>
        </w:rPr>
      </w:pPr>
      <w:r w:rsidRPr="003F1788">
        <w:rPr>
          <w:b/>
          <w:lang w:val="fr-CA"/>
        </w:rPr>
        <w:t>Remarque importante :</w:t>
      </w:r>
    </w:p>
    <w:p w14:paraId="229F6C3D" w14:textId="77777777" w:rsidR="00844876" w:rsidRPr="003F1788" w:rsidRDefault="00844876" w:rsidP="00844876">
      <w:pPr>
        <w:rPr>
          <w:rFonts w:eastAsiaTheme="minorHAnsi" w:cs="Arial"/>
          <w:lang w:val="fr-CA" w:eastAsia="en-US"/>
        </w:rPr>
      </w:pPr>
    </w:p>
    <w:p w14:paraId="59082E02" w14:textId="77777777" w:rsidR="00844876" w:rsidRPr="003F1788" w:rsidRDefault="00844876" w:rsidP="00844876">
      <w:pPr>
        <w:rPr>
          <w:rFonts w:eastAsiaTheme="minorHAnsi" w:cs="Arial"/>
          <w:lang w:val="fr-CA" w:eastAsia="en-US"/>
        </w:rPr>
      </w:pPr>
      <w:r w:rsidRPr="003F1788">
        <w:rPr>
          <w:rFonts w:eastAsiaTheme="minorHAnsi" w:cs="Arial"/>
          <w:lang w:val="fr-CA" w:eastAsia="en-US"/>
        </w:rPr>
        <w:t xml:space="preserve">Le principe de base pour les données FADJ veut que le processus de supplément soit utilisé pour entrer une augmentation de budget ou d’une prévision, tandis que le processus de restitution soit utilisé pour entrer une diminution d’une prévision (un ajustement négatif à une prévision). On notera cependant que </w:t>
      </w:r>
      <w:r w:rsidR="00F07A01" w:rsidRPr="003F1788">
        <w:rPr>
          <w:rFonts w:eastAsiaTheme="minorHAnsi" w:cs="Arial"/>
          <w:lang w:val="fr-CA" w:eastAsia="en-US"/>
        </w:rPr>
        <w:t>les restitutions</w:t>
      </w:r>
      <w:r w:rsidRPr="003F1788">
        <w:rPr>
          <w:rFonts w:eastAsiaTheme="minorHAnsi" w:cs="Arial"/>
          <w:lang w:val="fr-CA" w:eastAsia="en-US"/>
        </w:rPr>
        <w:t xml:space="preserve"> doivent être entrés sous la forme de valeurs absolues (c.</w:t>
      </w:r>
      <w:r w:rsidRPr="003F1788">
        <w:rPr>
          <w:rFonts w:eastAsiaTheme="minorHAnsi" w:cs="Arial"/>
          <w:lang w:val="fr-CA" w:eastAsia="en-US"/>
        </w:rPr>
        <w:noBreakHyphen/>
        <w:t>à</w:t>
      </w:r>
      <w:r w:rsidRPr="003F1788">
        <w:rPr>
          <w:rFonts w:eastAsiaTheme="minorHAnsi" w:cs="Arial"/>
          <w:lang w:val="fr-CA" w:eastAsia="en-US"/>
        </w:rPr>
        <w:noBreakHyphen/>
        <w:t>d., des montants positifs).</w:t>
      </w:r>
    </w:p>
    <w:p w14:paraId="29D9F85E" w14:textId="77777777" w:rsidR="00844876" w:rsidRPr="003F1788" w:rsidRDefault="00844876" w:rsidP="00844876">
      <w:pPr>
        <w:rPr>
          <w:rFonts w:eastAsiaTheme="minorHAnsi" w:cs="Arial"/>
          <w:lang w:val="fr-CA" w:eastAsia="en-US"/>
        </w:rPr>
      </w:pPr>
    </w:p>
    <w:p w14:paraId="2A19E85F" w14:textId="77777777" w:rsidR="00844876" w:rsidRDefault="00844876" w:rsidP="00844876">
      <w:pPr>
        <w:rPr>
          <w:rFonts w:eastAsiaTheme="minorHAnsi" w:cs="Arial"/>
          <w:lang w:val="fr-CA" w:eastAsia="en-US"/>
        </w:rPr>
      </w:pPr>
      <w:r w:rsidRPr="003F1788">
        <w:rPr>
          <w:rFonts w:eastAsiaTheme="minorHAnsi" w:cs="Arial"/>
          <w:lang w:val="fr-CA" w:eastAsia="en-US"/>
        </w:rPr>
        <w:t>Par la suite, la distribution d’un budget FADJ/FAPS est soit la distribution d’un supplément, soit la distribution d’une restitution, dans laquelle l’expéditeur est un montant négatif et le destinataire est un montant positif. À noter que le processus de transfert ne peut pas être utilisé et que la distribution d’un « montant net » (supplément –  restitution) n’est pas possible.</w:t>
      </w:r>
    </w:p>
    <w:p w14:paraId="3EF43D28" w14:textId="77777777" w:rsidR="00F07A01" w:rsidRDefault="00F07A01" w:rsidP="00844876">
      <w:pPr>
        <w:rPr>
          <w:rFonts w:eastAsiaTheme="minorHAnsi" w:cs="Arial"/>
          <w:lang w:val="fr-CA" w:eastAsia="en-US"/>
        </w:rPr>
      </w:pPr>
    </w:p>
    <w:p w14:paraId="3ADB0DA9" w14:textId="77777777" w:rsidR="00844876" w:rsidRDefault="00844876" w:rsidP="00844876">
      <w:pPr>
        <w:rPr>
          <w:rFonts w:eastAsia="Arial Unicode MS" w:cs="Arial"/>
          <w:lang w:val="fr-CA" w:eastAsia="en-US"/>
        </w:rPr>
      </w:pPr>
      <w:r w:rsidRPr="00151D6C">
        <w:rPr>
          <w:rFonts w:eastAsia="Arial Unicode MS" w:cs="Arial"/>
          <w:lang w:val="fr-CA" w:eastAsia="en-US"/>
        </w:rPr>
        <w:t xml:space="preserve">Notez que les ajustements </w:t>
      </w:r>
      <w:r w:rsidR="00F07A01">
        <w:rPr>
          <w:rFonts w:eastAsia="Arial Unicode MS" w:cs="Arial"/>
          <w:lang w:val="fr-CA" w:eastAsia="en-US"/>
        </w:rPr>
        <w:t>pour la dotation prévue</w:t>
      </w:r>
      <w:r w:rsidRPr="00151D6C">
        <w:rPr>
          <w:rFonts w:eastAsia="Arial Unicode MS" w:cs="Arial"/>
          <w:lang w:val="fr-CA" w:eastAsia="en-US"/>
        </w:rPr>
        <w:t xml:space="preserve"> doivent être adéquatement identifiés</w:t>
      </w:r>
      <w:r w:rsidR="00F07A01">
        <w:rPr>
          <w:rFonts w:eastAsia="Arial Unicode MS" w:cs="Arial"/>
          <w:lang w:val="fr-CA" w:eastAsia="en-US"/>
        </w:rPr>
        <w:t xml:space="preserve"> dans FMBB</w:t>
      </w:r>
      <w:r w:rsidRPr="00151D6C">
        <w:rPr>
          <w:rFonts w:eastAsia="Arial Unicode MS" w:cs="Arial"/>
          <w:lang w:val="fr-CA" w:eastAsia="en-US"/>
        </w:rPr>
        <w:t xml:space="preserve"> en utilisant le code de type de dotation prévu approprié (i.e. INT BR/DG; INT DEP/MIN; INT PS/FS; EXT PS/FP</w:t>
      </w:r>
      <w:r>
        <w:rPr>
          <w:rFonts w:eastAsia="Arial Unicode MS" w:cs="Arial"/>
          <w:lang w:val="fr-CA" w:eastAsia="en-US"/>
        </w:rPr>
        <w:t>; PRI/CIDP) car elles ont une incidence sur la façon dont la dotation prévue est présentée à la haute direction.</w:t>
      </w:r>
      <w:r w:rsidRPr="00A622CC">
        <w:rPr>
          <w:rFonts w:eastAsia="Arial Unicode MS" w:cs="Arial"/>
          <w:lang w:val="fr-CA" w:eastAsia="en-US"/>
        </w:rPr>
        <w:t xml:space="preserve">  </w:t>
      </w:r>
    </w:p>
    <w:p w14:paraId="00A7D5FA" w14:textId="77777777" w:rsidR="004A1E85" w:rsidRDefault="004A1E85" w:rsidP="00844876">
      <w:pPr>
        <w:rPr>
          <w:rFonts w:eastAsia="Arial Unicode MS" w:cs="Arial"/>
          <w:lang w:val="fr-CA" w:eastAsia="en-US"/>
        </w:rPr>
      </w:pPr>
    </w:p>
    <w:p w14:paraId="41C89988" w14:textId="77777777" w:rsidR="004A1E85" w:rsidRPr="00026416" w:rsidRDefault="004A1E85" w:rsidP="004A1E85">
      <w:pPr>
        <w:rPr>
          <w:b/>
          <w:lang w:val="fr-CA"/>
        </w:rPr>
      </w:pPr>
      <w:r w:rsidRPr="00026416">
        <w:rPr>
          <w:b/>
          <w:lang w:val="fr-CA"/>
        </w:rPr>
        <w:t>Codes de Type de dotation prévue</w:t>
      </w:r>
      <w:r w:rsidR="00026416" w:rsidRPr="00026416">
        <w:rPr>
          <w:b/>
          <w:lang w:val="fr-CA"/>
        </w:rPr>
        <w:t> :</w:t>
      </w:r>
    </w:p>
    <w:p w14:paraId="47B6DBB6" w14:textId="77777777" w:rsidR="00844876" w:rsidRDefault="00844876" w:rsidP="00844876">
      <w:pPr>
        <w:rPr>
          <w:lang w:val="fr-CA"/>
        </w:rPr>
      </w:pPr>
    </w:p>
    <w:tbl>
      <w:tblPr>
        <w:tblW w:w="11482" w:type="dxa"/>
        <w:tblInd w:w="-719" w:type="dxa"/>
        <w:tblCellMar>
          <w:left w:w="0" w:type="dxa"/>
          <w:right w:w="0" w:type="dxa"/>
        </w:tblCellMar>
        <w:tblLook w:val="04A0" w:firstRow="1" w:lastRow="0" w:firstColumn="1" w:lastColumn="0" w:noHBand="0" w:noVBand="1"/>
      </w:tblPr>
      <w:tblGrid>
        <w:gridCol w:w="1418"/>
        <w:gridCol w:w="1559"/>
        <w:gridCol w:w="1701"/>
        <w:gridCol w:w="2298"/>
        <w:gridCol w:w="4506"/>
      </w:tblGrid>
      <w:tr w:rsidR="004A1E85" w:rsidRPr="004A1E85" w14:paraId="6F2062B6" w14:textId="77777777" w:rsidTr="00026416">
        <w:trPr>
          <w:trHeight w:val="486"/>
        </w:trPr>
        <w:tc>
          <w:tcPr>
            <w:tcW w:w="1418"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4D17AA3C" w14:textId="77777777" w:rsidR="004A1E85" w:rsidRPr="004A1E85" w:rsidRDefault="004A1E85" w:rsidP="004A1E85">
            <w:pPr>
              <w:spacing w:line="256" w:lineRule="auto"/>
              <w:jc w:val="center"/>
              <w:rPr>
                <w:rFonts w:cs="Arial"/>
                <w:sz w:val="36"/>
                <w:szCs w:val="36"/>
              </w:rPr>
            </w:pPr>
            <w:r w:rsidRPr="004A1E85">
              <w:rPr>
                <w:rFonts w:cs="Arial"/>
                <w:b/>
                <w:bCs/>
                <w:color w:val="FFFFFF" w:themeColor="light1"/>
                <w:kern w:val="24"/>
                <w:sz w:val="20"/>
                <w:szCs w:val="20"/>
                <w:lang w:val="fr-CA"/>
              </w:rPr>
              <w:t>Acronyme</w:t>
            </w:r>
          </w:p>
        </w:tc>
        <w:tc>
          <w:tcPr>
            <w:tcW w:w="1559"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1FEAA6D3" w14:textId="77777777" w:rsidR="004A1E85" w:rsidRPr="004A1E85" w:rsidRDefault="004A1E85" w:rsidP="004A1E85">
            <w:pPr>
              <w:spacing w:line="256" w:lineRule="auto"/>
              <w:jc w:val="center"/>
              <w:rPr>
                <w:rFonts w:cs="Arial"/>
                <w:sz w:val="36"/>
                <w:szCs w:val="36"/>
              </w:rPr>
            </w:pPr>
            <w:r w:rsidRPr="004A1E85">
              <w:rPr>
                <w:rFonts w:cs="Arial"/>
                <w:b/>
                <w:bCs/>
                <w:color w:val="FFFFFF" w:themeColor="light1"/>
                <w:kern w:val="24"/>
                <w:sz w:val="20"/>
                <w:szCs w:val="20"/>
                <w:lang w:val="fr-CA"/>
              </w:rPr>
              <w:t>Description</w:t>
            </w:r>
          </w:p>
        </w:tc>
        <w:tc>
          <w:tcPr>
            <w:tcW w:w="1701"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080EBD21" w14:textId="77777777" w:rsidR="004A1E85" w:rsidRPr="004A1E85" w:rsidRDefault="004A1E85" w:rsidP="004A1E85">
            <w:pPr>
              <w:spacing w:line="256" w:lineRule="auto"/>
              <w:rPr>
                <w:rFonts w:cs="Arial"/>
                <w:sz w:val="36"/>
                <w:szCs w:val="36"/>
              </w:rPr>
            </w:pPr>
            <w:r w:rsidRPr="004A1E85">
              <w:rPr>
                <w:rFonts w:cs="Arial"/>
                <w:b/>
                <w:bCs/>
                <w:color w:val="FFFFFF" w:themeColor="light1"/>
                <w:kern w:val="24"/>
                <w:sz w:val="20"/>
                <w:szCs w:val="20"/>
                <w:lang w:val="fr-CA"/>
              </w:rPr>
              <w:t>Quand l’utilisé</w:t>
            </w:r>
          </w:p>
        </w:tc>
        <w:tc>
          <w:tcPr>
            <w:tcW w:w="2298"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387A519D" w14:textId="77777777" w:rsidR="004A1E85" w:rsidRPr="004A1E85" w:rsidRDefault="004A1E85" w:rsidP="004A1E85">
            <w:pPr>
              <w:spacing w:line="256" w:lineRule="auto"/>
              <w:rPr>
                <w:rFonts w:cs="Arial"/>
                <w:sz w:val="36"/>
                <w:szCs w:val="36"/>
              </w:rPr>
            </w:pPr>
            <w:r w:rsidRPr="004A1E85">
              <w:rPr>
                <w:rFonts w:cs="Arial"/>
                <w:b/>
                <w:bCs/>
                <w:color w:val="FFFFFF" w:themeColor="light1"/>
                <w:kern w:val="24"/>
                <w:sz w:val="20"/>
                <w:szCs w:val="20"/>
                <w:lang w:val="fr-CA"/>
              </w:rPr>
              <w:t>Impact sur les prévisions</w:t>
            </w:r>
          </w:p>
        </w:tc>
        <w:tc>
          <w:tcPr>
            <w:tcW w:w="4506" w:type="dxa"/>
            <w:tcBorders>
              <w:top w:val="single" w:sz="8" w:space="0" w:color="FFFFFF"/>
              <w:left w:val="single" w:sz="8" w:space="0" w:color="FFFFFF"/>
              <w:bottom w:val="single" w:sz="24" w:space="0" w:color="FFFFFF"/>
              <w:right w:val="single" w:sz="8" w:space="0" w:color="FFFFFF"/>
            </w:tcBorders>
            <w:shd w:val="clear" w:color="auto" w:fill="00ADBA"/>
            <w:tcMar>
              <w:top w:w="15" w:type="dxa"/>
              <w:left w:w="79" w:type="dxa"/>
              <w:bottom w:w="0" w:type="dxa"/>
              <w:right w:w="79" w:type="dxa"/>
            </w:tcMar>
            <w:vAlign w:val="center"/>
            <w:hideMark/>
          </w:tcPr>
          <w:p w14:paraId="4799B778" w14:textId="77777777" w:rsidR="004A1E85" w:rsidRPr="004A1E85" w:rsidRDefault="004A1E85" w:rsidP="004A1E85">
            <w:pPr>
              <w:spacing w:line="256" w:lineRule="auto"/>
              <w:rPr>
                <w:rFonts w:cs="Arial"/>
                <w:sz w:val="36"/>
                <w:szCs w:val="36"/>
              </w:rPr>
            </w:pPr>
            <w:r w:rsidRPr="004A1E85">
              <w:rPr>
                <w:rFonts w:cs="Arial"/>
                <w:b/>
                <w:bCs/>
                <w:color w:val="FFFFFF" w:themeColor="light1"/>
                <w:kern w:val="24"/>
                <w:sz w:val="20"/>
                <w:szCs w:val="20"/>
                <w:lang w:val="fr-CA"/>
              </w:rPr>
              <w:t>Ajustements aux prévisions requis*</w:t>
            </w:r>
          </w:p>
        </w:tc>
      </w:tr>
      <w:tr w:rsidR="004A1E85" w:rsidRPr="009E576A" w14:paraId="0AA65E91" w14:textId="77777777" w:rsidTr="00026416">
        <w:trPr>
          <w:trHeight w:val="1482"/>
        </w:trPr>
        <w:tc>
          <w:tcPr>
            <w:tcW w:w="1418" w:type="dxa"/>
            <w:tcBorders>
              <w:top w:val="single" w:sz="24"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4877E471" w14:textId="77777777" w:rsidR="004A1E85" w:rsidRPr="004A1E85" w:rsidRDefault="004A1E85" w:rsidP="004A1E85">
            <w:pPr>
              <w:spacing w:line="256" w:lineRule="auto"/>
              <w:rPr>
                <w:rFonts w:cs="Arial"/>
                <w:sz w:val="36"/>
                <w:szCs w:val="36"/>
              </w:rPr>
            </w:pPr>
            <w:r w:rsidRPr="004A1E85">
              <w:rPr>
                <w:rFonts w:cs="Arial"/>
                <w:b/>
                <w:bCs/>
                <w:color w:val="FFFFFF" w:themeColor="light1"/>
                <w:kern w:val="24"/>
                <w:sz w:val="22"/>
                <w:szCs w:val="22"/>
                <w:lang w:val="fr-CA"/>
              </w:rPr>
              <w:t>INT BR/DG</w:t>
            </w:r>
          </w:p>
        </w:tc>
        <w:tc>
          <w:tcPr>
            <w:tcW w:w="1559"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3A839480"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FR"/>
              </w:rPr>
              <w:t>Interne à la direction générale/ région</w:t>
            </w:r>
          </w:p>
        </w:tc>
        <w:tc>
          <w:tcPr>
            <w:tcW w:w="1701"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64E4B6FC"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CA"/>
              </w:rPr>
              <w:t>Pour les postes qui seront dotés par quelqu’un qui est déjà employé dans la dg/ région.</w:t>
            </w:r>
          </w:p>
        </w:tc>
        <w:tc>
          <w:tcPr>
            <w:tcW w:w="2298"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354CBC23"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CA"/>
              </w:rPr>
              <w:t xml:space="preserve">Ce type de dotation n’a aucun </w:t>
            </w:r>
            <w:r w:rsidRPr="00935B57">
              <w:rPr>
                <w:rFonts w:cs="Arial"/>
                <w:color w:val="000000" w:themeColor="text1"/>
                <w:kern w:val="24"/>
                <w:sz w:val="21"/>
                <w:szCs w:val="21"/>
                <w:lang w:val="fr-FR"/>
              </w:rPr>
              <w:t>impact sur les coûts salariaux prévus pour la dg/région ou le ministère.</w:t>
            </w:r>
          </w:p>
        </w:tc>
        <w:tc>
          <w:tcPr>
            <w:tcW w:w="4506" w:type="dxa"/>
            <w:tcBorders>
              <w:top w:val="single" w:sz="24"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5BDA5558" w14:textId="77777777" w:rsidR="004A1E85" w:rsidRPr="00935B57" w:rsidRDefault="004A1E85" w:rsidP="004A1E85">
            <w:pPr>
              <w:numPr>
                <w:ilvl w:val="0"/>
                <w:numId w:val="29"/>
              </w:numPr>
              <w:spacing w:line="256" w:lineRule="auto"/>
              <w:ind w:left="994"/>
              <w:contextualSpacing/>
              <w:rPr>
                <w:rFonts w:cs="Arial"/>
                <w:sz w:val="21"/>
                <w:szCs w:val="21"/>
                <w:lang w:val="fr-CA"/>
              </w:rPr>
            </w:pPr>
            <w:r w:rsidRPr="00935B57">
              <w:rPr>
                <w:rFonts w:asciiTheme="minorHAnsi" w:cs="Arial"/>
                <w:color w:val="000000" w:themeColor="text1"/>
                <w:kern w:val="24"/>
                <w:sz w:val="21"/>
                <w:szCs w:val="21"/>
                <w:lang w:val="fr-CA"/>
              </w:rPr>
              <w:t>Identifier le total de dotation prévue pour le type « INT DR/DG »;</w:t>
            </w:r>
          </w:p>
          <w:p w14:paraId="6208E782" w14:textId="77777777" w:rsidR="004A1E85" w:rsidRPr="00935B57" w:rsidRDefault="004A1E85" w:rsidP="004A1E85">
            <w:pPr>
              <w:numPr>
                <w:ilvl w:val="0"/>
                <w:numId w:val="29"/>
              </w:numPr>
              <w:spacing w:line="256" w:lineRule="auto"/>
              <w:ind w:left="994"/>
              <w:contextualSpacing/>
              <w:rPr>
                <w:rFonts w:cs="Arial"/>
                <w:sz w:val="21"/>
                <w:szCs w:val="21"/>
                <w:lang w:val="fr-CA"/>
              </w:rPr>
            </w:pPr>
            <w:r w:rsidRPr="00935B57">
              <w:rPr>
                <w:rFonts w:asciiTheme="minorHAnsi" w:cs="Arial"/>
                <w:color w:val="000000" w:themeColor="text1"/>
                <w:kern w:val="24"/>
                <w:sz w:val="21"/>
                <w:szCs w:val="21"/>
                <w:lang w:val="fr-CA"/>
              </w:rPr>
              <w:t xml:space="preserve">Créer un ajustement des prévisions négatif (FAPS) pour ce même montant pour réduire la prévision de dotation prévue. </w:t>
            </w:r>
          </w:p>
        </w:tc>
      </w:tr>
      <w:tr w:rsidR="004A1E85" w:rsidRPr="009E576A" w14:paraId="1EC49981" w14:textId="77777777" w:rsidTr="00026416">
        <w:trPr>
          <w:trHeight w:val="2370"/>
        </w:trPr>
        <w:tc>
          <w:tcPr>
            <w:tcW w:w="1418" w:type="dxa"/>
            <w:tcBorders>
              <w:top w:val="single" w:sz="8"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2B868937" w14:textId="77777777" w:rsidR="004A1E85" w:rsidRPr="004A1E85" w:rsidRDefault="004A1E85" w:rsidP="004A1E85">
            <w:pPr>
              <w:spacing w:line="256" w:lineRule="auto"/>
              <w:rPr>
                <w:rFonts w:cs="Arial"/>
                <w:sz w:val="36"/>
                <w:szCs w:val="36"/>
              </w:rPr>
            </w:pPr>
            <w:r w:rsidRPr="004A1E85">
              <w:rPr>
                <w:rFonts w:cs="Arial"/>
                <w:b/>
                <w:bCs/>
                <w:color w:val="FFFFFF" w:themeColor="light1"/>
                <w:kern w:val="24"/>
                <w:sz w:val="22"/>
                <w:szCs w:val="22"/>
                <w:lang w:val="fr-CA"/>
              </w:rPr>
              <w:t>INT DEP/MIN</w:t>
            </w:r>
          </w:p>
        </w:tc>
        <w:tc>
          <w:tcPr>
            <w:tcW w:w="1559"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634AC0B8"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FR"/>
              </w:rPr>
              <w:t>Interne ministère mais externe à la direction générale/ région</w:t>
            </w:r>
          </w:p>
        </w:tc>
        <w:tc>
          <w:tcPr>
            <w:tcW w:w="1701"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45D04675"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CA"/>
              </w:rPr>
              <w:t xml:space="preserve">Pour les postes qui seront dotés par l’entremise d’un déploiement, détachement interne ou autre processus de recrutement interne. </w:t>
            </w:r>
          </w:p>
        </w:tc>
        <w:tc>
          <w:tcPr>
            <w:tcW w:w="2298"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622BDAC2" w14:textId="77777777" w:rsidR="004A1E85" w:rsidRPr="00935B57" w:rsidRDefault="004A1E85" w:rsidP="004A1E85">
            <w:pPr>
              <w:spacing w:line="256" w:lineRule="auto"/>
              <w:rPr>
                <w:rFonts w:cs="Arial"/>
                <w:sz w:val="21"/>
                <w:szCs w:val="21"/>
                <w:lang w:val="fr-CA"/>
              </w:rPr>
            </w:pPr>
            <w:r w:rsidRPr="00935B57">
              <w:rPr>
                <w:rFonts w:asciiTheme="minorHAnsi" w:cs="Arial"/>
                <w:color w:val="000000" w:themeColor="text1"/>
                <w:kern w:val="24"/>
                <w:sz w:val="21"/>
                <w:szCs w:val="21"/>
                <w:lang w:val="fr-CA"/>
              </w:rPr>
              <w:t xml:space="preserve">Ce type de dotation représente une augmentation nette </w:t>
            </w:r>
            <w:r w:rsidRPr="00935B57">
              <w:rPr>
                <w:rFonts w:cs="Arial"/>
                <w:color w:val="000000" w:themeColor="text1"/>
                <w:kern w:val="24"/>
                <w:sz w:val="21"/>
                <w:szCs w:val="21"/>
                <w:lang w:val="fr-CA"/>
              </w:rPr>
              <w:t xml:space="preserve">aux prévisions des coûts salariaux </w:t>
            </w:r>
            <w:r w:rsidRPr="00935B57">
              <w:rPr>
                <w:rFonts w:asciiTheme="minorHAnsi" w:cs="Arial"/>
                <w:color w:val="000000" w:themeColor="text1"/>
                <w:kern w:val="24"/>
                <w:sz w:val="21"/>
                <w:szCs w:val="21"/>
                <w:lang w:val="fr-CA"/>
              </w:rPr>
              <w:t xml:space="preserve">de la dg/région mais n’a pas d’impact sur les coûts salariaux prévus pour le ministère. </w:t>
            </w:r>
          </w:p>
        </w:tc>
        <w:tc>
          <w:tcPr>
            <w:tcW w:w="4506" w:type="dxa"/>
            <w:tcBorders>
              <w:top w:val="single" w:sz="8" w:space="0" w:color="FFFFFF"/>
              <w:left w:val="single" w:sz="8" w:space="0" w:color="FFFFFF"/>
              <w:bottom w:val="single" w:sz="8" w:space="0" w:color="FFFFFF"/>
              <w:right w:val="single" w:sz="8" w:space="0" w:color="FFFFFF"/>
            </w:tcBorders>
            <w:shd w:val="clear" w:color="auto" w:fill="E7F1F3"/>
            <w:tcMar>
              <w:top w:w="15" w:type="dxa"/>
              <w:left w:w="79" w:type="dxa"/>
              <w:bottom w:w="0" w:type="dxa"/>
              <w:right w:w="79" w:type="dxa"/>
            </w:tcMar>
            <w:hideMark/>
          </w:tcPr>
          <w:p w14:paraId="47741FAA" w14:textId="77777777" w:rsidR="004A1E85" w:rsidRPr="00935B57" w:rsidRDefault="004A1E85" w:rsidP="004A1E85">
            <w:pPr>
              <w:spacing w:line="256" w:lineRule="auto"/>
              <w:rPr>
                <w:rFonts w:cs="Arial"/>
                <w:sz w:val="21"/>
                <w:szCs w:val="21"/>
                <w:lang w:val="fr-CA"/>
              </w:rPr>
            </w:pPr>
            <w:r w:rsidRPr="00935B57">
              <w:rPr>
                <w:rFonts w:asciiTheme="minorHAnsi" w:eastAsiaTheme="minorEastAsia" w:cstheme="minorBidi"/>
                <w:color w:val="000000" w:themeColor="text1"/>
                <w:kern w:val="24"/>
                <w:sz w:val="21"/>
                <w:szCs w:val="21"/>
                <w:lang w:val="fr-CA"/>
              </w:rPr>
              <w:t xml:space="preserve">Aucun rajustement aux prévisions n’est requis au niveau de la dg/région, sauf lorsque la prévision de dotation prévue totale doit être révisée après la date du transfert des données au module FM. </w:t>
            </w:r>
          </w:p>
          <w:p w14:paraId="4CEF98C5" w14:textId="77777777" w:rsidR="004A1E85" w:rsidRPr="00935B57" w:rsidRDefault="004A1E85" w:rsidP="004A1E85">
            <w:pPr>
              <w:spacing w:line="256" w:lineRule="auto"/>
              <w:rPr>
                <w:rFonts w:cs="Arial"/>
                <w:sz w:val="21"/>
                <w:szCs w:val="21"/>
                <w:lang w:val="fr-CA"/>
              </w:rPr>
            </w:pPr>
            <w:r w:rsidRPr="00935B57">
              <w:rPr>
                <w:rFonts w:asciiTheme="minorHAnsi" w:eastAsia="Calibri"/>
                <w:i/>
                <w:iCs/>
                <w:color w:val="000000" w:themeColor="text1"/>
                <w:kern w:val="24"/>
                <w:sz w:val="21"/>
                <w:szCs w:val="21"/>
                <w:lang w:val="fr-CA"/>
              </w:rPr>
              <w:t xml:space="preserve">* Un ajustement sera fait par la GRM pour éliminer l’impact de ce type de dotation prévue au niveau du ministère. </w:t>
            </w:r>
          </w:p>
        </w:tc>
      </w:tr>
      <w:tr w:rsidR="004A1E85" w:rsidRPr="009E576A" w14:paraId="6AA3A601" w14:textId="77777777" w:rsidTr="00026416">
        <w:trPr>
          <w:trHeight w:val="1778"/>
        </w:trPr>
        <w:tc>
          <w:tcPr>
            <w:tcW w:w="1418" w:type="dxa"/>
            <w:tcBorders>
              <w:top w:val="single" w:sz="8"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7741BED4" w14:textId="77777777" w:rsidR="004A1E85" w:rsidRPr="004A1E85" w:rsidRDefault="004A1E85" w:rsidP="004A1E85">
            <w:pPr>
              <w:spacing w:line="256" w:lineRule="auto"/>
              <w:rPr>
                <w:rFonts w:cs="Arial"/>
                <w:sz w:val="36"/>
                <w:szCs w:val="36"/>
              </w:rPr>
            </w:pPr>
            <w:r w:rsidRPr="004A1E85">
              <w:rPr>
                <w:rFonts w:cs="Arial"/>
                <w:b/>
                <w:bCs/>
                <w:color w:val="FFFFFF" w:themeColor="light1"/>
                <w:kern w:val="24"/>
                <w:sz w:val="22"/>
                <w:szCs w:val="22"/>
                <w:lang w:val="fr-CA"/>
              </w:rPr>
              <w:t>INT PS/FP</w:t>
            </w:r>
          </w:p>
        </w:tc>
        <w:tc>
          <w:tcPr>
            <w:tcW w:w="1559"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3042CA78"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FR"/>
              </w:rPr>
              <w:t>Externe ministère mais interne à la fonction publique</w:t>
            </w:r>
          </w:p>
        </w:tc>
        <w:tc>
          <w:tcPr>
            <w:tcW w:w="1701"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0D5E3663"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CA"/>
              </w:rPr>
              <w:t>Pour les poste qui seront dotés par l’entremise de détachement externe ou autre processus de recrutement d’un AMG.</w:t>
            </w:r>
          </w:p>
        </w:tc>
        <w:tc>
          <w:tcPr>
            <w:tcW w:w="2298"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725930CE"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CA"/>
              </w:rPr>
              <w:t xml:space="preserve">Ce type de dotation représente une augmentation nette aux prévisions des coûts salariaux de la dg/ région, ainsi que du ministère. </w:t>
            </w:r>
          </w:p>
        </w:tc>
        <w:tc>
          <w:tcPr>
            <w:tcW w:w="4506"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62B23B8E" w14:textId="77777777" w:rsidR="004A1E85" w:rsidRPr="00935B57" w:rsidRDefault="004A1E85" w:rsidP="004A1E85">
            <w:pPr>
              <w:spacing w:line="256" w:lineRule="auto"/>
              <w:rPr>
                <w:rFonts w:cs="Arial"/>
                <w:sz w:val="21"/>
                <w:szCs w:val="21"/>
                <w:lang w:val="fr-CA"/>
              </w:rPr>
            </w:pPr>
            <w:r w:rsidRPr="00935B57">
              <w:rPr>
                <w:rFonts w:cs="Arial"/>
                <w:color w:val="000000" w:themeColor="text1"/>
                <w:kern w:val="24"/>
                <w:sz w:val="21"/>
                <w:szCs w:val="21"/>
                <w:lang w:val="fr-FR"/>
              </w:rPr>
              <w:t xml:space="preserve">Aucun rajustement aux prévisions n’est requis au niveau de la dg/région, sauf lorsque la prévision de dotation prévue totale doit être révisée après la date du transfert des données au module FM. </w:t>
            </w:r>
          </w:p>
        </w:tc>
      </w:tr>
      <w:tr w:rsidR="004A1E85" w:rsidRPr="009E576A" w14:paraId="571DDF86" w14:textId="77777777" w:rsidTr="00026416">
        <w:trPr>
          <w:trHeight w:val="1778"/>
        </w:trPr>
        <w:tc>
          <w:tcPr>
            <w:tcW w:w="1418" w:type="dxa"/>
            <w:tcBorders>
              <w:top w:val="single" w:sz="8"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23245207" w14:textId="77777777" w:rsidR="004A1E85" w:rsidRPr="004A1E85" w:rsidRDefault="004A1E85" w:rsidP="004A1E85">
            <w:pPr>
              <w:rPr>
                <w:b/>
                <w:bCs/>
                <w:lang w:val="fr-CA"/>
              </w:rPr>
            </w:pPr>
            <w:r w:rsidRPr="00026416">
              <w:rPr>
                <w:b/>
                <w:bCs/>
                <w:color w:val="FFFFFF" w:themeColor="background1"/>
                <w:lang w:val="fr-CA"/>
              </w:rPr>
              <w:t>EXT PS/FP</w:t>
            </w:r>
          </w:p>
        </w:tc>
        <w:tc>
          <w:tcPr>
            <w:tcW w:w="1559"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436B8BF8" w14:textId="77777777" w:rsidR="004A1E85" w:rsidRPr="00935B57" w:rsidRDefault="004A1E85" w:rsidP="004A1E85">
            <w:pPr>
              <w:rPr>
                <w:sz w:val="21"/>
                <w:szCs w:val="21"/>
                <w:lang w:val="fr-FR"/>
              </w:rPr>
            </w:pPr>
            <w:r w:rsidRPr="00935B57">
              <w:rPr>
                <w:sz w:val="21"/>
                <w:szCs w:val="21"/>
                <w:lang w:val="fr-FR"/>
              </w:rPr>
              <w:t>Externe à la fonction publique</w:t>
            </w:r>
          </w:p>
        </w:tc>
        <w:tc>
          <w:tcPr>
            <w:tcW w:w="1701"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0FE57021" w14:textId="77777777" w:rsidR="004A1E85" w:rsidRPr="00935B57" w:rsidRDefault="004A1E85" w:rsidP="004A1E85">
            <w:pPr>
              <w:rPr>
                <w:sz w:val="21"/>
                <w:szCs w:val="21"/>
                <w:lang w:val="fr-CA"/>
              </w:rPr>
            </w:pPr>
            <w:r w:rsidRPr="00935B57">
              <w:rPr>
                <w:sz w:val="21"/>
                <w:szCs w:val="21"/>
                <w:lang w:val="fr-CA"/>
              </w:rPr>
              <w:t xml:space="preserve">Pour les postes qui seront dotés par l’entremise d’un processus de recrutement externe à la fonction publique. </w:t>
            </w:r>
          </w:p>
        </w:tc>
        <w:tc>
          <w:tcPr>
            <w:tcW w:w="2298"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700B5CF4" w14:textId="77777777" w:rsidR="004A1E85" w:rsidRPr="00935B57" w:rsidRDefault="004A1E85" w:rsidP="004A1E85">
            <w:pPr>
              <w:rPr>
                <w:sz w:val="21"/>
                <w:szCs w:val="21"/>
                <w:lang w:val="fr-CA"/>
              </w:rPr>
            </w:pPr>
            <w:r w:rsidRPr="00935B57">
              <w:rPr>
                <w:sz w:val="21"/>
                <w:szCs w:val="21"/>
                <w:lang w:val="fr-CA"/>
              </w:rPr>
              <w:t xml:space="preserve">Ce type de dotation représente une augmentation nette aux prévisions des coûts salariaux de la dg/ région, ainsi que du ministère. </w:t>
            </w:r>
          </w:p>
        </w:tc>
        <w:tc>
          <w:tcPr>
            <w:tcW w:w="4506"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7EF9FAF7" w14:textId="77777777" w:rsidR="004A1E85" w:rsidRPr="00935B57" w:rsidRDefault="004A1E85" w:rsidP="004A1E85">
            <w:pPr>
              <w:rPr>
                <w:sz w:val="21"/>
                <w:szCs w:val="21"/>
                <w:lang w:val="fr-FR"/>
              </w:rPr>
            </w:pPr>
            <w:r w:rsidRPr="00935B57">
              <w:rPr>
                <w:sz w:val="21"/>
                <w:szCs w:val="21"/>
                <w:lang w:val="fr-FR"/>
              </w:rPr>
              <w:t xml:space="preserve">Aucun rajustement aux prévisions n’est requis au niveau de la dg/région, sauf lorsque la prévision de dotation prévue totale doit être révisée après la date du transfert des données au module FM. </w:t>
            </w:r>
          </w:p>
        </w:tc>
      </w:tr>
      <w:tr w:rsidR="004A1E85" w:rsidRPr="009E576A" w14:paraId="2EE98AC8" w14:textId="77777777" w:rsidTr="00026416">
        <w:trPr>
          <w:trHeight w:val="1778"/>
        </w:trPr>
        <w:tc>
          <w:tcPr>
            <w:tcW w:w="1418" w:type="dxa"/>
            <w:tcBorders>
              <w:top w:val="single" w:sz="8" w:space="0" w:color="FFFFFF"/>
              <w:left w:val="single" w:sz="8" w:space="0" w:color="FFFFFF"/>
              <w:bottom w:val="single" w:sz="8" w:space="0" w:color="FFFFFF"/>
              <w:right w:val="single" w:sz="8" w:space="0" w:color="FFFFFF"/>
            </w:tcBorders>
            <w:shd w:val="clear" w:color="auto" w:fill="00ADBA"/>
            <w:tcMar>
              <w:top w:w="15" w:type="dxa"/>
              <w:left w:w="79" w:type="dxa"/>
              <w:bottom w:w="0" w:type="dxa"/>
              <w:right w:w="79" w:type="dxa"/>
            </w:tcMar>
            <w:hideMark/>
          </w:tcPr>
          <w:p w14:paraId="3014F305" w14:textId="77777777" w:rsidR="004A1E85" w:rsidRPr="004A1E85" w:rsidRDefault="004A1E85" w:rsidP="004A1E85">
            <w:pPr>
              <w:rPr>
                <w:b/>
                <w:bCs/>
                <w:lang w:val="fr-CA"/>
              </w:rPr>
            </w:pPr>
            <w:r w:rsidRPr="00026416">
              <w:rPr>
                <w:b/>
                <w:bCs/>
                <w:color w:val="FFFFFF" w:themeColor="background1"/>
                <w:lang w:val="fr-CA"/>
              </w:rPr>
              <w:t>PRI/CIDP</w:t>
            </w:r>
          </w:p>
        </w:tc>
        <w:tc>
          <w:tcPr>
            <w:tcW w:w="1559"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2EBBCA67" w14:textId="77777777" w:rsidR="004A1E85" w:rsidRPr="00935B57" w:rsidRDefault="004A1E85" w:rsidP="004A1E85">
            <w:pPr>
              <w:rPr>
                <w:sz w:val="21"/>
                <w:szCs w:val="21"/>
                <w:lang w:val="fr-FR"/>
              </w:rPr>
            </w:pPr>
            <w:r w:rsidRPr="00935B57">
              <w:rPr>
                <w:sz w:val="21"/>
                <w:szCs w:val="21"/>
                <w:lang w:val="fr-FR"/>
              </w:rPr>
              <w:t>Attente création CIDP</w:t>
            </w:r>
          </w:p>
        </w:tc>
        <w:tc>
          <w:tcPr>
            <w:tcW w:w="1701"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7550A51C" w14:textId="77777777" w:rsidR="004A1E85" w:rsidRPr="00935B57" w:rsidRDefault="004A1E85" w:rsidP="004A1E85">
            <w:pPr>
              <w:rPr>
                <w:sz w:val="21"/>
                <w:szCs w:val="21"/>
                <w:lang w:val="fr-CA"/>
              </w:rPr>
            </w:pPr>
            <w:r w:rsidRPr="00935B57">
              <w:rPr>
                <w:sz w:val="21"/>
                <w:szCs w:val="21"/>
                <w:lang w:val="fr-CA"/>
              </w:rPr>
              <w:t xml:space="preserve">Employé qui fait déjà partie de l’effectif mais pour lequel aucun CIDP est présentement disponible dans l’OPS. </w:t>
            </w:r>
          </w:p>
        </w:tc>
        <w:tc>
          <w:tcPr>
            <w:tcW w:w="2298"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31DB1F41" w14:textId="77777777" w:rsidR="004A1E85" w:rsidRPr="00935B57" w:rsidRDefault="004A1E85" w:rsidP="004A1E85">
            <w:pPr>
              <w:rPr>
                <w:sz w:val="21"/>
                <w:szCs w:val="21"/>
                <w:lang w:val="fr-CA"/>
              </w:rPr>
            </w:pPr>
            <w:r w:rsidRPr="00935B57">
              <w:rPr>
                <w:sz w:val="21"/>
                <w:szCs w:val="21"/>
                <w:lang w:val="fr-CA"/>
              </w:rPr>
              <w:t xml:space="preserve">Ce type de dotation représente une augmentation nette aux prévisions des coûts salariaux de la dg/ région, ainsi que du ministère. Cependant, parce que ces employés font déjà parti de l’effectif, ce montant devrait être enlevé de la dotation prévue et ajouté aux prévisions des coûts salariaux opérationnels.  </w:t>
            </w:r>
          </w:p>
        </w:tc>
        <w:tc>
          <w:tcPr>
            <w:tcW w:w="4506" w:type="dxa"/>
            <w:tcBorders>
              <w:top w:val="single" w:sz="8" w:space="0" w:color="FFFFFF"/>
              <w:left w:val="single" w:sz="8" w:space="0" w:color="FFFFFF"/>
              <w:bottom w:val="single" w:sz="8" w:space="0" w:color="FFFFFF"/>
              <w:right w:val="single" w:sz="8" w:space="0" w:color="FFFFFF"/>
            </w:tcBorders>
            <w:shd w:val="clear" w:color="auto" w:fill="CBE3E7"/>
            <w:tcMar>
              <w:top w:w="15" w:type="dxa"/>
              <w:left w:w="79" w:type="dxa"/>
              <w:bottom w:w="0" w:type="dxa"/>
              <w:right w:w="79" w:type="dxa"/>
            </w:tcMar>
            <w:hideMark/>
          </w:tcPr>
          <w:p w14:paraId="3E4AD2A9" w14:textId="77777777" w:rsidR="00F23480" w:rsidRPr="00935B57" w:rsidRDefault="00654666" w:rsidP="004A1E85">
            <w:pPr>
              <w:numPr>
                <w:ilvl w:val="0"/>
                <w:numId w:val="30"/>
              </w:numPr>
              <w:rPr>
                <w:sz w:val="21"/>
                <w:szCs w:val="21"/>
                <w:lang w:val="fr-FR"/>
              </w:rPr>
            </w:pPr>
            <w:r w:rsidRPr="00935B57">
              <w:rPr>
                <w:sz w:val="21"/>
                <w:szCs w:val="21"/>
                <w:lang w:val="fr-FR"/>
              </w:rPr>
              <w:t>Identifier le total de la dotation prévue pour le type de dotation prévue « PRI/CIDP » ;</w:t>
            </w:r>
          </w:p>
          <w:p w14:paraId="57807343" w14:textId="77777777" w:rsidR="00F23480" w:rsidRPr="00935B57" w:rsidRDefault="00654666" w:rsidP="004A1E85">
            <w:pPr>
              <w:numPr>
                <w:ilvl w:val="0"/>
                <w:numId w:val="30"/>
              </w:numPr>
              <w:rPr>
                <w:sz w:val="21"/>
                <w:szCs w:val="21"/>
                <w:lang w:val="fr-FR"/>
              </w:rPr>
            </w:pPr>
            <w:r w:rsidRPr="00935B57">
              <w:rPr>
                <w:sz w:val="21"/>
                <w:szCs w:val="21"/>
                <w:lang w:val="fr-FR"/>
              </w:rPr>
              <w:t xml:space="preserve">Créer un ajustement supplémentaire (FADJ) pour augmenter la prévision salariale régulière ; </w:t>
            </w:r>
          </w:p>
          <w:p w14:paraId="75D2B152" w14:textId="77777777" w:rsidR="00F23480" w:rsidRPr="00935B57" w:rsidRDefault="00654666" w:rsidP="004A1E85">
            <w:pPr>
              <w:numPr>
                <w:ilvl w:val="0"/>
                <w:numId w:val="30"/>
              </w:numPr>
              <w:rPr>
                <w:sz w:val="21"/>
                <w:szCs w:val="21"/>
                <w:lang w:val="fr-FR"/>
              </w:rPr>
            </w:pPr>
            <w:r w:rsidRPr="00935B57">
              <w:rPr>
                <w:sz w:val="21"/>
                <w:szCs w:val="21"/>
                <w:lang w:val="fr-FR"/>
              </w:rPr>
              <w:t xml:space="preserve">Créer un ajustement négatif (FAPS) pour réduire la prévision pour la dotation prévue. </w:t>
            </w:r>
          </w:p>
        </w:tc>
      </w:tr>
    </w:tbl>
    <w:p w14:paraId="507DD506" w14:textId="77777777" w:rsidR="004A1E85" w:rsidRDefault="004A1E85" w:rsidP="00844876">
      <w:pPr>
        <w:rPr>
          <w:lang w:val="fr-CA"/>
        </w:rPr>
      </w:pPr>
    </w:p>
    <w:p w14:paraId="06623421" w14:textId="77777777" w:rsidR="00844876" w:rsidRDefault="00844876" w:rsidP="00844876">
      <w:pPr>
        <w:rPr>
          <w:lang w:val="fr-CA"/>
        </w:rPr>
      </w:pPr>
    </w:p>
    <w:p w14:paraId="00768D84" w14:textId="77777777" w:rsidR="00844876" w:rsidRDefault="00844876" w:rsidP="00844876">
      <w:pPr>
        <w:rPr>
          <w:lang w:val="fr-CA"/>
        </w:rPr>
      </w:pPr>
    </w:p>
    <w:p w14:paraId="5F1FA4EB" w14:textId="77777777" w:rsidR="00844876" w:rsidRDefault="00844876" w:rsidP="00844876">
      <w:pPr>
        <w:rPr>
          <w:lang w:val="fr-CA"/>
        </w:rPr>
      </w:pPr>
    </w:p>
    <w:p w14:paraId="5C06AC67" w14:textId="77777777" w:rsidR="00844876" w:rsidRDefault="00844876" w:rsidP="00844876">
      <w:pPr>
        <w:rPr>
          <w:lang w:val="fr-CA"/>
        </w:rPr>
      </w:pPr>
    </w:p>
    <w:p w14:paraId="0710D957" w14:textId="77777777" w:rsidR="00844876" w:rsidRDefault="00844876" w:rsidP="00844876">
      <w:pPr>
        <w:rPr>
          <w:lang w:val="fr-CA"/>
        </w:rPr>
      </w:pPr>
    </w:p>
    <w:p w14:paraId="2C6EA3FE" w14:textId="77777777" w:rsidR="00844876" w:rsidRDefault="00844876" w:rsidP="00844876">
      <w:pPr>
        <w:rPr>
          <w:lang w:val="fr-CA"/>
        </w:rPr>
      </w:pPr>
    </w:p>
    <w:p w14:paraId="2B960265" w14:textId="77777777" w:rsidR="00844876" w:rsidRDefault="00844876" w:rsidP="00844876">
      <w:pPr>
        <w:rPr>
          <w:lang w:val="fr-CA"/>
        </w:rPr>
      </w:pPr>
    </w:p>
    <w:p w14:paraId="34E69C3B" w14:textId="77777777" w:rsidR="00844876" w:rsidRDefault="00844876" w:rsidP="00844876">
      <w:pPr>
        <w:rPr>
          <w:lang w:val="fr-CA"/>
        </w:rPr>
      </w:pPr>
      <w:bookmarkStart w:id="75" w:name="_Toc419208352"/>
    </w:p>
    <w:p w14:paraId="0E045E7A" w14:textId="77777777" w:rsidR="00935B57" w:rsidRDefault="00935B57" w:rsidP="00844876">
      <w:pPr>
        <w:rPr>
          <w:lang w:val="fr-CA"/>
        </w:rPr>
      </w:pPr>
    </w:p>
    <w:p w14:paraId="58A91608" w14:textId="77777777" w:rsidR="00935B57" w:rsidRDefault="00935B57" w:rsidP="00844876">
      <w:pPr>
        <w:rPr>
          <w:lang w:val="fr-CA"/>
        </w:rPr>
      </w:pPr>
    </w:p>
    <w:p w14:paraId="69BF1515" w14:textId="77777777" w:rsidR="00935B57" w:rsidRDefault="00935B57" w:rsidP="00844876">
      <w:pPr>
        <w:rPr>
          <w:lang w:val="fr-CA"/>
        </w:rPr>
      </w:pPr>
    </w:p>
    <w:p w14:paraId="6298C136" w14:textId="77777777" w:rsidR="00935B57" w:rsidRPr="003F1788" w:rsidRDefault="00935B57" w:rsidP="00844876">
      <w:pPr>
        <w:rPr>
          <w:lang w:val="fr-CA"/>
        </w:rPr>
      </w:pPr>
    </w:p>
    <w:p w14:paraId="193914C1" w14:textId="0A0984B5" w:rsidR="00844876" w:rsidRPr="003F1788" w:rsidRDefault="00844876" w:rsidP="00844876">
      <w:pPr>
        <w:pStyle w:val="Heading1"/>
        <w:rPr>
          <w:lang w:val="fr-CA"/>
        </w:rPr>
      </w:pPr>
      <w:bookmarkStart w:id="76" w:name="_Toc513716525"/>
      <w:bookmarkStart w:id="77" w:name="_Toc72402536"/>
      <w:bookmarkEnd w:id="75"/>
      <w:r w:rsidRPr="003F1788">
        <w:rPr>
          <w:lang w:val="fr-CA"/>
        </w:rPr>
        <w:t xml:space="preserve">ANNEXE </w:t>
      </w:r>
      <w:r w:rsidR="000E5831">
        <w:rPr>
          <w:lang w:val="fr-CA"/>
        </w:rPr>
        <w:t>C</w:t>
      </w:r>
      <w:r w:rsidRPr="003F1788">
        <w:rPr>
          <w:lang w:val="fr-CA"/>
        </w:rPr>
        <w:t xml:space="preserve"> – Catégories Autre personnel Comptes GL</w:t>
      </w:r>
      <w:bookmarkEnd w:id="76"/>
      <w:bookmarkEnd w:id="77"/>
    </w:p>
    <w:p w14:paraId="3DDDE550" w14:textId="77777777" w:rsidR="00844876" w:rsidRPr="00F948FA" w:rsidRDefault="00844876" w:rsidP="00844876">
      <w:pPr>
        <w:rPr>
          <w:b/>
          <w:sz w:val="16"/>
          <w:lang w:val="fr-CA"/>
        </w:rPr>
      </w:pPr>
      <w:bookmarkStart w:id="78" w:name="_Toc419208359"/>
    </w:p>
    <w:p w14:paraId="04B3068F" w14:textId="77777777" w:rsidR="00844876" w:rsidRPr="00F948FA" w:rsidRDefault="00844876" w:rsidP="00844876">
      <w:pPr>
        <w:spacing w:after="120"/>
        <w:rPr>
          <w:b/>
          <w:sz w:val="28"/>
          <w:lang w:val="fr-CA"/>
        </w:rPr>
      </w:pPr>
      <w:r w:rsidRPr="00F948FA">
        <w:rPr>
          <w:b/>
          <w:sz w:val="28"/>
          <w:lang w:val="fr-CA"/>
        </w:rPr>
        <w:t>Prévision globale – Autre personnel – CB 91110</w:t>
      </w:r>
      <w:bookmarkEnd w:id="78"/>
    </w:p>
    <w:p w14:paraId="630F3CEA" w14:textId="77777777" w:rsidR="00844876" w:rsidRDefault="00844876" w:rsidP="00844876">
      <w:pPr>
        <w:rPr>
          <w:lang w:val="fr-CA"/>
        </w:rPr>
      </w:pPr>
      <w:r w:rsidRPr="003F1788">
        <w:rPr>
          <w:lang w:val="fr-CA"/>
        </w:rPr>
        <w:t xml:space="preserve">Une prévision pour </w:t>
      </w:r>
      <w:r w:rsidRPr="003F1788">
        <w:rPr>
          <w:u w:val="single"/>
          <w:lang w:val="fr-CA"/>
        </w:rPr>
        <w:t>Autre personnel</w:t>
      </w:r>
      <w:r w:rsidRPr="003F1788">
        <w:rPr>
          <w:lang w:val="fr-CA"/>
        </w:rPr>
        <w:t xml:space="preserve"> devrait uniquement être créée pour les types de dépenses codées aux comptes de GL suivants:</w:t>
      </w:r>
    </w:p>
    <w:p w14:paraId="5AA0DA36" w14:textId="77777777" w:rsidR="00844876" w:rsidRDefault="00844876" w:rsidP="00844876">
      <w:pPr>
        <w:numPr>
          <w:ilvl w:val="0"/>
          <w:numId w:val="9"/>
        </w:numPr>
        <w:spacing w:before="80"/>
        <w:ind w:left="714" w:hanging="357"/>
        <w:rPr>
          <w:bCs/>
          <w:lang w:val="fr-CA"/>
        </w:rPr>
      </w:pPr>
      <w:r w:rsidRPr="00CA47A2">
        <w:rPr>
          <w:bCs/>
          <w:lang w:val="fr-CA"/>
        </w:rPr>
        <w:t>Paiement forfaitaire - Employés Indéterminés</w:t>
      </w:r>
      <w:r>
        <w:rPr>
          <w:bCs/>
          <w:lang w:val="fr-CA"/>
        </w:rPr>
        <w:t xml:space="preserve"> (GL 521105)</w:t>
      </w:r>
    </w:p>
    <w:p w14:paraId="67E03776" w14:textId="77777777" w:rsidR="00844876" w:rsidRPr="00CA47A2" w:rsidRDefault="00844876" w:rsidP="00844876">
      <w:pPr>
        <w:numPr>
          <w:ilvl w:val="0"/>
          <w:numId w:val="9"/>
        </w:numPr>
        <w:spacing w:before="80"/>
        <w:ind w:left="714" w:hanging="357"/>
        <w:rPr>
          <w:bCs/>
          <w:lang w:val="fr-CA"/>
        </w:rPr>
      </w:pPr>
      <w:r w:rsidRPr="00CA47A2">
        <w:rPr>
          <w:bCs/>
          <w:lang w:val="fr-CA"/>
        </w:rPr>
        <w:t>Paiement forfaitaire - Employés déterminés</w:t>
      </w:r>
      <w:r>
        <w:rPr>
          <w:bCs/>
          <w:lang w:val="fr-CA"/>
        </w:rPr>
        <w:t xml:space="preserve"> (GL 521205)</w:t>
      </w:r>
    </w:p>
    <w:p w14:paraId="1FBC8EA6" w14:textId="77777777" w:rsidR="00844876" w:rsidRPr="003F1788" w:rsidRDefault="00844876" w:rsidP="00844876">
      <w:pPr>
        <w:numPr>
          <w:ilvl w:val="0"/>
          <w:numId w:val="9"/>
        </w:numPr>
        <w:spacing w:before="80"/>
        <w:ind w:left="714" w:hanging="357"/>
        <w:rPr>
          <w:bCs/>
          <w:lang w:val="fr-CA"/>
        </w:rPr>
      </w:pPr>
      <w:r w:rsidRPr="003F1788">
        <w:rPr>
          <w:bCs/>
          <w:lang w:val="fr-CA"/>
        </w:rPr>
        <w:t>Primes pour le travail hors des heures régulières (GL 521301)</w:t>
      </w:r>
    </w:p>
    <w:p w14:paraId="1FB9358C" w14:textId="77777777" w:rsidR="00844876" w:rsidRPr="003F1788" w:rsidRDefault="00844876" w:rsidP="00844876">
      <w:pPr>
        <w:numPr>
          <w:ilvl w:val="0"/>
          <w:numId w:val="9"/>
        </w:numPr>
        <w:spacing w:before="80"/>
        <w:ind w:left="714" w:hanging="357"/>
        <w:rPr>
          <w:bCs/>
          <w:lang w:val="fr-CA"/>
        </w:rPr>
      </w:pPr>
      <w:r w:rsidRPr="003F1788">
        <w:rPr>
          <w:bCs/>
          <w:lang w:val="fr-CA"/>
        </w:rPr>
        <w:t>Salaires rétroactifs - Équité salariale (GL 521921)</w:t>
      </w:r>
    </w:p>
    <w:p w14:paraId="1F47FB07" w14:textId="77777777" w:rsidR="00844876" w:rsidRPr="003F1788" w:rsidRDefault="00844876" w:rsidP="00844876">
      <w:pPr>
        <w:numPr>
          <w:ilvl w:val="0"/>
          <w:numId w:val="9"/>
        </w:numPr>
        <w:spacing w:before="80"/>
        <w:ind w:left="714" w:hanging="357"/>
        <w:rPr>
          <w:bCs/>
          <w:lang w:val="fr-CA"/>
        </w:rPr>
      </w:pPr>
      <w:r w:rsidRPr="003F1788">
        <w:rPr>
          <w:bCs/>
          <w:lang w:val="fr-CA"/>
        </w:rPr>
        <w:t>Allocation compensatoire pour les dépenses des employés (GL 523101)</w:t>
      </w:r>
    </w:p>
    <w:p w14:paraId="2775F3BE" w14:textId="77777777" w:rsidR="00844876" w:rsidRPr="003F1788" w:rsidRDefault="00844876" w:rsidP="00844876">
      <w:pPr>
        <w:numPr>
          <w:ilvl w:val="0"/>
          <w:numId w:val="9"/>
        </w:numPr>
        <w:spacing w:before="80"/>
        <w:ind w:left="714" w:hanging="357"/>
        <w:rPr>
          <w:bCs/>
          <w:lang w:val="fr-CA"/>
        </w:rPr>
      </w:pPr>
      <w:r w:rsidRPr="003F1788">
        <w:rPr>
          <w:bCs/>
          <w:lang w:val="fr-CA"/>
        </w:rPr>
        <w:t>Allocation pour équité salariale (GL 523301)</w:t>
      </w:r>
    </w:p>
    <w:p w14:paraId="73147C57" w14:textId="77777777" w:rsidR="00844876" w:rsidRPr="003F1788" w:rsidRDefault="00844876" w:rsidP="00844876">
      <w:pPr>
        <w:numPr>
          <w:ilvl w:val="0"/>
          <w:numId w:val="9"/>
        </w:numPr>
        <w:spacing w:before="80"/>
        <w:rPr>
          <w:bCs/>
          <w:lang w:val="fr-CA"/>
        </w:rPr>
      </w:pPr>
      <w:r w:rsidRPr="003F1788">
        <w:rPr>
          <w:bCs/>
          <w:lang w:val="fr-CA"/>
        </w:rPr>
        <w:t>Intérêts sur l'équité salariale (GL 523311)</w:t>
      </w:r>
    </w:p>
    <w:p w14:paraId="73F2F7E9" w14:textId="77777777" w:rsidR="00844876" w:rsidRPr="003F1788" w:rsidRDefault="00844876" w:rsidP="00844876">
      <w:pPr>
        <w:numPr>
          <w:ilvl w:val="0"/>
          <w:numId w:val="9"/>
        </w:numPr>
        <w:spacing w:before="80"/>
        <w:rPr>
          <w:bCs/>
          <w:lang w:val="en-US"/>
        </w:rPr>
      </w:pPr>
      <w:r w:rsidRPr="003F1788">
        <w:rPr>
          <w:bCs/>
          <w:lang w:val="en-US"/>
        </w:rPr>
        <w:t>Rajustement de péréquation (GL 523501)</w:t>
      </w:r>
    </w:p>
    <w:p w14:paraId="4B1D8B79" w14:textId="77777777" w:rsidR="00844876" w:rsidRPr="003F1788" w:rsidRDefault="00844876" w:rsidP="00844876">
      <w:pPr>
        <w:numPr>
          <w:ilvl w:val="0"/>
          <w:numId w:val="9"/>
        </w:numPr>
        <w:spacing w:before="80"/>
        <w:rPr>
          <w:bCs/>
          <w:lang w:val="en-US"/>
        </w:rPr>
      </w:pPr>
      <w:r w:rsidRPr="003F1788">
        <w:rPr>
          <w:bCs/>
          <w:lang w:val="en-US"/>
        </w:rPr>
        <w:t>Autres indemnités spécifiées (GL 523561)</w:t>
      </w:r>
    </w:p>
    <w:p w14:paraId="477C751A" w14:textId="77777777" w:rsidR="00844876" w:rsidRPr="003F1788" w:rsidRDefault="00844876" w:rsidP="00844876">
      <w:pPr>
        <w:numPr>
          <w:ilvl w:val="0"/>
          <w:numId w:val="9"/>
        </w:numPr>
        <w:spacing w:before="80"/>
        <w:rPr>
          <w:bCs/>
          <w:lang w:val="fr-CA"/>
        </w:rPr>
      </w:pPr>
      <w:r w:rsidRPr="003F1788">
        <w:rPr>
          <w:bCs/>
          <w:lang w:val="fr-CA"/>
        </w:rPr>
        <w:t>Prestations supplémentaires aux employés (GL 524201)</w:t>
      </w:r>
    </w:p>
    <w:p w14:paraId="0CA53F9D" w14:textId="77777777" w:rsidR="00844876" w:rsidRPr="003F1788" w:rsidRDefault="00844876" w:rsidP="00844876">
      <w:pPr>
        <w:numPr>
          <w:ilvl w:val="0"/>
          <w:numId w:val="9"/>
        </w:numPr>
        <w:spacing w:before="80"/>
        <w:rPr>
          <w:bCs/>
          <w:lang w:val="fr-CA"/>
        </w:rPr>
      </w:pPr>
      <w:r w:rsidRPr="003F1788">
        <w:rPr>
          <w:bCs/>
          <w:lang w:val="fr-CA"/>
        </w:rPr>
        <w:t>Autres frais supplémentaires relatifs au personnel (GL 524401)</w:t>
      </w:r>
    </w:p>
    <w:p w14:paraId="3A86235B" w14:textId="77777777" w:rsidR="00844876" w:rsidRPr="00F948FA" w:rsidRDefault="00844876" w:rsidP="00844876">
      <w:pPr>
        <w:rPr>
          <w:b/>
          <w:sz w:val="22"/>
          <w:lang w:val="fr-CA"/>
        </w:rPr>
      </w:pPr>
      <w:bookmarkStart w:id="79" w:name="_Toc419208360"/>
    </w:p>
    <w:p w14:paraId="4707322D" w14:textId="77777777" w:rsidR="00844876" w:rsidRPr="00F948FA" w:rsidRDefault="00844876" w:rsidP="00844876">
      <w:pPr>
        <w:spacing w:after="120"/>
        <w:rPr>
          <w:b/>
          <w:sz w:val="28"/>
          <w:lang w:val="fr-CA"/>
        </w:rPr>
      </w:pPr>
      <w:r w:rsidRPr="00F948FA">
        <w:rPr>
          <w:b/>
          <w:sz w:val="28"/>
          <w:lang w:val="fr-CA"/>
        </w:rPr>
        <w:t>Ajustement FMBB – Autre personnel non lié à un CIDP – CB 91112</w:t>
      </w:r>
      <w:bookmarkEnd w:id="79"/>
    </w:p>
    <w:p w14:paraId="7A1CB333" w14:textId="77777777" w:rsidR="00844876" w:rsidRPr="003F1788" w:rsidRDefault="00844876" w:rsidP="00844876">
      <w:pPr>
        <w:rPr>
          <w:bCs/>
          <w:lang w:val="fr-CA"/>
        </w:rPr>
      </w:pPr>
      <w:r w:rsidRPr="003F1788">
        <w:rPr>
          <w:lang w:val="fr-CA"/>
        </w:rPr>
        <w:t xml:space="preserve">Une prévision pour </w:t>
      </w:r>
      <w:r w:rsidRPr="003F1788">
        <w:rPr>
          <w:u w:val="single"/>
          <w:lang w:val="fr-CA"/>
        </w:rPr>
        <w:t xml:space="preserve">Autre personne non lié à un CIDP </w:t>
      </w:r>
      <w:r w:rsidRPr="003F1788">
        <w:rPr>
          <w:lang w:val="fr-CA"/>
        </w:rPr>
        <w:t>devrait uniquement être créée pour les types de dépenses codées aux comptes de GL suivants:</w:t>
      </w:r>
    </w:p>
    <w:p w14:paraId="3A1396FA" w14:textId="77777777" w:rsidR="00844876" w:rsidRPr="003F1788" w:rsidRDefault="00844876" w:rsidP="00844876">
      <w:pPr>
        <w:numPr>
          <w:ilvl w:val="0"/>
          <w:numId w:val="9"/>
        </w:numPr>
        <w:spacing w:before="80"/>
        <w:rPr>
          <w:bCs/>
          <w:lang w:val="fr-CA"/>
        </w:rPr>
      </w:pPr>
      <w:r w:rsidRPr="003F1788">
        <w:rPr>
          <w:bCs/>
          <w:lang w:val="fr-CA"/>
        </w:rPr>
        <w:t>Programmes à frais partagés - Paiements aux AMG - Frais de Personnel (GL 525111)</w:t>
      </w:r>
    </w:p>
    <w:p w14:paraId="1C93BA95" w14:textId="77777777" w:rsidR="00844876" w:rsidRPr="003F1788" w:rsidRDefault="00844876" w:rsidP="00844876">
      <w:pPr>
        <w:numPr>
          <w:ilvl w:val="0"/>
          <w:numId w:val="9"/>
        </w:numPr>
        <w:spacing w:before="80"/>
        <w:rPr>
          <w:bCs/>
          <w:lang w:val="fr-CA"/>
        </w:rPr>
      </w:pPr>
      <w:r w:rsidRPr="003F1788">
        <w:rPr>
          <w:bCs/>
          <w:lang w:val="fr-CA"/>
        </w:rPr>
        <w:t>Programmes à frais partagés - Recouvrement des AMG - Frais de personnel (GL 525112)</w:t>
      </w:r>
    </w:p>
    <w:p w14:paraId="6A699DB9" w14:textId="77777777" w:rsidR="00844876" w:rsidRPr="003F1788" w:rsidRDefault="00844876" w:rsidP="00844876">
      <w:pPr>
        <w:numPr>
          <w:ilvl w:val="0"/>
          <w:numId w:val="9"/>
        </w:numPr>
        <w:spacing w:before="80"/>
        <w:rPr>
          <w:bCs/>
          <w:lang w:val="fr-CA"/>
        </w:rPr>
      </w:pPr>
      <w:r w:rsidRPr="003F1788">
        <w:rPr>
          <w:bCs/>
          <w:lang w:val="fr-CA"/>
        </w:rPr>
        <w:t>Coût d'accroissement d'autres crédits - Paiements aux AMG - Frais de personnel (GL 525121)</w:t>
      </w:r>
    </w:p>
    <w:p w14:paraId="70D4B9DD" w14:textId="77777777" w:rsidR="00844876" w:rsidRPr="003F1788" w:rsidRDefault="00844876" w:rsidP="00844876">
      <w:pPr>
        <w:numPr>
          <w:ilvl w:val="0"/>
          <w:numId w:val="9"/>
        </w:numPr>
        <w:spacing w:before="80"/>
        <w:rPr>
          <w:bCs/>
          <w:lang w:val="fr-CA"/>
        </w:rPr>
      </w:pPr>
      <w:r w:rsidRPr="003F1788">
        <w:rPr>
          <w:bCs/>
          <w:lang w:val="fr-CA"/>
        </w:rPr>
        <w:t>Recouvrements des dépenses d'accroissement d'autres crédits - Recouvrement des AMG - Frais de personnel (GL 525122)</w:t>
      </w:r>
    </w:p>
    <w:p w14:paraId="2BEB5690" w14:textId="77777777" w:rsidR="00844876" w:rsidRPr="003F1788" w:rsidRDefault="00844876" w:rsidP="00844876">
      <w:pPr>
        <w:numPr>
          <w:ilvl w:val="0"/>
          <w:numId w:val="9"/>
        </w:numPr>
        <w:spacing w:before="80"/>
        <w:rPr>
          <w:bCs/>
          <w:lang w:val="fr-CA"/>
        </w:rPr>
      </w:pPr>
      <w:r w:rsidRPr="003F1788">
        <w:rPr>
          <w:bCs/>
          <w:lang w:val="fr-CA"/>
        </w:rPr>
        <w:t>Réaffectation de dépense et coût à l'intérieur d'EDSC - Charges - Frais de personnel (GL 525202)</w:t>
      </w:r>
    </w:p>
    <w:p w14:paraId="7E648EC7" w14:textId="77777777" w:rsidR="00844876" w:rsidRPr="003F1788" w:rsidRDefault="00844876" w:rsidP="00844876">
      <w:pPr>
        <w:numPr>
          <w:ilvl w:val="0"/>
          <w:numId w:val="9"/>
        </w:numPr>
        <w:spacing w:before="80"/>
        <w:rPr>
          <w:bCs/>
          <w:lang w:val="fr-CA"/>
        </w:rPr>
      </w:pPr>
      <w:r w:rsidRPr="003F1788">
        <w:rPr>
          <w:bCs/>
          <w:lang w:val="fr-CA"/>
        </w:rPr>
        <w:t>Réaffectation de dépense et coût à l'intérieur d'EDSC - Recouvrements - Frais de personnel (GL 525203)</w:t>
      </w:r>
    </w:p>
    <w:p w14:paraId="72C65888" w14:textId="77777777" w:rsidR="00844876" w:rsidRPr="003F1788" w:rsidRDefault="000072DD" w:rsidP="000072DD">
      <w:pPr>
        <w:numPr>
          <w:ilvl w:val="0"/>
          <w:numId w:val="9"/>
        </w:numPr>
        <w:spacing w:before="80"/>
        <w:rPr>
          <w:bCs/>
          <w:lang w:val="fr-CA"/>
        </w:rPr>
      </w:pPr>
      <w:r w:rsidRPr="000072DD">
        <w:rPr>
          <w:bCs/>
          <w:lang w:val="fr-CA"/>
        </w:rPr>
        <w:t xml:space="preserve">Services d'information personnalisés (SIP) - Charges internes - Frais de personnel </w:t>
      </w:r>
      <w:r w:rsidR="00844876" w:rsidRPr="003F1788">
        <w:rPr>
          <w:bCs/>
          <w:lang w:val="fr-CA"/>
        </w:rPr>
        <w:t>(GL 525211)</w:t>
      </w:r>
    </w:p>
    <w:p w14:paraId="3E3F5D81" w14:textId="77777777" w:rsidR="00844876" w:rsidRPr="003F1788" w:rsidRDefault="000072DD" w:rsidP="00844876">
      <w:pPr>
        <w:numPr>
          <w:ilvl w:val="0"/>
          <w:numId w:val="9"/>
        </w:numPr>
        <w:spacing w:before="80"/>
        <w:rPr>
          <w:bCs/>
          <w:lang w:val="fr-CA"/>
        </w:rPr>
      </w:pPr>
      <w:r w:rsidRPr="000072DD">
        <w:rPr>
          <w:bCs/>
          <w:lang w:val="fr-CA"/>
        </w:rPr>
        <w:t>Services d'information personnalisés (SIP) - Recouvrements internes - Frais de personnel</w:t>
      </w:r>
      <w:r w:rsidRPr="003F1788">
        <w:rPr>
          <w:bCs/>
          <w:lang w:val="fr-CA"/>
        </w:rPr>
        <w:t xml:space="preserve"> </w:t>
      </w:r>
      <w:r w:rsidR="00844876" w:rsidRPr="003F1788">
        <w:rPr>
          <w:bCs/>
          <w:lang w:val="fr-CA"/>
        </w:rPr>
        <w:t>(GL 525212)</w:t>
      </w:r>
    </w:p>
    <w:p w14:paraId="1FF300B2" w14:textId="77777777" w:rsidR="00844876" w:rsidRPr="003F1788" w:rsidRDefault="00844876" w:rsidP="00844876">
      <w:pPr>
        <w:numPr>
          <w:ilvl w:val="0"/>
          <w:numId w:val="9"/>
        </w:numPr>
        <w:spacing w:before="80"/>
        <w:rPr>
          <w:bCs/>
          <w:lang w:val="fr-CA"/>
        </w:rPr>
      </w:pPr>
      <w:r w:rsidRPr="003F1788">
        <w:rPr>
          <w:bCs/>
          <w:lang w:val="fr-CA"/>
        </w:rPr>
        <w:t>Administration de la LIAÉ - Dépenses de demandes d'indemnisation - Employés d'EDSC (GL 526701)</w:t>
      </w:r>
    </w:p>
    <w:p w14:paraId="486E768B" w14:textId="77777777" w:rsidR="00844876" w:rsidRPr="003F1788" w:rsidRDefault="00844876" w:rsidP="00844876">
      <w:pPr>
        <w:numPr>
          <w:ilvl w:val="0"/>
          <w:numId w:val="9"/>
        </w:numPr>
        <w:spacing w:before="80"/>
        <w:rPr>
          <w:bCs/>
          <w:lang w:val="fr-CA"/>
        </w:rPr>
      </w:pPr>
      <w:r w:rsidRPr="003F1788">
        <w:rPr>
          <w:bCs/>
          <w:lang w:val="fr-CA"/>
        </w:rPr>
        <w:t>Frais de services administratifs généraux - Paiements aux AMG - Frais de personnel (GL 525101)</w:t>
      </w:r>
    </w:p>
    <w:p w14:paraId="50C69015" w14:textId="4B37A368" w:rsidR="009649B1" w:rsidRDefault="00844876" w:rsidP="00844876">
      <w:pPr>
        <w:numPr>
          <w:ilvl w:val="0"/>
          <w:numId w:val="9"/>
        </w:numPr>
        <w:spacing w:before="80"/>
        <w:rPr>
          <w:bCs/>
          <w:lang w:val="fr-CA"/>
        </w:rPr>
      </w:pPr>
      <w:r w:rsidRPr="003F1788">
        <w:rPr>
          <w:bCs/>
          <w:lang w:val="fr-CA"/>
        </w:rPr>
        <w:t>Frais de services administratifs généraux - Recouvrement des AMG - Frais de personnel (GL 525102)</w:t>
      </w:r>
    </w:p>
    <w:p w14:paraId="1831D7FC" w14:textId="0FC33225" w:rsidR="00844876" w:rsidRPr="003F1788" w:rsidRDefault="009649B1" w:rsidP="009E576A">
      <w:pPr>
        <w:rPr>
          <w:bCs/>
          <w:lang w:val="fr-CA"/>
        </w:rPr>
      </w:pPr>
      <w:r>
        <w:rPr>
          <w:bCs/>
          <w:lang w:val="fr-CA"/>
        </w:rPr>
        <w:br w:type="page"/>
      </w:r>
    </w:p>
    <w:p w14:paraId="6C924A72" w14:textId="24B39977" w:rsidR="00844876" w:rsidRPr="003F1788" w:rsidRDefault="0048702B" w:rsidP="00844876">
      <w:pPr>
        <w:pStyle w:val="Heading1"/>
        <w:rPr>
          <w:lang w:val="fr-CA"/>
        </w:rPr>
      </w:pPr>
      <w:bookmarkStart w:id="80" w:name="_Toc513716526"/>
      <w:bookmarkStart w:id="81" w:name="_Toc72402537"/>
      <w:r>
        <w:rPr>
          <w:lang w:val="fr-CA"/>
        </w:rPr>
        <w:t>ANNEXE D</w:t>
      </w:r>
      <w:r w:rsidR="00844876" w:rsidRPr="003F1788">
        <w:rPr>
          <w:lang w:val="fr-CA"/>
        </w:rPr>
        <w:t xml:space="preserve"> –  </w:t>
      </w:r>
      <w:r w:rsidR="00844876">
        <w:rPr>
          <w:lang w:val="fr-CA"/>
        </w:rPr>
        <w:t>Rapports et documentations</w:t>
      </w:r>
      <w:r w:rsidR="00844876" w:rsidRPr="003F1788">
        <w:rPr>
          <w:lang w:val="fr-CA"/>
        </w:rPr>
        <w:t xml:space="preserve"> de BI</w:t>
      </w:r>
      <w:bookmarkEnd w:id="80"/>
      <w:bookmarkEnd w:id="81"/>
      <w:r w:rsidR="00844876" w:rsidRPr="003F1788">
        <w:rPr>
          <w:lang w:val="fr-CA"/>
        </w:rPr>
        <w:t xml:space="preserve"> </w:t>
      </w:r>
    </w:p>
    <w:p w14:paraId="433EE8EE" w14:textId="77777777" w:rsidR="00844876" w:rsidRPr="003F1788" w:rsidRDefault="00844876" w:rsidP="00844876">
      <w:pPr>
        <w:rPr>
          <w:lang w:val="fr-CA"/>
        </w:rPr>
      </w:pPr>
    </w:p>
    <w:tbl>
      <w:tblPr>
        <w:tblStyle w:val="TableGrid"/>
        <w:tblW w:w="0" w:type="auto"/>
        <w:tblLook w:val="04A0" w:firstRow="1" w:lastRow="0" w:firstColumn="1" w:lastColumn="0" w:noHBand="0" w:noVBand="1"/>
      </w:tblPr>
      <w:tblGrid>
        <w:gridCol w:w="2837"/>
        <w:gridCol w:w="60"/>
        <w:gridCol w:w="6093"/>
      </w:tblGrid>
      <w:tr w:rsidR="00844876" w:rsidRPr="009E576A" w14:paraId="06106B3C" w14:textId="77777777" w:rsidTr="00EC76CA">
        <w:tc>
          <w:tcPr>
            <w:tcW w:w="8990" w:type="dxa"/>
            <w:gridSpan w:val="3"/>
            <w:shd w:val="clear" w:color="auto" w:fill="F6D4CE" w:themeFill="accent6" w:themeFillTint="66"/>
          </w:tcPr>
          <w:p w14:paraId="5F7AD37E" w14:textId="77777777" w:rsidR="00844876" w:rsidRPr="00682744" w:rsidRDefault="00D45BCF" w:rsidP="00E66A86">
            <w:pPr>
              <w:jc w:val="center"/>
              <w:rPr>
                <w:rFonts w:cs="Arial"/>
                <w:b/>
                <w:sz w:val="28"/>
                <w:szCs w:val="28"/>
                <w:lang w:val="fr-CA"/>
              </w:rPr>
            </w:pPr>
            <w:hyperlink r:id="rId41" w:history="1">
              <w:r w:rsidR="00844876" w:rsidRPr="00682744">
                <w:rPr>
                  <w:rStyle w:val="Hyperlink"/>
                  <w:rFonts w:cs="Arial"/>
                  <w:sz w:val="28"/>
                  <w:szCs w:val="28"/>
                  <w:lang w:val="fr-CA"/>
                </w:rPr>
                <w:t>Rapports BI du Portail</w:t>
              </w:r>
            </w:hyperlink>
            <w:r w:rsidR="00844876" w:rsidRPr="00682744">
              <w:rPr>
                <w:rFonts w:cs="Arial"/>
                <w:b/>
                <w:sz w:val="28"/>
                <w:szCs w:val="28"/>
                <w:lang w:val="fr-CA"/>
              </w:rPr>
              <w:t xml:space="preserve"> pour CGF et SGDG (sous l’onglet rapports)</w:t>
            </w:r>
          </w:p>
        </w:tc>
      </w:tr>
      <w:tr w:rsidR="00844876" w:rsidRPr="009E576A" w14:paraId="6038D7FC" w14:textId="77777777" w:rsidTr="00EC76CA">
        <w:tc>
          <w:tcPr>
            <w:tcW w:w="2897" w:type="dxa"/>
            <w:gridSpan w:val="2"/>
          </w:tcPr>
          <w:p w14:paraId="3EEE83D6" w14:textId="77777777" w:rsidR="00844876" w:rsidRPr="00682744" w:rsidRDefault="00844876" w:rsidP="00E66A86">
            <w:pPr>
              <w:rPr>
                <w:rFonts w:cs="Arial"/>
                <w:lang w:val="fr-CA"/>
              </w:rPr>
            </w:pPr>
            <w:r w:rsidRPr="00682744">
              <w:rPr>
                <w:rFonts w:cs="Arial"/>
                <w:lang w:val="fr-CA"/>
              </w:rPr>
              <w:t>FM05 - Engagements en cours (chronologie) (Analysis)</w:t>
            </w:r>
          </w:p>
        </w:tc>
        <w:tc>
          <w:tcPr>
            <w:tcW w:w="6093" w:type="dxa"/>
          </w:tcPr>
          <w:p w14:paraId="5F447491" w14:textId="77777777" w:rsidR="00844876" w:rsidRPr="00682744" w:rsidRDefault="00844876" w:rsidP="00E66A86">
            <w:pPr>
              <w:rPr>
                <w:rFonts w:cs="Arial"/>
                <w:b/>
                <w:lang w:val="fr-CA"/>
              </w:rPr>
            </w:pPr>
            <w:r w:rsidRPr="00682744">
              <w:rPr>
                <w:rFonts w:cs="Arial"/>
                <w:lang w:val="fr-CA"/>
              </w:rPr>
              <w:t>Pour afficher des engagements en cours (chronologie) par centre financier et/ou par fonds, pour un exercice financier précis.</w:t>
            </w:r>
          </w:p>
        </w:tc>
      </w:tr>
      <w:tr w:rsidR="00844876" w:rsidRPr="009E576A" w14:paraId="356F8B6B" w14:textId="77777777" w:rsidTr="00EC76CA">
        <w:trPr>
          <w:trHeight w:val="125"/>
        </w:trPr>
        <w:tc>
          <w:tcPr>
            <w:tcW w:w="2897" w:type="dxa"/>
            <w:gridSpan w:val="2"/>
          </w:tcPr>
          <w:p w14:paraId="7FC2BB4E" w14:textId="77777777" w:rsidR="00844876" w:rsidRPr="00682744" w:rsidRDefault="00844876" w:rsidP="00E66A86">
            <w:pPr>
              <w:rPr>
                <w:rFonts w:cs="Arial"/>
                <w:lang w:val="fr-CA"/>
              </w:rPr>
            </w:pPr>
            <w:r w:rsidRPr="00682744">
              <w:rPr>
                <w:rFonts w:cs="Arial"/>
                <w:lang w:val="fr-CA"/>
              </w:rPr>
              <w:t>FM06 - Engagements et dépenses (Analysis)</w:t>
            </w:r>
          </w:p>
        </w:tc>
        <w:tc>
          <w:tcPr>
            <w:tcW w:w="6093" w:type="dxa"/>
          </w:tcPr>
          <w:p w14:paraId="6C989A97" w14:textId="77777777" w:rsidR="00844876" w:rsidRPr="00682744" w:rsidRDefault="00844876" w:rsidP="00E66A86">
            <w:pPr>
              <w:rPr>
                <w:rFonts w:cs="Arial"/>
                <w:lang w:val="fr-CA"/>
              </w:rPr>
            </w:pPr>
            <w:r w:rsidRPr="00682744">
              <w:rPr>
                <w:rFonts w:cs="Arial"/>
                <w:lang w:val="fr-CA"/>
              </w:rPr>
              <w:t>Pour afficher des engagements, des dépenses réelles ou des montants en souffrance, par centre financier ou par fonds, pour un exercice en particulier.</w:t>
            </w:r>
          </w:p>
        </w:tc>
      </w:tr>
      <w:tr w:rsidR="00844876" w:rsidRPr="009E576A" w14:paraId="137A481B" w14:textId="77777777" w:rsidTr="00EC76CA">
        <w:tc>
          <w:tcPr>
            <w:tcW w:w="2897" w:type="dxa"/>
            <w:gridSpan w:val="2"/>
          </w:tcPr>
          <w:p w14:paraId="13444564" w14:textId="77777777" w:rsidR="00844876" w:rsidRPr="00682744" w:rsidRDefault="00844876" w:rsidP="00E66A86">
            <w:pPr>
              <w:rPr>
                <w:rFonts w:cs="Arial"/>
                <w:lang w:val="fr-CA"/>
              </w:rPr>
            </w:pPr>
            <w:r w:rsidRPr="00682744">
              <w:rPr>
                <w:rFonts w:cs="Arial"/>
                <w:lang w:val="fr-CA"/>
              </w:rPr>
              <w:t>FM28 – Analyse du budget (Analysis)</w:t>
            </w:r>
          </w:p>
        </w:tc>
        <w:tc>
          <w:tcPr>
            <w:tcW w:w="6093" w:type="dxa"/>
          </w:tcPr>
          <w:p w14:paraId="3D26C5AD" w14:textId="77777777" w:rsidR="00844876" w:rsidRPr="00682744" w:rsidRDefault="00844876" w:rsidP="00E66A86">
            <w:pPr>
              <w:rPr>
                <w:rFonts w:cs="Arial"/>
                <w:lang w:val="fr-CA"/>
              </w:rPr>
            </w:pPr>
            <w:r w:rsidRPr="00682744">
              <w:rPr>
                <w:rFonts w:cs="Arial"/>
                <w:lang w:val="fr-CA"/>
              </w:rPr>
              <w:t xml:space="preserve">Pour afficher les budgets pluriannuels par centre financier et/ou par fonds et/ou par compte budgétaire etc. </w:t>
            </w:r>
          </w:p>
        </w:tc>
      </w:tr>
      <w:tr w:rsidR="00844876" w:rsidRPr="009E576A" w14:paraId="242147DD" w14:textId="77777777" w:rsidTr="00EC76CA">
        <w:tc>
          <w:tcPr>
            <w:tcW w:w="2897" w:type="dxa"/>
            <w:gridSpan w:val="2"/>
          </w:tcPr>
          <w:p w14:paraId="552CE782" w14:textId="77777777" w:rsidR="00844876" w:rsidRPr="00682744" w:rsidRDefault="00844876" w:rsidP="00E66A86">
            <w:pPr>
              <w:rPr>
                <w:rFonts w:cs="Arial"/>
                <w:lang w:val="fr-CA"/>
              </w:rPr>
            </w:pPr>
            <w:r w:rsidRPr="00682744">
              <w:rPr>
                <w:rFonts w:cs="Arial"/>
                <w:lang w:val="fr-CA"/>
              </w:rPr>
              <w:t>FM23 - Surplus/Déficit – Courant (Analysis)</w:t>
            </w:r>
          </w:p>
        </w:tc>
        <w:tc>
          <w:tcPr>
            <w:tcW w:w="6093" w:type="dxa"/>
          </w:tcPr>
          <w:p w14:paraId="36BA4CCE" w14:textId="77777777" w:rsidR="00844876" w:rsidRPr="00682744" w:rsidRDefault="00844876" w:rsidP="00E66A86">
            <w:pPr>
              <w:ind w:left="148" w:hanging="148"/>
              <w:rPr>
                <w:rFonts w:cs="Arial"/>
                <w:lang w:val="fr-CA"/>
              </w:rPr>
            </w:pPr>
            <w:r w:rsidRPr="00682744">
              <w:rPr>
                <w:rFonts w:cs="Arial"/>
                <w:lang w:val="fr-CA"/>
              </w:rPr>
              <w:t>Pour afficher des renseignements sur les prévisions pour un centre financier contre le budget courant (version 0 par défaut), y compris les engagements et les données réelles.</w:t>
            </w:r>
          </w:p>
        </w:tc>
      </w:tr>
      <w:tr w:rsidR="00844876" w:rsidRPr="009E576A" w14:paraId="348E0667" w14:textId="77777777" w:rsidTr="00EC76CA">
        <w:trPr>
          <w:trHeight w:val="332"/>
        </w:trPr>
        <w:tc>
          <w:tcPr>
            <w:tcW w:w="8990" w:type="dxa"/>
            <w:gridSpan w:val="3"/>
            <w:shd w:val="clear" w:color="auto" w:fill="F6D4CE" w:themeFill="accent6" w:themeFillTint="66"/>
          </w:tcPr>
          <w:p w14:paraId="2BCEB8A3" w14:textId="77777777" w:rsidR="00844876" w:rsidRPr="00682744" w:rsidRDefault="00D45BCF" w:rsidP="00026416">
            <w:pPr>
              <w:rPr>
                <w:rFonts w:cs="Arial"/>
                <w:sz w:val="28"/>
                <w:szCs w:val="28"/>
                <w:lang w:val="fr-CA"/>
              </w:rPr>
            </w:pPr>
            <w:hyperlink r:id="rId42" w:history="1">
              <w:r w:rsidR="00844876" w:rsidRPr="00682744">
                <w:rPr>
                  <w:rStyle w:val="Hyperlink"/>
                  <w:rFonts w:cs="Arial"/>
                  <w:sz w:val="28"/>
                  <w:szCs w:val="28"/>
                  <w:lang w:val="fr-CA"/>
                </w:rPr>
                <w:t>Rapports BI du Portail</w:t>
              </w:r>
            </w:hyperlink>
            <w:r w:rsidR="00844876" w:rsidRPr="00682744">
              <w:rPr>
                <w:rFonts w:cs="Arial"/>
                <w:b/>
                <w:sz w:val="28"/>
                <w:szCs w:val="28"/>
                <w:lang w:val="fr-CA"/>
              </w:rPr>
              <w:t xml:space="preserve"> pour Gestionnaires (sous l’onglet libre services des gestionnaires)</w:t>
            </w:r>
          </w:p>
        </w:tc>
      </w:tr>
      <w:tr w:rsidR="00844876" w:rsidRPr="009E576A" w14:paraId="68ADB429" w14:textId="77777777" w:rsidTr="00EC76CA">
        <w:tc>
          <w:tcPr>
            <w:tcW w:w="2897" w:type="dxa"/>
            <w:gridSpan w:val="2"/>
          </w:tcPr>
          <w:p w14:paraId="4798784E" w14:textId="77777777" w:rsidR="00844876" w:rsidRPr="00682744" w:rsidRDefault="00844876" w:rsidP="00E66A86">
            <w:pPr>
              <w:rPr>
                <w:rFonts w:cs="Arial"/>
                <w:lang w:val="fr-CA"/>
              </w:rPr>
            </w:pPr>
            <w:r w:rsidRPr="00682744">
              <w:rPr>
                <w:rFonts w:cs="Arial"/>
                <w:lang w:val="fr-CA"/>
              </w:rPr>
              <w:t>OPS – Sommaire des prévisions et dépenses</w:t>
            </w:r>
          </w:p>
        </w:tc>
        <w:tc>
          <w:tcPr>
            <w:tcW w:w="6093" w:type="dxa"/>
          </w:tcPr>
          <w:p w14:paraId="3F4C2ED7" w14:textId="77777777" w:rsidR="00844876" w:rsidRPr="00682744" w:rsidRDefault="00844876" w:rsidP="00E66A86">
            <w:pPr>
              <w:rPr>
                <w:rFonts w:cs="Arial"/>
                <w:lang w:val="fr-CA"/>
              </w:rPr>
            </w:pPr>
            <w:r w:rsidRPr="00682744">
              <w:rPr>
                <w:rFonts w:cs="Arial"/>
                <w:lang w:val="fr-CA"/>
              </w:rPr>
              <w:t>Utilisez ce rapport lorsqu'il est nécessaire d'analyser les prévisions salariales et les dépenses ainsi que d'en assurer le suivi.</w:t>
            </w:r>
          </w:p>
        </w:tc>
      </w:tr>
      <w:tr w:rsidR="00844876" w:rsidRPr="009E576A" w14:paraId="638A7DDF" w14:textId="77777777" w:rsidTr="00EC76CA">
        <w:tc>
          <w:tcPr>
            <w:tcW w:w="2897" w:type="dxa"/>
            <w:gridSpan w:val="2"/>
          </w:tcPr>
          <w:p w14:paraId="6AE582BA" w14:textId="77777777" w:rsidR="00844876" w:rsidRPr="00682744" w:rsidRDefault="00844876" w:rsidP="00E66A86">
            <w:pPr>
              <w:rPr>
                <w:rFonts w:cs="Arial"/>
                <w:lang w:val="fr-CA"/>
              </w:rPr>
            </w:pPr>
            <w:r w:rsidRPr="00682744">
              <w:rPr>
                <w:rFonts w:cs="Arial"/>
                <w:lang w:val="fr-CA"/>
              </w:rPr>
              <w:t>OPS – Sommaire par employé</w:t>
            </w:r>
          </w:p>
        </w:tc>
        <w:tc>
          <w:tcPr>
            <w:tcW w:w="6093" w:type="dxa"/>
          </w:tcPr>
          <w:p w14:paraId="01D500C0" w14:textId="77777777" w:rsidR="00844876" w:rsidRPr="00682744" w:rsidRDefault="00844876" w:rsidP="00E66A86">
            <w:pPr>
              <w:rPr>
                <w:rFonts w:cs="Arial"/>
                <w:lang w:val="fr-CA"/>
              </w:rPr>
            </w:pPr>
            <w:r w:rsidRPr="00682744">
              <w:rPr>
                <w:rFonts w:cs="Arial"/>
                <w:lang w:val="fr-CA"/>
              </w:rPr>
              <w:t>Utilisez ce rapport lorsqu'il est nécessaire d'afficher une vue détaillée des prévisions totales par employé pour l'ensemble de l'exercice financier, y compris les dépenses réelles.</w:t>
            </w:r>
          </w:p>
        </w:tc>
      </w:tr>
      <w:tr w:rsidR="00844876" w:rsidRPr="009E576A" w14:paraId="6952CE99" w14:textId="77777777" w:rsidTr="00EC76CA">
        <w:tc>
          <w:tcPr>
            <w:tcW w:w="2897" w:type="dxa"/>
            <w:gridSpan w:val="2"/>
          </w:tcPr>
          <w:p w14:paraId="530BAFBA" w14:textId="77777777" w:rsidR="00844876" w:rsidRPr="00682744" w:rsidRDefault="00844876" w:rsidP="00E66A86">
            <w:pPr>
              <w:rPr>
                <w:rFonts w:cs="Arial"/>
                <w:lang w:val="fr-CA"/>
              </w:rPr>
            </w:pPr>
            <w:r w:rsidRPr="00682744">
              <w:rPr>
                <w:rFonts w:cs="Arial"/>
                <w:lang w:val="fr-CA"/>
              </w:rPr>
              <w:t>OPS – Sommaire global</w:t>
            </w:r>
          </w:p>
        </w:tc>
        <w:tc>
          <w:tcPr>
            <w:tcW w:w="6093" w:type="dxa"/>
          </w:tcPr>
          <w:p w14:paraId="026149A4" w14:textId="77777777" w:rsidR="00844876" w:rsidRPr="00682744" w:rsidRDefault="00844876" w:rsidP="00E66A86">
            <w:pPr>
              <w:rPr>
                <w:rFonts w:cs="Arial"/>
                <w:lang w:val="fr-CA"/>
              </w:rPr>
            </w:pPr>
            <w:r w:rsidRPr="00682744">
              <w:rPr>
                <w:rFonts w:cs="Arial"/>
                <w:lang w:val="fr-CA"/>
              </w:rPr>
              <w:t>Utilisez ce rapport lorsqu'il est nécessaire d'afficher une vue détaillée des prévisions totales par composante globale pour l'ensemble de l'exercice financier, y compris les dépenses réelles.</w:t>
            </w:r>
          </w:p>
        </w:tc>
      </w:tr>
      <w:tr w:rsidR="00844876" w:rsidRPr="009E576A" w14:paraId="5F554710" w14:textId="77777777" w:rsidTr="00EC76CA">
        <w:tc>
          <w:tcPr>
            <w:tcW w:w="2897" w:type="dxa"/>
            <w:gridSpan w:val="2"/>
          </w:tcPr>
          <w:p w14:paraId="28CCC25D" w14:textId="77777777" w:rsidR="00844876" w:rsidRPr="00682744" w:rsidRDefault="00844876" w:rsidP="00E66A86">
            <w:pPr>
              <w:rPr>
                <w:rFonts w:cs="Arial"/>
                <w:lang w:val="fr-CA"/>
              </w:rPr>
            </w:pPr>
            <w:r w:rsidRPr="00682744">
              <w:rPr>
                <w:rFonts w:cs="Arial"/>
                <w:lang w:val="fr-CA"/>
              </w:rPr>
              <w:t>OPS – Sommaire pour la dotation prévue</w:t>
            </w:r>
          </w:p>
        </w:tc>
        <w:tc>
          <w:tcPr>
            <w:tcW w:w="6093" w:type="dxa"/>
          </w:tcPr>
          <w:p w14:paraId="52494127" w14:textId="77777777" w:rsidR="00844876" w:rsidRPr="00682744" w:rsidRDefault="00844876" w:rsidP="00E66A86">
            <w:pPr>
              <w:rPr>
                <w:rFonts w:cs="Arial"/>
                <w:lang w:val="fr-CA"/>
              </w:rPr>
            </w:pPr>
            <w:r w:rsidRPr="00682744">
              <w:rPr>
                <w:rFonts w:cs="Arial"/>
                <w:lang w:val="fr-CA"/>
              </w:rPr>
              <w:t>Utilisez ce rapport lorsqu'il est nécessaire d'afficher une vue détaillées des prévisions totales de chaque poste prévu pour l'ensemble de l'exercice financier.</w:t>
            </w:r>
          </w:p>
        </w:tc>
      </w:tr>
      <w:tr w:rsidR="00844876" w:rsidRPr="009E576A" w14:paraId="319E2126" w14:textId="77777777" w:rsidTr="00EC76CA">
        <w:tc>
          <w:tcPr>
            <w:tcW w:w="2897" w:type="dxa"/>
            <w:gridSpan w:val="2"/>
          </w:tcPr>
          <w:p w14:paraId="65941F1B" w14:textId="77777777" w:rsidR="00844876" w:rsidRPr="00682744" w:rsidRDefault="00844876" w:rsidP="00E66A86">
            <w:pPr>
              <w:rPr>
                <w:rFonts w:cs="Arial"/>
                <w:lang w:val="fr-CA"/>
              </w:rPr>
            </w:pPr>
            <w:r w:rsidRPr="00682744">
              <w:rPr>
                <w:rFonts w:cs="Arial"/>
                <w:lang w:val="fr-CA"/>
              </w:rPr>
              <w:t>OPS – Prévisions détaillées</w:t>
            </w:r>
          </w:p>
        </w:tc>
        <w:tc>
          <w:tcPr>
            <w:tcW w:w="6093" w:type="dxa"/>
          </w:tcPr>
          <w:p w14:paraId="7E7A3708" w14:textId="77777777" w:rsidR="00844876" w:rsidRPr="00682744" w:rsidRDefault="00844876" w:rsidP="00E66A86">
            <w:pPr>
              <w:rPr>
                <w:rFonts w:cs="Arial"/>
                <w:lang w:val="fr-CA"/>
              </w:rPr>
            </w:pPr>
            <w:r w:rsidRPr="00682744">
              <w:rPr>
                <w:rFonts w:cs="Arial"/>
                <w:lang w:val="fr-CA"/>
              </w:rPr>
              <w:t>Utilisez ce rapport lorsqu'il est nécessaire d'obtenir une vue détaillée des prévisions totales par employé, de dotation prévue et globales pour l'ensemble de l'exercice financier.</w:t>
            </w:r>
          </w:p>
        </w:tc>
      </w:tr>
      <w:tr w:rsidR="00844876" w:rsidRPr="009E576A" w14:paraId="5558A2D9" w14:textId="77777777" w:rsidTr="00EC76CA">
        <w:tc>
          <w:tcPr>
            <w:tcW w:w="2897" w:type="dxa"/>
            <w:gridSpan w:val="2"/>
          </w:tcPr>
          <w:p w14:paraId="1A6A705F" w14:textId="77777777" w:rsidR="00844876" w:rsidRPr="00682744" w:rsidRDefault="00844876" w:rsidP="00E66A86">
            <w:pPr>
              <w:rPr>
                <w:rFonts w:cs="Arial"/>
                <w:lang w:val="fr-CA"/>
              </w:rPr>
            </w:pPr>
            <w:r w:rsidRPr="00682744">
              <w:rPr>
                <w:rFonts w:cs="Arial"/>
                <w:lang w:val="fr-CA"/>
              </w:rPr>
              <w:t>OPS – Prévisions et dépenses détaillées</w:t>
            </w:r>
          </w:p>
        </w:tc>
        <w:tc>
          <w:tcPr>
            <w:tcW w:w="6093" w:type="dxa"/>
          </w:tcPr>
          <w:p w14:paraId="00659D85" w14:textId="77777777" w:rsidR="00844876" w:rsidRPr="00682744" w:rsidRDefault="00844876" w:rsidP="00E66A86">
            <w:pPr>
              <w:rPr>
                <w:rFonts w:cs="Arial"/>
                <w:lang w:val="fr-CA"/>
              </w:rPr>
            </w:pPr>
            <w:r w:rsidRPr="00682744">
              <w:rPr>
                <w:rFonts w:cs="Arial"/>
                <w:lang w:val="fr-CA"/>
              </w:rPr>
              <w:t>Utilisez ce rapport lorsqu'il est nécessaire d'afficher un aperçu détaillé des prévisions totales par employé, dotation prévue et prévision globale pour l'ensemble de l'exercice, ainsi que des dépenses réelles (employé et globale seulement).    </w:t>
            </w:r>
          </w:p>
        </w:tc>
      </w:tr>
      <w:tr w:rsidR="00EC76CA" w:rsidRPr="009E576A" w14:paraId="3436DB3E" w14:textId="77777777" w:rsidTr="00EC76CA">
        <w:tc>
          <w:tcPr>
            <w:tcW w:w="2897" w:type="dxa"/>
            <w:gridSpan w:val="2"/>
          </w:tcPr>
          <w:p w14:paraId="446C4D21" w14:textId="77777777" w:rsidR="00EC76CA" w:rsidRPr="00682744" w:rsidRDefault="00EC76CA" w:rsidP="00E66A86">
            <w:pPr>
              <w:rPr>
                <w:rFonts w:cs="Arial"/>
                <w:lang w:val="fr-CA"/>
              </w:rPr>
            </w:pPr>
            <w:r w:rsidRPr="00EC76CA">
              <w:rPr>
                <w:rFonts w:cs="Arial"/>
                <w:lang w:val="fr-CA"/>
              </w:rPr>
              <w:t>FM101. Solde budgétaire disponible</w:t>
            </w:r>
          </w:p>
        </w:tc>
        <w:tc>
          <w:tcPr>
            <w:tcW w:w="6093" w:type="dxa"/>
          </w:tcPr>
          <w:p w14:paraId="09D7BB3D" w14:textId="77777777" w:rsidR="00EC76CA" w:rsidRPr="00682744" w:rsidRDefault="00EC76CA" w:rsidP="00EC76CA">
            <w:pPr>
              <w:rPr>
                <w:rFonts w:cs="Arial"/>
                <w:lang w:val="fr-CA"/>
              </w:rPr>
            </w:pPr>
            <w:r>
              <w:rPr>
                <w:rFonts w:cs="Arial"/>
                <w:lang w:val="fr-CA"/>
              </w:rPr>
              <w:t xml:space="preserve">Utilisez ce rapport est </w:t>
            </w:r>
            <w:r w:rsidRPr="00EC76CA">
              <w:rPr>
                <w:rFonts w:cs="Arial"/>
                <w:lang w:val="fr-CA"/>
              </w:rPr>
              <w:t>pour analyser et contrôler le solde disponible à tout moment et doit être utilisé sur une base quotidienne.</w:t>
            </w:r>
          </w:p>
        </w:tc>
      </w:tr>
      <w:tr w:rsidR="00844876" w:rsidRPr="009E576A" w14:paraId="579F693F" w14:textId="77777777" w:rsidTr="00EC76CA">
        <w:tc>
          <w:tcPr>
            <w:tcW w:w="2837" w:type="dxa"/>
          </w:tcPr>
          <w:p w14:paraId="3785A953" w14:textId="77777777" w:rsidR="00844876" w:rsidRPr="00E7120E" w:rsidRDefault="00844876" w:rsidP="00E66A86">
            <w:pPr>
              <w:rPr>
                <w:rFonts w:cs="Arial"/>
                <w:lang w:val="fr-CA"/>
              </w:rPr>
            </w:pPr>
            <w:r w:rsidRPr="00167340">
              <w:rPr>
                <w:lang w:val="fr-CA"/>
              </w:rPr>
              <w:br w:type="page"/>
            </w:r>
            <w:r w:rsidRPr="00E7120E">
              <w:rPr>
                <w:rFonts w:cs="Arial"/>
                <w:lang w:val="fr-CA"/>
              </w:rPr>
              <w:t>FM201 – Surplus/Défici</w:t>
            </w:r>
            <w:r w:rsidR="00EC76CA">
              <w:rPr>
                <w:rFonts w:cs="Arial"/>
                <w:lang w:val="fr-CA"/>
              </w:rPr>
              <w:t xml:space="preserve">t – Prévision sommaire </w:t>
            </w:r>
          </w:p>
        </w:tc>
        <w:tc>
          <w:tcPr>
            <w:tcW w:w="6153" w:type="dxa"/>
            <w:gridSpan w:val="2"/>
          </w:tcPr>
          <w:p w14:paraId="1DBD99CA" w14:textId="77777777" w:rsidR="00844876" w:rsidRPr="003F1788" w:rsidRDefault="00844876" w:rsidP="00E66A86">
            <w:pPr>
              <w:rPr>
                <w:rFonts w:cs="Arial"/>
                <w:lang w:val="fr-CA"/>
              </w:rPr>
            </w:pPr>
            <w:r w:rsidRPr="001434B7">
              <w:rPr>
                <w:rFonts w:cs="Arial"/>
                <w:lang w:val="fr-CA"/>
              </w:rPr>
              <w:t>U</w:t>
            </w:r>
            <w:r w:rsidRPr="003F1788">
              <w:rPr>
                <w:rFonts w:cs="Arial"/>
                <w:lang w:val="fr-CA"/>
              </w:rPr>
              <w:t xml:space="preserve">tilisez </w:t>
            </w:r>
            <w:r>
              <w:rPr>
                <w:rFonts w:cs="Arial"/>
                <w:lang w:val="fr-CA"/>
              </w:rPr>
              <w:t>ce rapport</w:t>
            </w:r>
            <w:r w:rsidRPr="003F1788">
              <w:rPr>
                <w:rFonts w:cs="Arial"/>
                <w:lang w:val="fr-CA"/>
              </w:rPr>
              <w:t xml:space="preserve"> lorsqu'il est nécessaire, à titre de gestionnaire ou de personne désignée, d'afficher les renseignements sur les prévisions d'un centre financier concernant le budget théorique, y compris les engagements et les dépenses réelles.</w:t>
            </w:r>
            <w:r>
              <w:rPr>
                <w:rFonts w:cs="Arial"/>
                <w:lang w:val="fr-CA"/>
              </w:rPr>
              <w:t xml:space="preserve"> Il existe quatre différentes mises en page pour ce rapport.</w:t>
            </w:r>
          </w:p>
          <w:p w14:paraId="0DC19C8C" w14:textId="77777777" w:rsidR="00844876" w:rsidRPr="001434B7" w:rsidRDefault="00844876" w:rsidP="00E66A86">
            <w:pPr>
              <w:rPr>
                <w:rFonts w:cs="Arial"/>
                <w:lang w:val="fr-CA"/>
              </w:rPr>
            </w:pPr>
            <w:r>
              <w:rPr>
                <w:rFonts w:cs="Arial"/>
                <w:lang w:val="fr-CA"/>
              </w:rPr>
              <w:t>Ce rapport est utile pour analyser et consolider les prévisions et devrait être utilisé pour les périodes de prévisions, soit P3, P6, P8 et P10.</w:t>
            </w:r>
          </w:p>
        </w:tc>
      </w:tr>
      <w:tr w:rsidR="00844876" w:rsidRPr="009E576A" w14:paraId="181187A2" w14:textId="77777777" w:rsidTr="00EC76CA">
        <w:tc>
          <w:tcPr>
            <w:tcW w:w="2837" w:type="dxa"/>
          </w:tcPr>
          <w:p w14:paraId="19956D2E" w14:textId="77777777" w:rsidR="00844876" w:rsidRPr="00E7120E" w:rsidRDefault="00844876" w:rsidP="00EC76CA">
            <w:pPr>
              <w:rPr>
                <w:rFonts w:cs="Arial"/>
                <w:lang w:val="fr-CA"/>
              </w:rPr>
            </w:pPr>
            <w:r w:rsidRPr="00E7120E">
              <w:rPr>
                <w:rFonts w:cs="Arial"/>
                <w:lang w:val="fr-CA"/>
              </w:rPr>
              <w:t>FM302 - Engagements</w:t>
            </w:r>
            <w:r w:rsidR="00EC76CA">
              <w:rPr>
                <w:rFonts w:cs="Arial"/>
                <w:lang w:val="fr-CA"/>
              </w:rPr>
              <w:t xml:space="preserve"> en cours (chronologie) </w:t>
            </w:r>
          </w:p>
        </w:tc>
        <w:tc>
          <w:tcPr>
            <w:tcW w:w="6153" w:type="dxa"/>
            <w:gridSpan w:val="2"/>
          </w:tcPr>
          <w:p w14:paraId="148A48A4" w14:textId="77777777" w:rsidR="00844876" w:rsidRPr="003F1788" w:rsidRDefault="00844876" w:rsidP="00E66A86">
            <w:pPr>
              <w:rPr>
                <w:rFonts w:cs="Arial"/>
                <w:lang w:val="fr-CA"/>
              </w:rPr>
            </w:pPr>
            <w:r>
              <w:rPr>
                <w:rFonts w:cs="Arial"/>
                <w:lang w:val="fr-CA"/>
              </w:rPr>
              <w:t xml:space="preserve">Pour </w:t>
            </w:r>
            <w:r w:rsidRPr="003F1788">
              <w:rPr>
                <w:rFonts w:cs="Arial"/>
                <w:lang w:val="fr-CA"/>
              </w:rPr>
              <w:t>afficher des engagements en cours (chronologie) par centre financier et/ou par fonds, pour un exercice financier précis.</w:t>
            </w:r>
          </w:p>
        </w:tc>
      </w:tr>
      <w:tr w:rsidR="00844876" w:rsidRPr="003F1788" w14:paraId="57981974" w14:textId="77777777" w:rsidTr="00EC76CA">
        <w:tc>
          <w:tcPr>
            <w:tcW w:w="2837" w:type="dxa"/>
          </w:tcPr>
          <w:p w14:paraId="738D1356" w14:textId="77777777" w:rsidR="00844876" w:rsidRPr="00E7120E" w:rsidRDefault="00844876" w:rsidP="00E66A86">
            <w:pPr>
              <w:rPr>
                <w:rFonts w:cs="Arial"/>
                <w:lang w:val="fr-CA"/>
              </w:rPr>
            </w:pPr>
            <w:r w:rsidRPr="00E7120E">
              <w:rPr>
                <w:rFonts w:cs="Arial"/>
                <w:lang w:val="fr-CA"/>
              </w:rPr>
              <w:t>FM301 – E</w:t>
            </w:r>
            <w:r w:rsidR="00EC76CA">
              <w:rPr>
                <w:rFonts w:cs="Arial"/>
                <w:lang w:val="fr-CA"/>
              </w:rPr>
              <w:t xml:space="preserve">ngagements et dépenses </w:t>
            </w:r>
          </w:p>
        </w:tc>
        <w:tc>
          <w:tcPr>
            <w:tcW w:w="6153" w:type="dxa"/>
            <w:gridSpan w:val="2"/>
          </w:tcPr>
          <w:p w14:paraId="062BC102" w14:textId="77777777" w:rsidR="00844876" w:rsidRPr="00DB436F" w:rsidRDefault="00844876" w:rsidP="00E66A86">
            <w:pPr>
              <w:rPr>
                <w:rFonts w:cs="Arial"/>
                <w:lang w:val="fr-CA"/>
              </w:rPr>
            </w:pPr>
            <w:r w:rsidRPr="003F1788">
              <w:rPr>
                <w:rFonts w:cs="Arial"/>
                <w:lang w:val="fr-CA"/>
              </w:rPr>
              <w:t xml:space="preserve">Utilisez </w:t>
            </w:r>
            <w:r>
              <w:rPr>
                <w:rFonts w:cs="Arial"/>
                <w:lang w:val="fr-CA"/>
              </w:rPr>
              <w:t>ce rapport</w:t>
            </w:r>
            <w:r w:rsidRPr="003F1788">
              <w:rPr>
                <w:rFonts w:cs="Arial"/>
                <w:lang w:val="fr-CA"/>
              </w:rPr>
              <w:t xml:space="preserve"> lorsqu'il est nécessaire, à titre de gestionnaire ou de personne désignée, d'afficher les engagements, les dépenses réelles ou les montants en souffrance par centre financier ou par fonds pour un exerc</w:t>
            </w:r>
            <w:r>
              <w:rPr>
                <w:rFonts w:cs="Arial"/>
                <w:lang w:val="fr-CA"/>
              </w:rPr>
              <w:t>ice donné. Ce rapport devrait être utilisé sur une base régulière.</w:t>
            </w:r>
          </w:p>
        </w:tc>
      </w:tr>
      <w:tr w:rsidR="00844876" w:rsidRPr="009E576A" w14:paraId="2DDE302C" w14:textId="77777777" w:rsidTr="00EC76CA">
        <w:tc>
          <w:tcPr>
            <w:tcW w:w="8990" w:type="dxa"/>
            <w:gridSpan w:val="3"/>
            <w:shd w:val="clear" w:color="auto" w:fill="F6D4CE" w:themeFill="accent6" w:themeFillTint="66"/>
          </w:tcPr>
          <w:p w14:paraId="01156C08" w14:textId="77777777" w:rsidR="00844876" w:rsidRPr="003F1788" w:rsidRDefault="00844876" w:rsidP="00E66A86">
            <w:pPr>
              <w:jc w:val="center"/>
              <w:rPr>
                <w:rFonts w:cs="Arial"/>
                <w:b/>
                <w:sz w:val="28"/>
                <w:szCs w:val="28"/>
                <w:lang w:val="fr-CA"/>
              </w:rPr>
            </w:pPr>
            <w:r w:rsidRPr="003F1788">
              <w:rPr>
                <w:rFonts w:cs="Arial"/>
                <w:b/>
                <w:sz w:val="28"/>
                <w:szCs w:val="28"/>
                <w:lang w:val="fr-CA"/>
              </w:rPr>
              <w:t xml:space="preserve">Instructions relatives aux outils BI </w:t>
            </w:r>
            <w:r>
              <w:rPr>
                <w:rFonts w:cs="Arial"/>
                <w:b/>
                <w:sz w:val="28"/>
                <w:szCs w:val="28"/>
                <w:lang w:val="fr-CA"/>
              </w:rPr>
              <w:t>et l’outil de prévision non-salariales</w:t>
            </w:r>
          </w:p>
        </w:tc>
      </w:tr>
      <w:tr w:rsidR="00844876" w:rsidRPr="009E576A" w14:paraId="15B95903" w14:textId="77777777" w:rsidTr="00EC76CA">
        <w:tc>
          <w:tcPr>
            <w:tcW w:w="2837" w:type="dxa"/>
          </w:tcPr>
          <w:p w14:paraId="3FEAC37B" w14:textId="77777777" w:rsidR="00844876" w:rsidRPr="003F1788" w:rsidRDefault="00844876" w:rsidP="00E66A86">
            <w:pPr>
              <w:rPr>
                <w:rFonts w:cs="Arial"/>
                <w:lang w:val="fr-CA"/>
              </w:rPr>
            </w:pPr>
            <w:r>
              <w:rPr>
                <w:rFonts w:cs="Arial"/>
                <w:lang w:val="fr-CA"/>
              </w:rPr>
              <w:t>Rapports BI</w:t>
            </w:r>
          </w:p>
        </w:tc>
        <w:tc>
          <w:tcPr>
            <w:tcW w:w="6153" w:type="dxa"/>
            <w:gridSpan w:val="2"/>
          </w:tcPr>
          <w:p w14:paraId="2C5A0D34" w14:textId="77777777" w:rsidR="00844876" w:rsidRPr="00682744" w:rsidRDefault="00D45BCF" w:rsidP="00E66A86">
            <w:pPr>
              <w:rPr>
                <w:rFonts w:cs="Arial"/>
                <w:lang w:val="fr-CA"/>
              </w:rPr>
            </w:pPr>
            <w:hyperlink r:id="rId43" w:history="1">
              <w:r w:rsidR="00844876" w:rsidRPr="00682744">
                <w:rPr>
                  <w:rStyle w:val="Hyperlink"/>
                  <w:rFonts w:cs="Arial"/>
                  <w:lang w:val="fr-CA"/>
                </w:rPr>
                <w:t>http://nspkipws.service.gc.ca/gm/folder-1.11.197275?mode=EU</w:t>
              </w:r>
            </w:hyperlink>
          </w:p>
        </w:tc>
      </w:tr>
      <w:tr w:rsidR="00844876" w:rsidRPr="009E576A" w14:paraId="495F6B7B" w14:textId="77777777" w:rsidTr="00EC76CA">
        <w:trPr>
          <w:trHeight w:val="125"/>
        </w:trPr>
        <w:tc>
          <w:tcPr>
            <w:tcW w:w="2837" w:type="dxa"/>
          </w:tcPr>
          <w:p w14:paraId="029888C2" w14:textId="77777777" w:rsidR="00844876" w:rsidRPr="003F1788" w:rsidRDefault="00844876" w:rsidP="00E66A86">
            <w:pPr>
              <w:rPr>
                <w:rFonts w:cs="Arial"/>
                <w:lang w:val="fr-CA"/>
              </w:rPr>
            </w:pPr>
            <w:r>
              <w:rPr>
                <w:rFonts w:cs="Arial"/>
                <w:lang w:val="fr-CA"/>
              </w:rPr>
              <w:t>Outil de prévision non-salariale</w:t>
            </w:r>
          </w:p>
        </w:tc>
        <w:tc>
          <w:tcPr>
            <w:tcW w:w="6153" w:type="dxa"/>
            <w:gridSpan w:val="2"/>
          </w:tcPr>
          <w:p w14:paraId="30C32496" w14:textId="77777777" w:rsidR="00844876" w:rsidRPr="00682744" w:rsidRDefault="00027798" w:rsidP="00E66A86">
            <w:pPr>
              <w:rPr>
                <w:rFonts w:cs="Arial"/>
                <w:lang w:val="fr-CA"/>
              </w:rPr>
            </w:pPr>
            <w:r w:rsidRPr="00027798">
              <w:rPr>
                <w:rStyle w:val="Hyperlink"/>
                <w:rFonts w:cs="Arial"/>
                <w:lang w:val="fr-CA"/>
              </w:rPr>
              <w:t>http://nspkipws.service.gc.ca/gm/folder-1.11.197254?mode=EU</w:t>
            </w:r>
          </w:p>
        </w:tc>
      </w:tr>
    </w:tbl>
    <w:p w14:paraId="6CAB281F" w14:textId="77777777" w:rsidR="00844876" w:rsidRPr="003F1788" w:rsidRDefault="00844876" w:rsidP="00844876">
      <w:pPr>
        <w:rPr>
          <w:rFonts w:cs="Arial"/>
          <w:b/>
          <w:sz w:val="28"/>
          <w:szCs w:val="28"/>
          <w:lang w:val="fr-CA"/>
        </w:rPr>
      </w:pPr>
    </w:p>
    <w:p w14:paraId="7D2F1050" w14:textId="77777777" w:rsidR="00844876" w:rsidRPr="003F1788" w:rsidRDefault="00844876" w:rsidP="00844876">
      <w:pPr>
        <w:rPr>
          <w:rFonts w:cs="Arial"/>
          <w:b/>
          <w:sz w:val="28"/>
          <w:szCs w:val="28"/>
          <w:lang w:val="fr-CA"/>
        </w:rPr>
      </w:pPr>
    </w:p>
    <w:p w14:paraId="1191D25D" w14:textId="77777777" w:rsidR="00844876" w:rsidRPr="003F1788" w:rsidRDefault="00844876" w:rsidP="00844876">
      <w:pPr>
        <w:spacing w:after="200" w:line="276" w:lineRule="auto"/>
        <w:rPr>
          <w:rFonts w:cs="Arial"/>
          <w:b/>
          <w:bCs/>
          <w:kern w:val="32"/>
          <w:sz w:val="32"/>
          <w:szCs w:val="32"/>
          <w:lang w:val="fr-CA"/>
        </w:rPr>
      </w:pPr>
      <w:r w:rsidRPr="003F1788">
        <w:rPr>
          <w:lang w:val="fr-CA"/>
        </w:rPr>
        <w:br w:type="page"/>
      </w:r>
    </w:p>
    <w:p w14:paraId="223FF2A8" w14:textId="77777777" w:rsidR="00844876" w:rsidRPr="003F1788" w:rsidRDefault="0048702B" w:rsidP="00844876">
      <w:pPr>
        <w:pStyle w:val="Heading1"/>
        <w:ind w:left="1820" w:hanging="1820"/>
        <w:rPr>
          <w:lang w:val="fr-CA"/>
        </w:rPr>
      </w:pPr>
      <w:bookmarkStart w:id="82" w:name="_Toc513716527"/>
      <w:bookmarkStart w:id="83" w:name="_Toc72402538"/>
      <w:r>
        <w:rPr>
          <w:lang w:val="fr-CA"/>
        </w:rPr>
        <w:t>ANNEXE E</w:t>
      </w:r>
      <w:r w:rsidR="00844876" w:rsidRPr="003F1788">
        <w:rPr>
          <w:lang w:val="fr-CA"/>
        </w:rPr>
        <w:t xml:space="preserve"> – Principaux contacts de la Direction générale du dirigeant principal des finances (DGDPF)</w:t>
      </w:r>
      <w:bookmarkEnd w:id="82"/>
      <w:bookmarkEnd w:id="83"/>
    </w:p>
    <w:tbl>
      <w:tblPr>
        <w:tblW w:w="9780" w:type="dxa"/>
        <w:tblInd w:w="93" w:type="dxa"/>
        <w:tblLook w:val="04A0" w:firstRow="1" w:lastRow="0" w:firstColumn="1" w:lastColumn="0" w:noHBand="0" w:noVBand="1"/>
      </w:tblPr>
      <w:tblGrid>
        <w:gridCol w:w="3134"/>
        <w:gridCol w:w="6646"/>
      </w:tblGrid>
      <w:tr w:rsidR="00844876" w:rsidRPr="003F1788" w14:paraId="1278C483" w14:textId="77777777" w:rsidTr="00935B57">
        <w:trPr>
          <w:trHeight w:val="331"/>
        </w:trPr>
        <w:tc>
          <w:tcPr>
            <w:tcW w:w="3134" w:type="dxa"/>
            <w:tcBorders>
              <w:top w:val="single" w:sz="8" w:space="0" w:color="auto"/>
              <w:left w:val="single" w:sz="8" w:space="0" w:color="auto"/>
              <w:bottom w:val="single" w:sz="8" w:space="0" w:color="auto"/>
              <w:right w:val="single" w:sz="4" w:space="0" w:color="auto"/>
            </w:tcBorders>
            <w:shd w:val="clear" w:color="000000" w:fill="DDD9C4"/>
            <w:noWrap/>
            <w:vAlign w:val="center"/>
            <w:hideMark/>
          </w:tcPr>
          <w:p w14:paraId="0A4CEBB4" w14:textId="77777777" w:rsidR="00844876" w:rsidRPr="003F1788" w:rsidRDefault="00844876" w:rsidP="00E66A86">
            <w:pPr>
              <w:jc w:val="center"/>
              <w:rPr>
                <w:rFonts w:asciiTheme="minorHAnsi" w:hAnsiTheme="minorHAnsi" w:cs="Arial"/>
                <w:b/>
                <w:bCs/>
                <w:sz w:val="22"/>
                <w:szCs w:val="22"/>
                <w:lang w:val="fr-CA" w:eastAsia="en-US"/>
              </w:rPr>
            </w:pPr>
            <w:r w:rsidRPr="003F1788">
              <w:rPr>
                <w:rFonts w:asciiTheme="minorHAnsi" w:hAnsiTheme="minorHAnsi" w:cs="Arial"/>
                <w:b/>
                <w:bCs/>
                <w:sz w:val="22"/>
                <w:szCs w:val="22"/>
                <w:lang w:val="fr-CA" w:eastAsia="en-US"/>
              </w:rPr>
              <w:t>CGF</w:t>
            </w:r>
          </w:p>
        </w:tc>
        <w:tc>
          <w:tcPr>
            <w:tcW w:w="6646" w:type="dxa"/>
            <w:tcBorders>
              <w:top w:val="single" w:sz="8" w:space="0" w:color="auto"/>
              <w:left w:val="nil"/>
              <w:bottom w:val="single" w:sz="8" w:space="0" w:color="auto"/>
              <w:right w:val="single" w:sz="8" w:space="0" w:color="auto"/>
            </w:tcBorders>
            <w:shd w:val="clear" w:color="000000" w:fill="DDD9C4"/>
            <w:noWrap/>
            <w:vAlign w:val="center"/>
            <w:hideMark/>
          </w:tcPr>
          <w:p w14:paraId="43FB159B" w14:textId="77777777" w:rsidR="00844876" w:rsidRPr="003F1788" w:rsidRDefault="00844876" w:rsidP="00E66A86">
            <w:pPr>
              <w:jc w:val="center"/>
              <w:rPr>
                <w:rFonts w:asciiTheme="minorHAnsi" w:hAnsiTheme="minorHAnsi" w:cs="Arial"/>
                <w:b/>
                <w:bCs/>
                <w:sz w:val="22"/>
                <w:szCs w:val="22"/>
                <w:lang w:val="fr-CA" w:eastAsia="en-US"/>
              </w:rPr>
            </w:pPr>
            <w:r w:rsidRPr="003F1788">
              <w:rPr>
                <w:rFonts w:asciiTheme="minorHAnsi" w:hAnsiTheme="minorHAnsi" w:cs="Arial"/>
                <w:b/>
                <w:bCs/>
                <w:sz w:val="22"/>
                <w:szCs w:val="22"/>
                <w:lang w:val="fr-CA" w:eastAsia="en-US"/>
              </w:rPr>
              <w:t>Client</w:t>
            </w:r>
          </w:p>
        </w:tc>
      </w:tr>
      <w:tr w:rsidR="007056CD" w:rsidRPr="009E576A" w14:paraId="3A7CAEE9" w14:textId="77777777" w:rsidTr="00CD7BF8">
        <w:trPr>
          <w:trHeight w:val="342"/>
        </w:trPr>
        <w:tc>
          <w:tcPr>
            <w:tcW w:w="3134" w:type="dxa"/>
            <w:vMerge w:val="restart"/>
            <w:tcBorders>
              <w:top w:val="single" w:sz="8" w:space="0" w:color="auto"/>
              <w:left w:val="single" w:sz="8" w:space="0" w:color="auto"/>
              <w:right w:val="single" w:sz="4" w:space="0" w:color="auto"/>
            </w:tcBorders>
            <w:shd w:val="clear" w:color="auto" w:fill="auto"/>
            <w:noWrap/>
            <w:vAlign w:val="center"/>
            <w:hideMark/>
          </w:tcPr>
          <w:p w14:paraId="3E1789F7"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TANGUAY, Sylvie</w:t>
            </w:r>
          </w:p>
        </w:tc>
        <w:tc>
          <w:tcPr>
            <w:tcW w:w="6646" w:type="dxa"/>
            <w:tcBorders>
              <w:top w:val="nil"/>
              <w:left w:val="nil"/>
              <w:bottom w:val="nil"/>
              <w:right w:val="single" w:sz="8" w:space="0" w:color="auto"/>
            </w:tcBorders>
            <w:shd w:val="clear" w:color="auto" w:fill="auto"/>
            <w:vAlign w:val="center"/>
            <w:hideMark/>
          </w:tcPr>
          <w:p w14:paraId="2814A14C" w14:textId="77777777" w:rsidR="007056CD" w:rsidRPr="00410961" w:rsidRDefault="007056CD" w:rsidP="0093058A">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Ministre de l’emploi, du développement de la main-d’œuvre et de l’inclusion des personnes handicapées</w:t>
            </w:r>
          </w:p>
        </w:tc>
      </w:tr>
      <w:tr w:rsidR="007056CD" w:rsidRPr="003F1788" w14:paraId="012778A0" w14:textId="77777777" w:rsidTr="00CD7BF8">
        <w:trPr>
          <w:trHeight w:val="342"/>
        </w:trPr>
        <w:tc>
          <w:tcPr>
            <w:tcW w:w="3134" w:type="dxa"/>
            <w:vMerge/>
            <w:tcBorders>
              <w:left w:val="single" w:sz="8" w:space="0" w:color="auto"/>
              <w:right w:val="single" w:sz="4" w:space="0" w:color="auto"/>
            </w:tcBorders>
            <w:vAlign w:val="center"/>
            <w:hideMark/>
          </w:tcPr>
          <w:p w14:paraId="5C4EF35D"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hideMark/>
          </w:tcPr>
          <w:p w14:paraId="5BDB2501"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Ministre du Travail</w:t>
            </w:r>
          </w:p>
        </w:tc>
      </w:tr>
      <w:tr w:rsidR="007056CD" w:rsidRPr="003F1788" w14:paraId="30C22128" w14:textId="77777777" w:rsidTr="00CD7BF8">
        <w:trPr>
          <w:trHeight w:val="342"/>
        </w:trPr>
        <w:tc>
          <w:tcPr>
            <w:tcW w:w="3134" w:type="dxa"/>
            <w:vMerge/>
            <w:tcBorders>
              <w:left w:val="single" w:sz="8" w:space="0" w:color="auto"/>
              <w:right w:val="single" w:sz="4" w:space="0" w:color="auto"/>
            </w:tcBorders>
            <w:vAlign w:val="center"/>
          </w:tcPr>
          <w:p w14:paraId="624B3CC2"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tcPr>
          <w:p w14:paraId="7B66C5E0"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Ministre des Aînés</w:t>
            </w:r>
          </w:p>
        </w:tc>
      </w:tr>
      <w:tr w:rsidR="007056CD" w:rsidRPr="003F1788" w14:paraId="264D94A4" w14:textId="77777777" w:rsidTr="00CD7BF8">
        <w:trPr>
          <w:trHeight w:val="342"/>
        </w:trPr>
        <w:tc>
          <w:tcPr>
            <w:tcW w:w="3134" w:type="dxa"/>
            <w:vMerge/>
            <w:tcBorders>
              <w:left w:val="single" w:sz="8" w:space="0" w:color="auto"/>
              <w:right w:val="single" w:sz="4" w:space="0" w:color="auto"/>
            </w:tcBorders>
            <w:vAlign w:val="center"/>
          </w:tcPr>
          <w:p w14:paraId="227EBBE6"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tcPr>
          <w:p w14:paraId="72FB1B27"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Ministre de l'Accessibilité</w:t>
            </w:r>
          </w:p>
        </w:tc>
      </w:tr>
      <w:tr w:rsidR="007056CD" w:rsidRPr="009E576A" w14:paraId="5D80CFA7" w14:textId="77777777" w:rsidTr="00CD7BF8">
        <w:trPr>
          <w:trHeight w:val="342"/>
        </w:trPr>
        <w:tc>
          <w:tcPr>
            <w:tcW w:w="3134" w:type="dxa"/>
            <w:vMerge/>
            <w:tcBorders>
              <w:left w:val="single" w:sz="8" w:space="0" w:color="auto"/>
              <w:right w:val="single" w:sz="4" w:space="0" w:color="auto"/>
            </w:tcBorders>
            <w:vAlign w:val="center"/>
          </w:tcPr>
          <w:p w14:paraId="094C1998"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tcPr>
          <w:p w14:paraId="477E90AB"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Ministre de la famille, des enfants et du développement social</w:t>
            </w:r>
          </w:p>
        </w:tc>
      </w:tr>
      <w:tr w:rsidR="007056CD" w:rsidRPr="002B637F" w14:paraId="3FE32CD1" w14:textId="77777777" w:rsidTr="00CD7BF8">
        <w:trPr>
          <w:trHeight w:val="342"/>
        </w:trPr>
        <w:tc>
          <w:tcPr>
            <w:tcW w:w="3134" w:type="dxa"/>
            <w:vMerge/>
            <w:tcBorders>
              <w:left w:val="single" w:sz="8" w:space="0" w:color="auto"/>
              <w:right w:val="single" w:sz="4" w:space="0" w:color="auto"/>
            </w:tcBorders>
            <w:vAlign w:val="center"/>
          </w:tcPr>
          <w:p w14:paraId="31AB2A36"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tcPr>
          <w:p w14:paraId="0E7F2CB7"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Sous-ministre, EDSC</w:t>
            </w:r>
          </w:p>
        </w:tc>
      </w:tr>
      <w:tr w:rsidR="007056CD" w:rsidRPr="003F1788" w14:paraId="7075AD01" w14:textId="77777777" w:rsidTr="00CD7BF8">
        <w:trPr>
          <w:trHeight w:val="342"/>
        </w:trPr>
        <w:tc>
          <w:tcPr>
            <w:tcW w:w="3134" w:type="dxa"/>
            <w:vMerge/>
            <w:tcBorders>
              <w:left w:val="single" w:sz="8" w:space="0" w:color="auto"/>
              <w:right w:val="single" w:sz="4" w:space="0" w:color="auto"/>
            </w:tcBorders>
            <w:vAlign w:val="center"/>
            <w:hideMark/>
          </w:tcPr>
          <w:p w14:paraId="093B1A95"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hideMark/>
          </w:tcPr>
          <w:p w14:paraId="3B7772A3"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Sous-ministre, Travail</w:t>
            </w:r>
          </w:p>
        </w:tc>
      </w:tr>
      <w:tr w:rsidR="007056CD" w:rsidRPr="00F97DF0" w14:paraId="5F3DB5FF" w14:textId="77777777" w:rsidTr="00CD7BF8">
        <w:trPr>
          <w:trHeight w:val="342"/>
        </w:trPr>
        <w:tc>
          <w:tcPr>
            <w:tcW w:w="3134" w:type="dxa"/>
            <w:vMerge/>
            <w:tcBorders>
              <w:left w:val="single" w:sz="8" w:space="0" w:color="auto"/>
              <w:right w:val="single" w:sz="4" w:space="0" w:color="auto"/>
            </w:tcBorders>
            <w:vAlign w:val="center"/>
            <w:hideMark/>
          </w:tcPr>
          <w:p w14:paraId="6D7AFEBD"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hideMark/>
          </w:tcPr>
          <w:p w14:paraId="228B90C6"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Chef de l’accessibilité</w:t>
            </w:r>
          </w:p>
        </w:tc>
      </w:tr>
      <w:tr w:rsidR="007056CD" w:rsidRPr="003F1788" w14:paraId="785E7A79" w14:textId="77777777" w:rsidTr="00CD7BF8">
        <w:trPr>
          <w:trHeight w:val="342"/>
        </w:trPr>
        <w:tc>
          <w:tcPr>
            <w:tcW w:w="3134" w:type="dxa"/>
            <w:vMerge/>
            <w:tcBorders>
              <w:left w:val="single" w:sz="8" w:space="0" w:color="auto"/>
              <w:right w:val="single" w:sz="4" w:space="0" w:color="auto"/>
            </w:tcBorders>
            <w:vAlign w:val="center"/>
          </w:tcPr>
          <w:p w14:paraId="5D7BEF12"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tcPr>
          <w:p w14:paraId="768F73E8"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Commissaires</w:t>
            </w:r>
          </w:p>
        </w:tc>
      </w:tr>
      <w:tr w:rsidR="007056CD" w:rsidRPr="003F1788" w14:paraId="678A96DD" w14:textId="77777777" w:rsidTr="00CD7BF8">
        <w:trPr>
          <w:trHeight w:val="342"/>
        </w:trPr>
        <w:tc>
          <w:tcPr>
            <w:tcW w:w="3134" w:type="dxa"/>
            <w:vMerge/>
            <w:tcBorders>
              <w:left w:val="single" w:sz="8" w:space="0" w:color="auto"/>
              <w:right w:val="single" w:sz="4" w:space="0" w:color="auto"/>
            </w:tcBorders>
            <w:vAlign w:val="center"/>
            <w:hideMark/>
          </w:tcPr>
          <w:p w14:paraId="5B8D6313"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hideMark/>
          </w:tcPr>
          <w:p w14:paraId="5A1EB820"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Secrétariat ministériel</w:t>
            </w:r>
          </w:p>
        </w:tc>
      </w:tr>
      <w:tr w:rsidR="007056CD" w:rsidRPr="003F1788" w14:paraId="6909DBA9" w14:textId="77777777" w:rsidTr="00CD7BF8">
        <w:trPr>
          <w:trHeight w:val="342"/>
        </w:trPr>
        <w:tc>
          <w:tcPr>
            <w:tcW w:w="3134" w:type="dxa"/>
            <w:vMerge/>
            <w:tcBorders>
              <w:left w:val="single" w:sz="8" w:space="0" w:color="auto"/>
              <w:right w:val="single" w:sz="4" w:space="0" w:color="auto"/>
            </w:tcBorders>
            <w:vAlign w:val="center"/>
            <w:hideMark/>
          </w:tcPr>
          <w:p w14:paraId="4ACA840F"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nil"/>
              <w:right w:val="single" w:sz="8" w:space="0" w:color="auto"/>
            </w:tcBorders>
            <w:shd w:val="clear" w:color="auto" w:fill="auto"/>
            <w:vAlign w:val="center"/>
            <w:hideMark/>
          </w:tcPr>
          <w:p w14:paraId="5639233E"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Services juridiques</w:t>
            </w:r>
          </w:p>
        </w:tc>
      </w:tr>
      <w:tr w:rsidR="007056CD" w:rsidRPr="009E576A" w14:paraId="4D976D3A" w14:textId="77777777" w:rsidTr="00CD7BF8">
        <w:trPr>
          <w:trHeight w:val="342"/>
        </w:trPr>
        <w:tc>
          <w:tcPr>
            <w:tcW w:w="3134" w:type="dxa"/>
            <w:vMerge/>
            <w:tcBorders>
              <w:left w:val="single" w:sz="8" w:space="0" w:color="auto"/>
              <w:right w:val="single" w:sz="4" w:space="0" w:color="auto"/>
            </w:tcBorders>
            <w:vAlign w:val="center"/>
            <w:hideMark/>
          </w:tcPr>
          <w:p w14:paraId="3A3CCFF1"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single" w:sz="4" w:space="0" w:color="auto"/>
              <w:left w:val="nil"/>
              <w:bottom w:val="single" w:sz="4" w:space="0" w:color="auto"/>
              <w:right w:val="single" w:sz="8" w:space="0" w:color="auto"/>
            </w:tcBorders>
            <w:shd w:val="clear" w:color="auto" w:fill="auto"/>
            <w:vAlign w:val="center"/>
            <w:hideMark/>
          </w:tcPr>
          <w:p w14:paraId="4A021975"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des affaires publiques et des relations avec les intervenants</w:t>
            </w:r>
          </w:p>
        </w:tc>
      </w:tr>
      <w:tr w:rsidR="007056CD" w:rsidRPr="009E576A" w14:paraId="6FA904F1" w14:textId="77777777" w:rsidTr="00CD7BF8">
        <w:trPr>
          <w:trHeight w:val="342"/>
        </w:trPr>
        <w:tc>
          <w:tcPr>
            <w:tcW w:w="3134" w:type="dxa"/>
            <w:vMerge/>
            <w:tcBorders>
              <w:left w:val="single" w:sz="8" w:space="0" w:color="auto"/>
              <w:right w:val="single" w:sz="4" w:space="0" w:color="auto"/>
            </w:tcBorders>
            <w:vAlign w:val="center"/>
            <w:hideMark/>
          </w:tcPr>
          <w:p w14:paraId="45462E19"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hideMark/>
          </w:tcPr>
          <w:p w14:paraId="306361BB" w14:textId="77777777" w:rsidR="007056CD" w:rsidRPr="00410961" w:rsidRDefault="007056CD" w:rsidP="00E66A86">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 la vérification interne et gestion des risques d'entreprise</w:t>
            </w:r>
          </w:p>
        </w:tc>
      </w:tr>
      <w:tr w:rsidR="007056CD" w:rsidRPr="00A72038" w14:paraId="003C7082" w14:textId="77777777" w:rsidTr="00935B57">
        <w:trPr>
          <w:trHeight w:val="342"/>
        </w:trPr>
        <w:tc>
          <w:tcPr>
            <w:tcW w:w="3134" w:type="dxa"/>
            <w:vMerge/>
            <w:tcBorders>
              <w:left w:val="single" w:sz="8" w:space="0" w:color="auto"/>
              <w:bottom w:val="single" w:sz="4" w:space="0" w:color="auto"/>
              <w:right w:val="single" w:sz="4" w:space="0" w:color="auto"/>
            </w:tcBorders>
            <w:vAlign w:val="center"/>
          </w:tcPr>
          <w:p w14:paraId="73A42293" w14:textId="77777777" w:rsidR="007056CD" w:rsidRPr="00410961" w:rsidRDefault="007056CD" w:rsidP="00E66A86">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tcPr>
          <w:p w14:paraId="7ACF5D55" w14:textId="5B19463D" w:rsidR="007056CD" w:rsidRPr="007056CD" w:rsidRDefault="00CD7BF8" w:rsidP="001118A4">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 xml:space="preserve">RCGFC - </w:t>
            </w:r>
            <w:r w:rsidR="00A72038">
              <w:rPr>
                <w:rFonts w:asciiTheme="minorHAnsi" w:hAnsiTheme="minorHAnsi" w:cstheme="minorHAnsi"/>
                <w:sz w:val="20"/>
                <w:szCs w:val="20"/>
                <w:lang w:val="fr-CA" w:eastAsia="en-US"/>
              </w:rPr>
              <w:t>Services juridiques</w:t>
            </w:r>
          </w:p>
        </w:tc>
      </w:tr>
      <w:tr w:rsidR="002B637F" w:rsidRPr="009E576A" w14:paraId="095BDAFE" w14:textId="77777777" w:rsidTr="00935B57">
        <w:trPr>
          <w:trHeight w:val="342"/>
        </w:trPr>
        <w:tc>
          <w:tcPr>
            <w:tcW w:w="3134" w:type="dxa"/>
            <w:tcBorders>
              <w:top w:val="single" w:sz="4" w:space="0" w:color="auto"/>
              <w:left w:val="single" w:sz="8" w:space="0" w:color="auto"/>
              <w:bottom w:val="single" w:sz="4" w:space="0" w:color="auto"/>
              <w:right w:val="single" w:sz="4" w:space="0" w:color="auto"/>
            </w:tcBorders>
            <w:shd w:val="clear" w:color="000000" w:fill="DCE6F1"/>
            <w:noWrap/>
            <w:vAlign w:val="center"/>
            <w:hideMark/>
          </w:tcPr>
          <w:p w14:paraId="422F92BA"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color w:val="000000"/>
                <w:sz w:val="20"/>
                <w:szCs w:val="20"/>
                <w:lang w:val="en-US" w:eastAsia="en-US"/>
              </w:rPr>
              <w:t>GILLIS, Chris</w:t>
            </w:r>
            <w:r w:rsidRPr="00410961">
              <w:rPr>
                <w:rFonts w:asciiTheme="minorHAnsi" w:hAnsiTheme="minorHAnsi" w:cstheme="minorHAnsi"/>
                <w:sz w:val="20"/>
                <w:szCs w:val="20"/>
                <w:lang w:val="fr-CA" w:eastAsia="en-US"/>
              </w:rPr>
              <w:t xml:space="preserve"> </w:t>
            </w:r>
          </w:p>
        </w:tc>
        <w:tc>
          <w:tcPr>
            <w:tcW w:w="6646" w:type="dxa"/>
            <w:tcBorders>
              <w:top w:val="nil"/>
              <w:left w:val="nil"/>
              <w:bottom w:val="single" w:sz="4" w:space="0" w:color="auto"/>
              <w:right w:val="single" w:sz="8" w:space="0" w:color="auto"/>
            </w:tcBorders>
            <w:shd w:val="clear" w:color="000000" w:fill="DCE6F1"/>
            <w:vAlign w:val="center"/>
            <w:hideMark/>
          </w:tcPr>
          <w:p w14:paraId="361CC91B"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des compétences et de l’emploi</w:t>
            </w:r>
          </w:p>
        </w:tc>
      </w:tr>
      <w:tr w:rsidR="002B637F" w:rsidRPr="009E576A" w14:paraId="51CF0677" w14:textId="77777777" w:rsidTr="00935B57">
        <w:trPr>
          <w:trHeight w:val="342"/>
        </w:trPr>
        <w:tc>
          <w:tcPr>
            <w:tcW w:w="3134" w:type="dxa"/>
            <w:vMerge w:val="restart"/>
            <w:tcBorders>
              <w:top w:val="nil"/>
              <w:left w:val="single" w:sz="8" w:space="0" w:color="auto"/>
              <w:right w:val="single" w:sz="4" w:space="0" w:color="auto"/>
            </w:tcBorders>
            <w:shd w:val="clear" w:color="auto" w:fill="auto"/>
            <w:noWrap/>
            <w:vAlign w:val="center"/>
            <w:hideMark/>
          </w:tcPr>
          <w:p w14:paraId="23ECEF02"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WANG, Jennifer</w:t>
            </w:r>
          </w:p>
        </w:tc>
        <w:tc>
          <w:tcPr>
            <w:tcW w:w="6646" w:type="dxa"/>
            <w:tcBorders>
              <w:top w:val="single" w:sz="4" w:space="0" w:color="auto"/>
              <w:left w:val="nil"/>
              <w:bottom w:val="single" w:sz="4" w:space="0" w:color="auto"/>
              <w:right w:val="single" w:sz="8" w:space="0" w:color="auto"/>
            </w:tcBorders>
            <w:shd w:val="clear" w:color="auto" w:fill="auto"/>
            <w:vAlign w:val="center"/>
            <w:hideMark/>
          </w:tcPr>
          <w:p w14:paraId="5399E40F"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 la sécurité du revenu et du développement social</w:t>
            </w:r>
          </w:p>
        </w:tc>
      </w:tr>
      <w:tr w:rsidR="002B637F" w:rsidRPr="003F1788" w14:paraId="78C0F22C" w14:textId="77777777" w:rsidTr="00935B57">
        <w:trPr>
          <w:trHeight w:val="342"/>
        </w:trPr>
        <w:tc>
          <w:tcPr>
            <w:tcW w:w="3134" w:type="dxa"/>
            <w:vMerge/>
            <w:tcBorders>
              <w:left w:val="single" w:sz="8" w:space="0" w:color="auto"/>
              <w:right w:val="single" w:sz="4" w:space="0" w:color="auto"/>
            </w:tcBorders>
            <w:vAlign w:val="center"/>
            <w:hideMark/>
          </w:tcPr>
          <w:p w14:paraId="0E37D61B" w14:textId="77777777" w:rsidR="002B637F" w:rsidRPr="00410961" w:rsidRDefault="002B637F" w:rsidP="002B637F">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hideMark/>
          </w:tcPr>
          <w:p w14:paraId="0F1D793E"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 l’apprentissage</w:t>
            </w:r>
          </w:p>
        </w:tc>
      </w:tr>
      <w:tr w:rsidR="002B637F" w:rsidRPr="003F1788" w14:paraId="1485683E" w14:textId="77777777" w:rsidTr="00935B57">
        <w:trPr>
          <w:trHeight w:val="342"/>
        </w:trPr>
        <w:tc>
          <w:tcPr>
            <w:tcW w:w="3134" w:type="dxa"/>
            <w:vMerge/>
            <w:tcBorders>
              <w:left w:val="single" w:sz="8" w:space="0" w:color="auto"/>
              <w:bottom w:val="single" w:sz="4" w:space="0" w:color="000000"/>
              <w:right w:val="single" w:sz="4" w:space="0" w:color="auto"/>
            </w:tcBorders>
            <w:vAlign w:val="center"/>
          </w:tcPr>
          <w:p w14:paraId="1D177A19" w14:textId="77777777" w:rsidR="002B637F" w:rsidRPr="00410961" w:rsidRDefault="002B637F" w:rsidP="002B637F">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tcPr>
          <w:p w14:paraId="28B3CB27"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Horizons de politiques Canada</w:t>
            </w:r>
          </w:p>
        </w:tc>
      </w:tr>
      <w:tr w:rsidR="002B637F" w:rsidRPr="00026416" w14:paraId="37D758EB" w14:textId="77777777" w:rsidTr="00935B57">
        <w:trPr>
          <w:trHeight w:val="342"/>
        </w:trPr>
        <w:tc>
          <w:tcPr>
            <w:tcW w:w="3134" w:type="dxa"/>
            <w:vMerge w:val="restart"/>
            <w:tcBorders>
              <w:top w:val="nil"/>
              <w:left w:val="single" w:sz="8" w:space="0" w:color="auto"/>
              <w:right w:val="single" w:sz="4" w:space="0" w:color="auto"/>
            </w:tcBorders>
            <w:shd w:val="clear" w:color="000000" w:fill="DCE6F1"/>
            <w:noWrap/>
            <w:vAlign w:val="center"/>
            <w:hideMark/>
          </w:tcPr>
          <w:p w14:paraId="5CFCDA87"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MADRID, André</w:t>
            </w:r>
          </w:p>
        </w:tc>
        <w:tc>
          <w:tcPr>
            <w:tcW w:w="6646" w:type="dxa"/>
            <w:tcBorders>
              <w:top w:val="single" w:sz="4" w:space="0" w:color="auto"/>
              <w:left w:val="nil"/>
              <w:bottom w:val="single" w:sz="4" w:space="0" w:color="auto"/>
              <w:right w:val="single" w:sz="8" w:space="0" w:color="auto"/>
            </w:tcBorders>
            <w:shd w:val="clear" w:color="000000" w:fill="DCE6F1"/>
            <w:noWrap/>
            <w:vAlign w:val="center"/>
            <w:hideMark/>
          </w:tcPr>
          <w:p w14:paraId="6B585C3C"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Programme du travail</w:t>
            </w:r>
          </w:p>
        </w:tc>
      </w:tr>
      <w:tr w:rsidR="002B637F" w:rsidRPr="009E576A" w14:paraId="14814943" w14:textId="77777777" w:rsidTr="00935B57">
        <w:trPr>
          <w:trHeight w:val="342"/>
        </w:trPr>
        <w:tc>
          <w:tcPr>
            <w:tcW w:w="3134" w:type="dxa"/>
            <w:vMerge/>
            <w:tcBorders>
              <w:left w:val="single" w:sz="8" w:space="0" w:color="auto"/>
              <w:bottom w:val="single" w:sz="4" w:space="0" w:color="auto"/>
              <w:right w:val="single" w:sz="4" w:space="0" w:color="auto"/>
            </w:tcBorders>
            <w:shd w:val="clear" w:color="000000" w:fill="DCE6F1"/>
            <w:noWrap/>
            <w:vAlign w:val="center"/>
          </w:tcPr>
          <w:p w14:paraId="5B7AF13B" w14:textId="77777777" w:rsidR="002B637F" w:rsidRPr="00410961" w:rsidRDefault="002B637F" w:rsidP="002B637F">
            <w:pPr>
              <w:rPr>
                <w:rFonts w:asciiTheme="minorHAnsi" w:hAnsiTheme="minorHAnsi" w:cstheme="minorHAnsi"/>
                <w:sz w:val="20"/>
                <w:szCs w:val="20"/>
                <w:lang w:val="fr-CA" w:eastAsia="en-US"/>
              </w:rPr>
            </w:pPr>
          </w:p>
        </w:tc>
        <w:tc>
          <w:tcPr>
            <w:tcW w:w="6646" w:type="dxa"/>
            <w:tcBorders>
              <w:top w:val="single" w:sz="4" w:space="0" w:color="auto"/>
              <w:left w:val="nil"/>
              <w:bottom w:val="single" w:sz="4" w:space="0" w:color="auto"/>
              <w:right w:val="single" w:sz="8" w:space="0" w:color="auto"/>
            </w:tcBorders>
            <w:shd w:val="clear" w:color="000000" w:fill="DCE6F1"/>
            <w:noWrap/>
            <w:vAlign w:val="center"/>
          </w:tcPr>
          <w:p w14:paraId="168557AD"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des politiques stratégiques et de service</w:t>
            </w:r>
          </w:p>
        </w:tc>
      </w:tr>
      <w:tr w:rsidR="007056CD" w:rsidRPr="00026416" w14:paraId="61E781EF" w14:textId="77777777" w:rsidTr="00CD7BF8">
        <w:trPr>
          <w:trHeight w:val="342"/>
        </w:trPr>
        <w:tc>
          <w:tcPr>
            <w:tcW w:w="3134" w:type="dxa"/>
            <w:vMerge w:val="restart"/>
            <w:tcBorders>
              <w:top w:val="nil"/>
              <w:left w:val="single" w:sz="8" w:space="0" w:color="auto"/>
              <w:right w:val="single" w:sz="4" w:space="0" w:color="auto"/>
            </w:tcBorders>
            <w:shd w:val="clear" w:color="auto" w:fill="auto"/>
            <w:noWrap/>
            <w:vAlign w:val="center"/>
            <w:hideMark/>
          </w:tcPr>
          <w:p w14:paraId="3EE458C5" w14:textId="77777777" w:rsidR="007056CD" w:rsidRPr="00410961" w:rsidRDefault="007056CD"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ERDMAN, Adam</w:t>
            </w:r>
          </w:p>
        </w:tc>
        <w:tc>
          <w:tcPr>
            <w:tcW w:w="6646" w:type="dxa"/>
            <w:tcBorders>
              <w:top w:val="nil"/>
              <w:left w:val="nil"/>
              <w:bottom w:val="single" w:sz="4" w:space="0" w:color="auto"/>
              <w:right w:val="single" w:sz="8" w:space="0" w:color="auto"/>
            </w:tcBorders>
            <w:shd w:val="clear" w:color="auto" w:fill="auto"/>
            <w:vAlign w:val="center"/>
            <w:hideMark/>
          </w:tcPr>
          <w:p w14:paraId="592E57B4" w14:textId="77777777" w:rsidR="007056CD" w:rsidRPr="00410961" w:rsidRDefault="007056CD"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Chef de l’exploitation</w:t>
            </w:r>
          </w:p>
        </w:tc>
      </w:tr>
      <w:tr w:rsidR="007056CD" w:rsidRPr="009E576A" w14:paraId="0FD7E015" w14:textId="77777777" w:rsidTr="00CD7BF8">
        <w:trPr>
          <w:trHeight w:val="342"/>
        </w:trPr>
        <w:tc>
          <w:tcPr>
            <w:tcW w:w="3134" w:type="dxa"/>
            <w:vMerge/>
            <w:tcBorders>
              <w:left w:val="single" w:sz="8" w:space="0" w:color="auto"/>
              <w:right w:val="single" w:sz="4" w:space="0" w:color="auto"/>
            </w:tcBorders>
            <w:vAlign w:val="center"/>
            <w:hideMark/>
          </w:tcPr>
          <w:p w14:paraId="09709D19" w14:textId="77777777" w:rsidR="007056CD" w:rsidRPr="00410961" w:rsidRDefault="007056CD" w:rsidP="002B637F">
            <w:pPr>
              <w:rPr>
                <w:rFonts w:asciiTheme="minorHAnsi" w:hAnsiTheme="minorHAnsi" w:cstheme="minorHAnsi"/>
                <w:sz w:val="20"/>
                <w:szCs w:val="20"/>
                <w:lang w:val="fr-CA" w:eastAsia="en-US"/>
              </w:rPr>
            </w:pPr>
          </w:p>
        </w:tc>
        <w:tc>
          <w:tcPr>
            <w:tcW w:w="6646" w:type="dxa"/>
            <w:tcBorders>
              <w:top w:val="single" w:sz="4" w:space="0" w:color="auto"/>
              <w:left w:val="nil"/>
              <w:bottom w:val="single" w:sz="4" w:space="0" w:color="auto"/>
              <w:right w:val="single" w:sz="8" w:space="0" w:color="auto"/>
            </w:tcBorders>
            <w:shd w:val="clear" w:color="auto" w:fill="auto"/>
            <w:vAlign w:val="center"/>
            <w:hideMark/>
          </w:tcPr>
          <w:p w14:paraId="40477171" w14:textId="77777777" w:rsidR="007056CD" w:rsidRPr="00410961" w:rsidRDefault="007056CD"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des services d’intégrité</w:t>
            </w:r>
          </w:p>
        </w:tc>
      </w:tr>
      <w:tr w:rsidR="007056CD" w:rsidRPr="009E576A" w14:paraId="7FF524A0" w14:textId="77777777" w:rsidTr="00CD7BF8">
        <w:trPr>
          <w:trHeight w:val="342"/>
        </w:trPr>
        <w:tc>
          <w:tcPr>
            <w:tcW w:w="3134" w:type="dxa"/>
            <w:vMerge/>
            <w:tcBorders>
              <w:left w:val="single" w:sz="8" w:space="0" w:color="auto"/>
              <w:right w:val="single" w:sz="4" w:space="0" w:color="auto"/>
            </w:tcBorders>
            <w:vAlign w:val="center"/>
            <w:hideMark/>
          </w:tcPr>
          <w:p w14:paraId="67BC4BE9" w14:textId="77777777" w:rsidR="007056CD" w:rsidRPr="00410961" w:rsidRDefault="007056CD" w:rsidP="002B637F">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noWrap/>
            <w:vAlign w:val="center"/>
            <w:hideMark/>
          </w:tcPr>
          <w:p w14:paraId="3DB91205" w14:textId="77777777" w:rsidR="007056CD" w:rsidRPr="00410961" w:rsidRDefault="007056CD"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des opérations de programmes</w:t>
            </w:r>
          </w:p>
        </w:tc>
      </w:tr>
      <w:tr w:rsidR="007056CD" w:rsidRPr="009E576A" w14:paraId="33C18B01" w14:textId="77777777" w:rsidTr="00CD7BF8">
        <w:trPr>
          <w:trHeight w:val="342"/>
        </w:trPr>
        <w:tc>
          <w:tcPr>
            <w:tcW w:w="3134" w:type="dxa"/>
            <w:vMerge/>
            <w:tcBorders>
              <w:left w:val="single" w:sz="8" w:space="0" w:color="auto"/>
              <w:right w:val="single" w:sz="4" w:space="0" w:color="auto"/>
            </w:tcBorders>
            <w:vAlign w:val="center"/>
          </w:tcPr>
          <w:p w14:paraId="60D8BD39" w14:textId="77777777" w:rsidR="007056CD" w:rsidRPr="00410961" w:rsidRDefault="007056CD" w:rsidP="002B637F">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noWrap/>
            <w:vAlign w:val="center"/>
          </w:tcPr>
          <w:p w14:paraId="75E02A3E" w14:textId="08610FE6" w:rsidR="007056CD" w:rsidRPr="007056CD" w:rsidRDefault="001A2F31" w:rsidP="001A2F31">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 xml:space="preserve">RCGFC </w:t>
            </w:r>
            <w:r w:rsidR="00A72038">
              <w:rPr>
                <w:rFonts w:asciiTheme="minorHAnsi" w:hAnsiTheme="minorHAnsi" w:cstheme="minorHAnsi"/>
                <w:sz w:val="20"/>
                <w:szCs w:val="20"/>
                <w:lang w:val="fr-CA" w:eastAsia="en-US"/>
              </w:rPr>
              <w:t>-</w:t>
            </w:r>
            <w:r>
              <w:rPr>
                <w:rFonts w:asciiTheme="minorHAnsi" w:hAnsiTheme="minorHAnsi" w:cstheme="minorHAnsi"/>
                <w:sz w:val="20"/>
                <w:szCs w:val="20"/>
                <w:lang w:val="fr-CA" w:eastAsia="en-US"/>
              </w:rPr>
              <w:t xml:space="preserve"> Échanges liés à l’état civil</w:t>
            </w:r>
          </w:p>
        </w:tc>
      </w:tr>
      <w:tr w:rsidR="007056CD" w:rsidRPr="009E576A" w14:paraId="78591691" w14:textId="77777777" w:rsidTr="00CD7BF8">
        <w:trPr>
          <w:trHeight w:val="342"/>
        </w:trPr>
        <w:tc>
          <w:tcPr>
            <w:tcW w:w="3134" w:type="dxa"/>
            <w:vMerge/>
            <w:tcBorders>
              <w:left w:val="single" w:sz="8" w:space="0" w:color="auto"/>
              <w:bottom w:val="single" w:sz="4" w:space="0" w:color="auto"/>
              <w:right w:val="single" w:sz="4" w:space="0" w:color="auto"/>
            </w:tcBorders>
            <w:vAlign w:val="center"/>
          </w:tcPr>
          <w:p w14:paraId="22FE7038" w14:textId="77777777" w:rsidR="007056CD" w:rsidRPr="00410961" w:rsidRDefault="007056CD" w:rsidP="002B637F">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noWrap/>
            <w:vAlign w:val="center"/>
          </w:tcPr>
          <w:p w14:paraId="1623D96E" w14:textId="21DEEFAC" w:rsidR="007056CD" w:rsidRPr="00A72038" w:rsidRDefault="001A2F31" w:rsidP="00A72038">
            <w:pPr>
              <w:rPr>
                <w:rFonts w:asciiTheme="minorHAnsi" w:hAnsiTheme="minorHAnsi" w:cstheme="minorHAnsi"/>
                <w:sz w:val="20"/>
                <w:szCs w:val="20"/>
                <w:lang w:val="fr-CA" w:eastAsia="en-US"/>
              </w:rPr>
            </w:pPr>
            <w:r w:rsidRPr="00A72038">
              <w:rPr>
                <w:rFonts w:asciiTheme="minorHAnsi" w:hAnsiTheme="minorHAnsi" w:cstheme="minorHAnsi"/>
                <w:sz w:val="20"/>
                <w:szCs w:val="20"/>
                <w:lang w:val="fr-CA" w:eastAsia="en-US"/>
              </w:rPr>
              <w:t xml:space="preserve">RCGFC - </w:t>
            </w:r>
            <w:r w:rsidR="00A72038" w:rsidRPr="00A72038">
              <w:rPr>
                <w:rFonts w:asciiTheme="minorHAnsi" w:hAnsiTheme="minorHAnsi" w:cstheme="minorHAnsi"/>
                <w:sz w:val="20"/>
                <w:szCs w:val="20"/>
                <w:lang w:val="fr-CA" w:eastAsia="en-US"/>
              </w:rPr>
              <w:t>Gestion des justificatifs externes</w:t>
            </w:r>
          </w:p>
        </w:tc>
      </w:tr>
      <w:tr w:rsidR="002B637F" w:rsidRPr="009E576A" w14:paraId="482D2076" w14:textId="77777777" w:rsidTr="00935B57">
        <w:trPr>
          <w:trHeight w:val="453"/>
        </w:trPr>
        <w:tc>
          <w:tcPr>
            <w:tcW w:w="3134" w:type="dxa"/>
            <w:tcBorders>
              <w:top w:val="single" w:sz="4" w:space="0" w:color="auto"/>
              <w:left w:val="single" w:sz="8" w:space="0" w:color="auto"/>
              <w:bottom w:val="single" w:sz="4" w:space="0" w:color="auto"/>
              <w:right w:val="single" w:sz="4" w:space="0" w:color="auto"/>
            </w:tcBorders>
            <w:shd w:val="clear" w:color="000000" w:fill="DCE6F1"/>
            <w:noWrap/>
            <w:vAlign w:val="center"/>
            <w:hideMark/>
          </w:tcPr>
          <w:p w14:paraId="7A8B1405"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DESGAGNÉ, Sébastien</w:t>
            </w:r>
          </w:p>
        </w:tc>
        <w:tc>
          <w:tcPr>
            <w:tcW w:w="6646" w:type="dxa"/>
            <w:tcBorders>
              <w:top w:val="nil"/>
              <w:left w:val="nil"/>
              <w:right w:val="single" w:sz="8" w:space="0" w:color="auto"/>
            </w:tcBorders>
            <w:shd w:val="clear" w:color="000000" w:fill="DCE6F1"/>
            <w:vAlign w:val="center"/>
          </w:tcPr>
          <w:p w14:paraId="448BF46F"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des services aux citoyens (y compris Passeport)</w:t>
            </w:r>
          </w:p>
        </w:tc>
      </w:tr>
      <w:tr w:rsidR="002B637F" w:rsidRPr="009E576A" w14:paraId="07FEED3C" w14:textId="77777777" w:rsidTr="00935B57">
        <w:trPr>
          <w:trHeight w:val="342"/>
        </w:trPr>
        <w:tc>
          <w:tcPr>
            <w:tcW w:w="3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6433C6B"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VINET, Josée</w:t>
            </w:r>
          </w:p>
        </w:tc>
        <w:tc>
          <w:tcPr>
            <w:tcW w:w="6646" w:type="dxa"/>
            <w:tcBorders>
              <w:top w:val="single" w:sz="4" w:space="0" w:color="auto"/>
              <w:left w:val="nil"/>
              <w:bottom w:val="single" w:sz="4" w:space="0" w:color="auto"/>
              <w:right w:val="single" w:sz="8" w:space="0" w:color="auto"/>
            </w:tcBorders>
            <w:shd w:val="clear" w:color="auto" w:fill="auto"/>
            <w:noWrap/>
            <w:vAlign w:val="center"/>
          </w:tcPr>
          <w:p w14:paraId="5C717769" w14:textId="77777777" w:rsidR="002B637F" w:rsidRPr="00410961" w:rsidRDefault="002B637F"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Transformation et gestion intégrée des services</w:t>
            </w:r>
          </w:p>
        </w:tc>
      </w:tr>
      <w:tr w:rsidR="007056CD" w:rsidRPr="009E576A" w14:paraId="7C824CF6" w14:textId="77777777" w:rsidTr="00CD7BF8">
        <w:trPr>
          <w:trHeight w:val="342"/>
        </w:trPr>
        <w:tc>
          <w:tcPr>
            <w:tcW w:w="3134" w:type="dxa"/>
            <w:vMerge w:val="restart"/>
            <w:tcBorders>
              <w:top w:val="single" w:sz="4" w:space="0" w:color="auto"/>
              <w:left w:val="single" w:sz="8" w:space="0" w:color="auto"/>
              <w:right w:val="single" w:sz="4" w:space="0" w:color="auto"/>
            </w:tcBorders>
            <w:shd w:val="clear" w:color="auto" w:fill="auto"/>
            <w:noWrap/>
            <w:vAlign w:val="center"/>
            <w:hideMark/>
          </w:tcPr>
          <w:p w14:paraId="59DFD476" w14:textId="77777777" w:rsidR="007056CD" w:rsidRPr="00410961" w:rsidRDefault="007056CD"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ASSAAD, Ghassan</w:t>
            </w:r>
          </w:p>
        </w:tc>
        <w:tc>
          <w:tcPr>
            <w:tcW w:w="6646" w:type="dxa"/>
            <w:tcBorders>
              <w:top w:val="single" w:sz="4" w:space="0" w:color="auto"/>
              <w:left w:val="nil"/>
              <w:bottom w:val="single" w:sz="4" w:space="0" w:color="auto"/>
              <w:right w:val="single" w:sz="8" w:space="0" w:color="auto"/>
            </w:tcBorders>
            <w:shd w:val="clear" w:color="auto" w:fill="auto"/>
            <w:noWrap/>
            <w:vAlign w:val="center"/>
            <w:hideMark/>
          </w:tcPr>
          <w:p w14:paraId="7AE69F83" w14:textId="77777777" w:rsidR="007056CD" w:rsidRPr="00410961" w:rsidRDefault="007056CD"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Services de versement des prestations</w:t>
            </w:r>
          </w:p>
        </w:tc>
      </w:tr>
      <w:tr w:rsidR="007056CD" w:rsidRPr="006D1CAF" w14:paraId="6DD07E14" w14:textId="77777777" w:rsidTr="00CD7BF8">
        <w:trPr>
          <w:trHeight w:val="342"/>
        </w:trPr>
        <w:tc>
          <w:tcPr>
            <w:tcW w:w="3134" w:type="dxa"/>
            <w:vMerge/>
            <w:tcBorders>
              <w:left w:val="single" w:sz="8" w:space="0" w:color="auto"/>
              <w:right w:val="single" w:sz="4" w:space="0" w:color="auto"/>
            </w:tcBorders>
            <w:shd w:val="clear" w:color="auto" w:fill="auto"/>
            <w:noWrap/>
            <w:vAlign w:val="center"/>
          </w:tcPr>
          <w:p w14:paraId="319B4B18" w14:textId="77777777" w:rsidR="007056CD" w:rsidRPr="00410961" w:rsidRDefault="007056CD" w:rsidP="002B637F">
            <w:pPr>
              <w:rPr>
                <w:rFonts w:asciiTheme="minorHAnsi" w:hAnsiTheme="minorHAnsi" w:cstheme="minorHAnsi"/>
                <w:sz w:val="20"/>
                <w:szCs w:val="20"/>
                <w:lang w:val="fr-CA" w:eastAsia="en-US"/>
              </w:rPr>
            </w:pPr>
          </w:p>
        </w:tc>
        <w:tc>
          <w:tcPr>
            <w:tcW w:w="6646" w:type="dxa"/>
            <w:tcBorders>
              <w:top w:val="single" w:sz="4" w:space="0" w:color="auto"/>
              <w:left w:val="nil"/>
              <w:bottom w:val="single" w:sz="4" w:space="0" w:color="auto"/>
              <w:right w:val="single" w:sz="8" w:space="0" w:color="auto"/>
            </w:tcBorders>
            <w:shd w:val="clear" w:color="auto" w:fill="auto"/>
            <w:noWrap/>
            <w:vAlign w:val="center"/>
          </w:tcPr>
          <w:p w14:paraId="2D9CA772" w14:textId="2E05C662" w:rsidR="007056CD" w:rsidRPr="00410961"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RCGFC - Frais médicaux RPC</w:t>
            </w:r>
          </w:p>
        </w:tc>
      </w:tr>
      <w:tr w:rsidR="007056CD" w:rsidRPr="006D1CAF" w14:paraId="51BEFFBF" w14:textId="77777777" w:rsidTr="00CD7BF8">
        <w:trPr>
          <w:trHeight w:val="342"/>
        </w:trPr>
        <w:tc>
          <w:tcPr>
            <w:tcW w:w="3134" w:type="dxa"/>
            <w:vMerge/>
            <w:tcBorders>
              <w:left w:val="single" w:sz="8" w:space="0" w:color="auto"/>
              <w:right w:val="single" w:sz="4" w:space="0" w:color="auto"/>
            </w:tcBorders>
            <w:shd w:val="clear" w:color="auto" w:fill="auto"/>
            <w:noWrap/>
            <w:vAlign w:val="center"/>
          </w:tcPr>
          <w:p w14:paraId="31F80D82" w14:textId="77777777" w:rsidR="007056CD" w:rsidRPr="00410961" w:rsidRDefault="007056CD" w:rsidP="002B637F">
            <w:pPr>
              <w:rPr>
                <w:rFonts w:asciiTheme="minorHAnsi" w:hAnsiTheme="minorHAnsi" w:cstheme="minorHAnsi"/>
                <w:sz w:val="20"/>
                <w:szCs w:val="20"/>
                <w:lang w:val="fr-CA" w:eastAsia="en-US"/>
              </w:rPr>
            </w:pPr>
          </w:p>
        </w:tc>
        <w:tc>
          <w:tcPr>
            <w:tcW w:w="6646" w:type="dxa"/>
            <w:tcBorders>
              <w:top w:val="single" w:sz="4" w:space="0" w:color="auto"/>
              <w:left w:val="nil"/>
              <w:bottom w:val="single" w:sz="4" w:space="0" w:color="auto"/>
              <w:right w:val="single" w:sz="8" w:space="0" w:color="auto"/>
            </w:tcBorders>
            <w:shd w:val="clear" w:color="auto" w:fill="auto"/>
            <w:noWrap/>
            <w:vAlign w:val="center"/>
          </w:tcPr>
          <w:p w14:paraId="142B072D" w14:textId="2ADD3F35" w:rsidR="007056CD" w:rsidRPr="00410961" w:rsidRDefault="00A72038" w:rsidP="002B637F">
            <w:pPr>
              <w:rPr>
                <w:rFonts w:asciiTheme="minorHAnsi" w:hAnsiTheme="minorHAnsi" w:cstheme="minorHAnsi"/>
                <w:sz w:val="20"/>
                <w:szCs w:val="20"/>
                <w:lang w:val="fr-CA" w:eastAsia="en-US"/>
              </w:rPr>
            </w:pPr>
            <w:r>
              <w:rPr>
                <w:rFonts w:asciiTheme="minorHAnsi" w:hAnsiTheme="minorHAnsi" w:cstheme="minorHAnsi"/>
                <w:sz w:val="20"/>
                <w:szCs w:val="20"/>
                <w:lang w:eastAsia="en-US"/>
              </w:rPr>
              <w:t xml:space="preserve">RCGFC - </w:t>
            </w:r>
            <w:r w:rsidR="007056CD" w:rsidRPr="007056CD">
              <w:rPr>
                <w:rFonts w:asciiTheme="minorHAnsi" w:hAnsiTheme="minorHAnsi" w:cstheme="minorHAnsi"/>
                <w:sz w:val="20"/>
                <w:szCs w:val="20"/>
                <w:lang w:eastAsia="en-US"/>
              </w:rPr>
              <w:t>Mandats AE</w:t>
            </w:r>
          </w:p>
        </w:tc>
      </w:tr>
      <w:tr w:rsidR="007056CD" w:rsidRPr="009E576A" w14:paraId="6AF63BA0" w14:textId="77777777" w:rsidTr="00CD7BF8">
        <w:trPr>
          <w:trHeight w:val="342"/>
        </w:trPr>
        <w:tc>
          <w:tcPr>
            <w:tcW w:w="3134" w:type="dxa"/>
            <w:vMerge/>
            <w:tcBorders>
              <w:left w:val="single" w:sz="8" w:space="0" w:color="auto"/>
              <w:bottom w:val="single" w:sz="4" w:space="0" w:color="auto"/>
              <w:right w:val="single" w:sz="4" w:space="0" w:color="auto"/>
            </w:tcBorders>
            <w:shd w:val="clear" w:color="auto" w:fill="auto"/>
            <w:noWrap/>
            <w:vAlign w:val="center"/>
          </w:tcPr>
          <w:p w14:paraId="27661748" w14:textId="77777777" w:rsidR="007056CD" w:rsidRPr="00410961" w:rsidRDefault="007056CD" w:rsidP="002B637F">
            <w:pPr>
              <w:rPr>
                <w:rFonts w:asciiTheme="minorHAnsi" w:hAnsiTheme="minorHAnsi" w:cstheme="minorHAnsi"/>
                <w:sz w:val="20"/>
                <w:szCs w:val="20"/>
                <w:lang w:val="fr-CA" w:eastAsia="en-US"/>
              </w:rPr>
            </w:pPr>
          </w:p>
        </w:tc>
        <w:tc>
          <w:tcPr>
            <w:tcW w:w="6646" w:type="dxa"/>
            <w:tcBorders>
              <w:top w:val="single" w:sz="4" w:space="0" w:color="auto"/>
              <w:left w:val="nil"/>
              <w:bottom w:val="single" w:sz="4" w:space="0" w:color="auto"/>
              <w:right w:val="single" w:sz="8" w:space="0" w:color="auto"/>
            </w:tcBorders>
            <w:shd w:val="clear" w:color="auto" w:fill="auto"/>
            <w:noWrap/>
            <w:vAlign w:val="center"/>
          </w:tcPr>
          <w:p w14:paraId="1297F748" w14:textId="064EC399" w:rsidR="007056CD" w:rsidRPr="00410961"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 xml:space="preserve">RCGFC - </w:t>
            </w:r>
            <w:r w:rsidRPr="00A72038">
              <w:rPr>
                <w:rFonts w:asciiTheme="minorHAnsi" w:hAnsiTheme="minorHAnsi" w:cstheme="minorHAnsi"/>
                <w:sz w:val="20"/>
                <w:szCs w:val="20"/>
                <w:lang w:val="fr-CA" w:eastAsia="en-US"/>
              </w:rPr>
              <w:t>I</w:t>
            </w:r>
            <w:r w:rsidR="007056CD" w:rsidRPr="00A72038">
              <w:rPr>
                <w:rFonts w:asciiTheme="minorHAnsi" w:hAnsiTheme="minorHAnsi" w:cstheme="minorHAnsi"/>
                <w:sz w:val="20"/>
                <w:szCs w:val="20"/>
                <w:lang w:val="fr-CA" w:eastAsia="en-US"/>
              </w:rPr>
              <w:t>mpression et affranchissement</w:t>
            </w:r>
            <w:r w:rsidRPr="00A72038">
              <w:rPr>
                <w:rFonts w:asciiTheme="minorHAnsi" w:hAnsiTheme="minorHAnsi" w:cstheme="minorHAnsi"/>
                <w:sz w:val="20"/>
                <w:szCs w:val="20"/>
                <w:lang w:val="fr-CA" w:eastAsia="en-US"/>
              </w:rPr>
              <w:t xml:space="preserve"> de pension</w:t>
            </w:r>
          </w:p>
        </w:tc>
      </w:tr>
      <w:tr w:rsidR="00C1044A" w:rsidRPr="009E576A" w14:paraId="104674DA" w14:textId="77777777" w:rsidTr="00A72038">
        <w:trPr>
          <w:trHeight w:val="342"/>
        </w:trPr>
        <w:tc>
          <w:tcPr>
            <w:tcW w:w="3134" w:type="dxa"/>
            <w:vMerge w:val="restart"/>
            <w:tcBorders>
              <w:top w:val="single" w:sz="4" w:space="0" w:color="auto"/>
              <w:left w:val="single" w:sz="8" w:space="0" w:color="auto"/>
              <w:right w:val="single" w:sz="4" w:space="0" w:color="auto"/>
            </w:tcBorders>
            <w:shd w:val="clear" w:color="000000" w:fill="DCE6F1"/>
            <w:noWrap/>
            <w:vAlign w:val="center"/>
            <w:hideMark/>
          </w:tcPr>
          <w:p w14:paraId="2DCF7A9F" w14:textId="77777777" w:rsidR="00C1044A" w:rsidRPr="00410961" w:rsidRDefault="00C1044A"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NDIAYE PEREIRA, Rose Marie</w:t>
            </w:r>
          </w:p>
        </w:tc>
        <w:tc>
          <w:tcPr>
            <w:tcW w:w="6646" w:type="dxa"/>
            <w:tcBorders>
              <w:top w:val="single" w:sz="4" w:space="0" w:color="auto"/>
              <w:left w:val="nil"/>
              <w:bottom w:val="single" w:sz="4" w:space="0" w:color="auto"/>
              <w:right w:val="single" w:sz="8" w:space="0" w:color="auto"/>
            </w:tcBorders>
            <w:shd w:val="clear" w:color="000000" w:fill="DCE6F1"/>
            <w:noWrap/>
            <w:vAlign w:val="center"/>
            <w:hideMark/>
          </w:tcPr>
          <w:p w14:paraId="0B9FE5FB" w14:textId="77777777" w:rsidR="00C1044A" w:rsidRPr="00410961" w:rsidRDefault="00C1044A" w:rsidP="002B637F">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 l’agent principal des finances</w:t>
            </w:r>
          </w:p>
        </w:tc>
      </w:tr>
      <w:tr w:rsidR="00A72038" w:rsidRPr="009E576A" w14:paraId="532B3960" w14:textId="77777777" w:rsidTr="00CD7BF8">
        <w:trPr>
          <w:trHeight w:val="342"/>
        </w:trPr>
        <w:tc>
          <w:tcPr>
            <w:tcW w:w="3134" w:type="dxa"/>
            <w:vMerge/>
            <w:tcBorders>
              <w:left w:val="single" w:sz="8" w:space="0" w:color="auto"/>
              <w:right w:val="single" w:sz="4" w:space="0" w:color="auto"/>
            </w:tcBorders>
            <w:shd w:val="clear" w:color="000000" w:fill="DCE6F1"/>
            <w:noWrap/>
            <w:vAlign w:val="center"/>
          </w:tcPr>
          <w:p w14:paraId="79FD782E"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000000" w:fill="DCE6F1"/>
            <w:noWrap/>
            <w:vAlign w:val="center"/>
          </w:tcPr>
          <w:p w14:paraId="0BF86444" w14:textId="2DBD7302" w:rsidR="00A72038" w:rsidRPr="00410961"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RCGFC - Parc automobile du ministère</w:t>
            </w:r>
          </w:p>
        </w:tc>
      </w:tr>
      <w:tr w:rsidR="00A72038" w:rsidRPr="009E576A" w14:paraId="18502636" w14:textId="77777777" w:rsidTr="00CD7BF8">
        <w:trPr>
          <w:trHeight w:val="342"/>
        </w:trPr>
        <w:tc>
          <w:tcPr>
            <w:tcW w:w="3134" w:type="dxa"/>
            <w:vMerge/>
            <w:tcBorders>
              <w:left w:val="single" w:sz="8" w:space="0" w:color="auto"/>
              <w:right w:val="single" w:sz="4" w:space="0" w:color="auto"/>
            </w:tcBorders>
            <w:shd w:val="clear" w:color="000000" w:fill="DCE6F1"/>
            <w:noWrap/>
            <w:vAlign w:val="center"/>
          </w:tcPr>
          <w:p w14:paraId="4AD7F70C"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000000" w:fill="DCE6F1"/>
            <w:noWrap/>
            <w:vAlign w:val="center"/>
          </w:tcPr>
          <w:p w14:paraId="5A2D562F" w14:textId="04D7F5DF" w:rsidR="00A72038" w:rsidRPr="00410961"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RCGFC - Opération biens immobiliers de la RCN</w:t>
            </w:r>
          </w:p>
        </w:tc>
      </w:tr>
      <w:tr w:rsidR="00A72038" w:rsidRPr="009E576A" w14:paraId="3B008318" w14:textId="77777777" w:rsidTr="00CD7BF8">
        <w:trPr>
          <w:trHeight w:val="342"/>
        </w:trPr>
        <w:tc>
          <w:tcPr>
            <w:tcW w:w="3134" w:type="dxa"/>
            <w:vMerge/>
            <w:tcBorders>
              <w:left w:val="single" w:sz="8" w:space="0" w:color="auto"/>
              <w:right w:val="single" w:sz="4" w:space="0" w:color="auto"/>
            </w:tcBorders>
            <w:shd w:val="clear" w:color="000000" w:fill="DCE6F1"/>
            <w:noWrap/>
            <w:vAlign w:val="center"/>
          </w:tcPr>
          <w:p w14:paraId="55D6B6FD"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000000" w:fill="DCE6F1"/>
            <w:noWrap/>
            <w:vAlign w:val="center"/>
          </w:tcPr>
          <w:p w14:paraId="2936EBCB" w14:textId="5DC8E3D4" w:rsidR="00A72038" w:rsidRPr="00C1044A" w:rsidRDefault="00A72038" w:rsidP="00A72038">
            <w:pPr>
              <w:rPr>
                <w:rFonts w:asciiTheme="minorHAnsi" w:hAnsiTheme="minorHAnsi" w:cstheme="minorHAnsi"/>
                <w:sz w:val="20"/>
                <w:szCs w:val="20"/>
                <w:lang w:val="fr-CA" w:eastAsia="en-US"/>
              </w:rPr>
            </w:pPr>
            <w:r w:rsidRPr="00A72038">
              <w:rPr>
                <w:rFonts w:asciiTheme="minorHAnsi" w:hAnsiTheme="minorHAnsi" w:cstheme="minorHAnsi"/>
                <w:sz w:val="20"/>
                <w:szCs w:val="20"/>
                <w:lang w:val="fr-CA" w:eastAsia="en-US"/>
              </w:rPr>
              <w:t>Autres ministères (RPC recouvrements) avec le fonds B096 - CPFP</w:t>
            </w:r>
          </w:p>
        </w:tc>
      </w:tr>
      <w:tr w:rsidR="00A72038" w:rsidRPr="009E576A" w14:paraId="248AC4D2" w14:textId="77777777" w:rsidTr="00CD7BF8">
        <w:trPr>
          <w:trHeight w:val="342"/>
        </w:trPr>
        <w:tc>
          <w:tcPr>
            <w:tcW w:w="3134" w:type="dxa"/>
            <w:vMerge/>
            <w:tcBorders>
              <w:left w:val="single" w:sz="8" w:space="0" w:color="auto"/>
              <w:right w:val="single" w:sz="4" w:space="0" w:color="auto"/>
            </w:tcBorders>
            <w:shd w:val="clear" w:color="000000" w:fill="DCE6F1"/>
            <w:noWrap/>
            <w:vAlign w:val="center"/>
          </w:tcPr>
          <w:p w14:paraId="75E5579B"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000000" w:fill="DCE6F1"/>
            <w:noWrap/>
            <w:vAlign w:val="center"/>
          </w:tcPr>
          <w:p w14:paraId="7A5EDE80" w14:textId="7EC64A5E" w:rsidR="00A72038" w:rsidRPr="00C1044A" w:rsidRDefault="00A72038" w:rsidP="00A72038">
            <w:pPr>
              <w:rPr>
                <w:rFonts w:asciiTheme="minorHAnsi" w:hAnsiTheme="minorHAnsi" w:cstheme="minorHAnsi"/>
                <w:sz w:val="20"/>
                <w:szCs w:val="20"/>
                <w:lang w:val="fr-CA" w:eastAsia="en-US"/>
              </w:rPr>
            </w:pPr>
            <w:r w:rsidRPr="00A72038">
              <w:rPr>
                <w:rFonts w:asciiTheme="minorHAnsi" w:hAnsiTheme="minorHAnsi" w:cstheme="minorHAnsi"/>
                <w:sz w:val="20"/>
                <w:szCs w:val="20"/>
                <w:lang w:val="fr-CA" w:eastAsia="en-US"/>
              </w:rPr>
              <w:t>Autres ministères (RPC recouvrements) avec le fonds B097 - EFPC</w:t>
            </w:r>
          </w:p>
        </w:tc>
      </w:tr>
      <w:tr w:rsidR="00A72038" w:rsidRPr="009E576A" w14:paraId="7680022B" w14:textId="77777777" w:rsidTr="00A72038">
        <w:trPr>
          <w:trHeight w:val="342"/>
        </w:trPr>
        <w:tc>
          <w:tcPr>
            <w:tcW w:w="3134" w:type="dxa"/>
            <w:vMerge/>
            <w:tcBorders>
              <w:left w:val="single" w:sz="8" w:space="0" w:color="auto"/>
              <w:right w:val="single" w:sz="4" w:space="0" w:color="auto"/>
            </w:tcBorders>
            <w:shd w:val="clear" w:color="000000" w:fill="DCE6F1"/>
            <w:noWrap/>
            <w:vAlign w:val="center"/>
          </w:tcPr>
          <w:p w14:paraId="7AAD6A8D" w14:textId="77777777" w:rsidR="00A72038" w:rsidRPr="00C1044A"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000000" w:fill="DCE6F1"/>
            <w:noWrap/>
            <w:vAlign w:val="center"/>
          </w:tcPr>
          <w:p w14:paraId="69DDA140" w14:textId="42652EFF" w:rsidR="00A72038" w:rsidRPr="00C1044A" w:rsidRDefault="00A72038" w:rsidP="00A72038">
            <w:pPr>
              <w:rPr>
                <w:rFonts w:asciiTheme="minorHAnsi" w:hAnsiTheme="minorHAnsi" w:cstheme="minorHAnsi"/>
                <w:sz w:val="20"/>
                <w:szCs w:val="20"/>
                <w:lang w:val="fr-CA" w:eastAsia="en-US"/>
              </w:rPr>
            </w:pPr>
            <w:r w:rsidRPr="00A72038">
              <w:rPr>
                <w:rFonts w:asciiTheme="minorHAnsi" w:hAnsiTheme="minorHAnsi" w:cstheme="minorHAnsi"/>
                <w:sz w:val="20"/>
                <w:szCs w:val="20"/>
                <w:lang w:val="fr-CA" w:eastAsia="en-US"/>
              </w:rPr>
              <w:t>Autres ministères (RPC recouvrements) avec le fonds B098 - SCT</w:t>
            </w:r>
          </w:p>
        </w:tc>
      </w:tr>
      <w:tr w:rsidR="00A72038" w:rsidRPr="009E576A" w14:paraId="5D8D9021" w14:textId="77777777" w:rsidTr="00A72038">
        <w:trPr>
          <w:trHeight w:val="342"/>
        </w:trPr>
        <w:tc>
          <w:tcPr>
            <w:tcW w:w="3134" w:type="dxa"/>
            <w:vMerge/>
            <w:tcBorders>
              <w:left w:val="single" w:sz="8" w:space="0" w:color="auto"/>
              <w:right w:val="single" w:sz="4" w:space="0" w:color="auto"/>
            </w:tcBorders>
            <w:shd w:val="clear" w:color="000000" w:fill="DCE6F1"/>
            <w:noWrap/>
            <w:vAlign w:val="center"/>
          </w:tcPr>
          <w:p w14:paraId="27E0175F" w14:textId="77777777" w:rsidR="00A72038" w:rsidRPr="00C1044A" w:rsidRDefault="00A72038" w:rsidP="00A72038">
            <w:pPr>
              <w:rPr>
                <w:rFonts w:asciiTheme="minorHAnsi" w:hAnsiTheme="minorHAnsi" w:cstheme="minorHAnsi"/>
                <w:sz w:val="20"/>
                <w:szCs w:val="20"/>
                <w:lang w:val="fr-CA" w:eastAsia="en-US"/>
              </w:rPr>
            </w:pPr>
          </w:p>
        </w:tc>
        <w:tc>
          <w:tcPr>
            <w:tcW w:w="6646" w:type="dxa"/>
            <w:tcBorders>
              <w:top w:val="single" w:sz="4" w:space="0" w:color="auto"/>
              <w:left w:val="nil"/>
              <w:bottom w:val="single" w:sz="4" w:space="0" w:color="auto"/>
              <w:right w:val="single" w:sz="8" w:space="0" w:color="auto"/>
            </w:tcBorders>
            <w:shd w:val="clear" w:color="000000" w:fill="DCE6F1"/>
            <w:noWrap/>
            <w:vAlign w:val="center"/>
          </w:tcPr>
          <w:p w14:paraId="5AED52C7" w14:textId="112BDBC3" w:rsidR="00A72038" w:rsidRPr="00C1044A"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des services des ressources humaines (y compris le Collège SC)</w:t>
            </w:r>
          </w:p>
        </w:tc>
      </w:tr>
      <w:tr w:rsidR="00A72038" w:rsidRPr="009E576A" w14:paraId="1CB1D0A0" w14:textId="77777777" w:rsidTr="00A72038">
        <w:trPr>
          <w:trHeight w:val="398"/>
        </w:trPr>
        <w:tc>
          <w:tcPr>
            <w:tcW w:w="3134" w:type="dxa"/>
            <w:vMerge/>
            <w:tcBorders>
              <w:left w:val="single" w:sz="8" w:space="0" w:color="auto"/>
              <w:right w:val="single" w:sz="4" w:space="0" w:color="auto"/>
            </w:tcBorders>
            <w:shd w:val="clear" w:color="000000" w:fill="DCE6F1"/>
            <w:noWrap/>
            <w:vAlign w:val="center"/>
          </w:tcPr>
          <w:p w14:paraId="1ADF3B26" w14:textId="77777777" w:rsidR="00A72038" w:rsidRPr="00C1044A" w:rsidRDefault="00A72038" w:rsidP="00A72038">
            <w:pPr>
              <w:rPr>
                <w:rFonts w:asciiTheme="minorHAnsi" w:hAnsiTheme="minorHAnsi" w:cstheme="minorHAnsi"/>
                <w:sz w:val="20"/>
                <w:szCs w:val="20"/>
                <w:lang w:val="fr-CA" w:eastAsia="en-US"/>
              </w:rPr>
            </w:pPr>
          </w:p>
        </w:tc>
        <w:tc>
          <w:tcPr>
            <w:tcW w:w="6646" w:type="dxa"/>
            <w:tcBorders>
              <w:top w:val="single" w:sz="4" w:space="0" w:color="auto"/>
              <w:left w:val="nil"/>
              <w:bottom w:val="single" w:sz="4" w:space="0" w:color="auto"/>
              <w:right w:val="single" w:sz="8" w:space="0" w:color="auto"/>
            </w:tcBorders>
            <w:shd w:val="clear" w:color="000000" w:fill="DCE6F1"/>
            <w:noWrap/>
            <w:vAlign w:val="center"/>
          </w:tcPr>
          <w:p w14:paraId="00ECEFA2" w14:textId="429388B0" w:rsidR="00A72038" w:rsidRPr="00C1044A"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 xml:space="preserve">RCGFC - </w:t>
            </w:r>
            <w:r w:rsidRPr="00A72038">
              <w:rPr>
                <w:rFonts w:asciiTheme="minorHAnsi" w:hAnsiTheme="minorHAnsi" w:cstheme="minorHAnsi"/>
                <w:sz w:val="20"/>
                <w:szCs w:val="20"/>
                <w:lang w:val="fr-CA" w:eastAsia="en-US"/>
              </w:rPr>
              <w:t>Indemnisation des accidentés du travail</w:t>
            </w:r>
          </w:p>
        </w:tc>
      </w:tr>
      <w:tr w:rsidR="00A72038" w:rsidRPr="009E576A" w14:paraId="649847BE" w14:textId="77777777" w:rsidTr="00A72038">
        <w:trPr>
          <w:trHeight w:val="342"/>
        </w:trPr>
        <w:tc>
          <w:tcPr>
            <w:tcW w:w="3134" w:type="dxa"/>
            <w:vMerge w:val="restart"/>
            <w:tcBorders>
              <w:top w:val="single" w:sz="4" w:space="0" w:color="auto"/>
              <w:left w:val="single" w:sz="8" w:space="0" w:color="auto"/>
              <w:right w:val="single" w:sz="4" w:space="0" w:color="auto"/>
            </w:tcBorders>
            <w:shd w:val="clear" w:color="auto" w:fill="auto"/>
            <w:noWrap/>
            <w:vAlign w:val="center"/>
            <w:hideMark/>
          </w:tcPr>
          <w:p w14:paraId="3C450C50"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NGUYEN, Minou</w:t>
            </w:r>
          </w:p>
        </w:tc>
        <w:tc>
          <w:tcPr>
            <w:tcW w:w="6646" w:type="dxa"/>
            <w:tcBorders>
              <w:top w:val="single" w:sz="4" w:space="0" w:color="auto"/>
              <w:left w:val="nil"/>
              <w:bottom w:val="single" w:sz="4" w:space="0" w:color="auto"/>
              <w:right w:val="single" w:sz="8" w:space="0" w:color="auto"/>
            </w:tcBorders>
            <w:shd w:val="clear" w:color="auto" w:fill="auto"/>
            <w:vAlign w:val="center"/>
            <w:hideMark/>
          </w:tcPr>
          <w:p w14:paraId="3FF63D3E"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Direction générale de l’information et des technologies de l’information</w:t>
            </w:r>
          </w:p>
        </w:tc>
      </w:tr>
      <w:tr w:rsidR="00A72038" w:rsidRPr="00A72038" w14:paraId="68742620" w14:textId="77777777" w:rsidTr="00CD7BF8">
        <w:trPr>
          <w:trHeight w:val="342"/>
        </w:trPr>
        <w:tc>
          <w:tcPr>
            <w:tcW w:w="3134" w:type="dxa"/>
            <w:vMerge/>
            <w:tcBorders>
              <w:left w:val="single" w:sz="8" w:space="0" w:color="auto"/>
              <w:right w:val="single" w:sz="4" w:space="0" w:color="auto"/>
            </w:tcBorders>
            <w:shd w:val="clear" w:color="auto" w:fill="auto"/>
            <w:noWrap/>
            <w:vAlign w:val="center"/>
          </w:tcPr>
          <w:p w14:paraId="35EE3BC1"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tcPr>
          <w:p w14:paraId="0F772286" w14:textId="7AC0FE4B" w:rsidR="00A72038" w:rsidRPr="00410961" w:rsidRDefault="00A72038" w:rsidP="00A72038">
            <w:pPr>
              <w:rPr>
                <w:rFonts w:asciiTheme="minorHAnsi" w:hAnsiTheme="minorHAnsi" w:cstheme="minorHAnsi"/>
                <w:sz w:val="20"/>
                <w:szCs w:val="20"/>
                <w:lang w:val="fr-CA" w:eastAsia="en-US"/>
              </w:rPr>
            </w:pPr>
            <w:r w:rsidRPr="00A72038">
              <w:rPr>
                <w:rFonts w:asciiTheme="minorHAnsi" w:hAnsiTheme="minorHAnsi" w:cstheme="minorHAnsi"/>
                <w:sz w:val="20"/>
                <w:szCs w:val="20"/>
                <w:lang w:val="fr-CA" w:eastAsia="en-US"/>
              </w:rPr>
              <w:t xml:space="preserve">RCGFC </w:t>
            </w:r>
            <w:r>
              <w:rPr>
                <w:rFonts w:asciiTheme="minorHAnsi" w:hAnsiTheme="minorHAnsi" w:cstheme="minorHAnsi"/>
                <w:sz w:val="20"/>
                <w:szCs w:val="20"/>
                <w:lang w:val="fr-CA" w:eastAsia="en-US"/>
              </w:rPr>
              <w:t>–</w:t>
            </w:r>
            <w:r w:rsidRPr="00A72038">
              <w:rPr>
                <w:rFonts w:asciiTheme="minorHAnsi" w:hAnsiTheme="minorHAnsi" w:cstheme="minorHAnsi"/>
                <w:sz w:val="20"/>
                <w:szCs w:val="20"/>
                <w:lang w:val="fr-CA" w:eastAsia="en-US"/>
              </w:rPr>
              <w:t xml:space="preserve"> </w:t>
            </w:r>
            <w:r>
              <w:rPr>
                <w:rFonts w:asciiTheme="minorHAnsi" w:hAnsiTheme="minorHAnsi" w:cstheme="minorHAnsi"/>
                <w:sz w:val="20"/>
                <w:szCs w:val="20"/>
                <w:lang w:val="fr-CA" w:eastAsia="en-US"/>
              </w:rPr>
              <w:t>Appareils informatiques individuels</w:t>
            </w:r>
          </w:p>
        </w:tc>
      </w:tr>
      <w:tr w:rsidR="00A72038" w:rsidRPr="00A72038" w14:paraId="79514A0E" w14:textId="77777777" w:rsidTr="00CD7BF8">
        <w:trPr>
          <w:trHeight w:val="342"/>
        </w:trPr>
        <w:tc>
          <w:tcPr>
            <w:tcW w:w="3134" w:type="dxa"/>
            <w:vMerge/>
            <w:tcBorders>
              <w:left w:val="single" w:sz="8" w:space="0" w:color="auto"/>
              <w:right w:val="single" w:sz="4" w:space="0" w:color="auto"/>
            </w:tcBorders>
            <w:shd w:val="clear" w:color="auto" w:fill="auto"/>
            <w:noWrap/>
            <w:vAlign w:val="center"/>
          </w:tcPr>
          <w:p w14:paraId="0C05A199"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tcPr>
          <w:p w14:paraId="4F1525A0" w14:textId="1EE71854" w:rsidR="00A72038" w:rsidRPr="00C1044A"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RCGFC - Maintenance</w:t>
            </w:r>
          </w:p>
        </w:tc>
      </w:tr>
      <w:tr w:rsidR="00A72038" w:rsidRPr="006D1CAF" w14:paraId="7E8499F3" w14:textId="77777777" w:rsidTr="00CD7BF8">
        <w:trPr>
          <w:trHeight w:val="342"/>
        </w:trPr>
        <w:tc>
          <w:tcPr>
            <w:tcW w:w="3134" w:type="dxa"/>
            <w:vMerge/>
            <w:tcBorders>
              <w:left w:val="single" w:sz="8" w:space="0" w:color="auto"/>
              <w:right w:val="single" w:sz="4" w:space="0" w:color="auto"/>
            </w:tcBorders>
            <w:shd w:val="clear" w:color="auto" w:fill="auto"/>
            <w:noWrap/>
            <w:vAlign w:val="center"/>
          </w:tcPr>
          <w:p w14:paraId="3E93009C"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tcPr>
          <w:p w14:paraId="288B2E86" w14:textId="4571E075" w:rsidR="00A72038" w:rsidRPr="00410961"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eastAsia="en-US"/>
              </w:rPr>
              <w:t xml:space="preserve">RCGFC - </w:t>
            </w:r>
            <w:r w:rsidRPr="00C1044A">
              <w:rPr>
                <w:rFonts w:asciiTheme="minorHAnsi" w:hAnsiTheme="minorHAnsi" w:cstheme="minorHAnsi"/>
                <w:sz w:val="20"/>
                <w:szCs w:val="20"/>
                <w:lang w:eastAsia="en-US"/>
              </w:rPr>
              <w:t>Acquisition de logiciels</w:t>
            </w:r>
          </w:p>
        </w:tc>
      </w:tr>
      <w:tr w:rsidR="00A72038" w:rsidRPr="009E576A" w14:paraId="5A512D38" w14:textId="77777777" w:rsidTr="00CD7BF8">
        <w:trPr>
          <w:trHeight w:val="342"/>
        </w:trPr>
        <w:tc>
          <w:tcPr>
            <w:tcW w:w="3134" w:type="dxa"/>
            <w:vMerge/>
            <w:tcBorders>
              <w:left w:val="single" w:sz="8" w:space="0" w:color="auto"/>
              <w:right w:val="single" w:sz="4" w:space="0" w:color="auto"/>
            </w:tcBorders>
            <w:shd w:val="clear" w:color="auto" w:fill="auto"/>
            <w:noWrap/>
            <w:vAlign w:val="center"/>
          </w:tcPr>
          <w:p w14:paraId="0CEE8C24"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tcPr>
          <w:p w14:paraId="3682FDD9" w14:textId="2CC00989" w:rsidR="00A72038" w:rsidRPr="00C1044A"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RCGFC - Gestion des services</w:t>
            </w:r>
            <w:r w:rsidRPr="00A72038">
              <w:rPr>
                <w:rFonts w:asciiTheme="minorHAnsi" w:hAnsiTheme="minorHAnsi" w:cstheme="minorHAnsi"/>
                <w:sz w:val="20"/>
                <w:szCs w:val="20"/>
                <w:lang w:val="fr-CA" w:eastAsia="en-US"/>
              </w:rPr>
              <w:t xml:space="preserve"> d’impression</w:t>
            </w:r>
          </w:p>
        </w:tc>
      </w:tr>
      <w:tr w:rsidR="00A72038" w:rsidRPr="009E576A" w14:paraId="304B6A62" w14:textId="77777777" w:rsidTr="00CD7BF8">
        <w:trPr>
          <w:trHeight w:val="342"/>
        </w:trPr>
        <w:tc>
          <w:tcPr>
            <w:tcW w:w="3134" w:type="dxa"/>
            <w:vMerge/>
            <w:tcBorders>
              <w:left w:val="single" w:sz="8" w:space="0" w:color="auto"/>
              <w:right w:val="single" w:sz="4" w:space="0" w:color="auto"/>
            </w:tcBorders>
            <w:shd w:val="clear" w:color="auto" w:fill="auto"/>
            <w:noWrap/>
            <w:vAlign w:val="center"/>
          </w:tcPr>
          <w:p w14:paraId="7740B0CE"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tcPr>
          <w:p w14:paraId="07CBCB85" w14:textId="5FBF0B21" w:rsidR="00A72038" w:rsidRPr="00E76D4F" w:rsidRDefault="00A72038" w:rsidP="00A72038">
            <w:pPr>
              <w:rPr>
                <w:rFonts w:asciiTheme="minorHAnsi" w:hAnsiTheme="minorHAnsi" w:cstheme="minorHAnsi"/>
                <w:sz w:val="20"/>
                <w:szCs w:val="20"/>
                <w:lang w:val="fr-CA" w:eastAsia="en-US"/>
              </w:rPr>
            </w:pPr>
            <w:r w:rsidRPr="00A72038">
              <w:rPr>
                <w:rFonts w:asciiTheme="minorHAnsi" w:hAnsiTheme="minorHAnsi" w:cstheme="minorHAnsi"/>
                <w:sz w:val="20"/>
                <w:szCs w:val="20"/>
                <w:lang w:val="fr-CA" w:eastAsia="en-US"/>
              </w:rPr>
              <w:t>Autres ministè</w:t>
            </w:r>
            <w:r>
              <w:rPr>
                <w:rFonts w:asciiTheme="minorHAnsi" w:hAnsiTheme="minorHAnsi" w:cstheme="minorHAnsi"/>
                <w:sz w:val="20"/>
                <w:szCs w:val="20"/>
                <w:lang w:val="fr-CA" w:eastAsia="en-US"/>
              </w:rPr>
              <w:t>res (RPC recouvrements) avec le</w:t>
            </w:r>
            <w:r w:rsidRPr="00A72038">
              <w:rPr>
                <w:rFonts w:asciiTheme="minorHAnsi" w:hAnsiTheme="minorHAnsi" w:cstheme="minorHAnsi"/>
                <w:sz w:val="20"/>
                <w:szCs w:val="20"/>
                <w:lang w:val="fr-CA" w:eastAsia="en-US"/>
              </w:rPr>
              <w:t xml:space="preserve"> fonds B095 - SPC</w:t>
            </w:r>
          </w:p>
        </w:tc>
      </w:tr>
      <w:tr w:rsidR="00A72038" w:rsidRPr="009E576A" w14:paraId="1CBDD186" w14:textId="77777777" w:rsidTr="00CD7BF8">
        <w:trPr>
          <w:trHeight w:val="342"/>
        </w:trPr>
        <w:tc>
          <w:tcPr>
            <w:tcW w:w="3134" w:type="dxa"/>
            <w:vMerge/>
            <w:tcBorders>
              <w:left w:val="single" w:sz="8" w:space="0" w:color="auto"/>
              <w:bottom w:val="single" w:sz="4" w:space="0" w:color="auto"/>
              <w:right w:val="single" w:sz="4" w:space="0" w:color="auto"/>
            </w:tcBorders>
            <w:shd w:val="clear" w:color="auto" w:fill="auto"/>
            <w:noWrap/>
            <w:vAlign w:val="center"/>
          </w:tcPr>
          <w:p w14:paraId="583D0CDD" w14:textId="77777777" w:rsidR="00A72038" w:rsidRPr="00410961" w:rsidRDefault="00A72038" w:rsidP="00A72038">
            <w:pPr>
              <w:rPr>
                <w:rFonts w:asciiTheme="minorHAnsi" w:hAnsiTheme="minorHAnsi" w:cstheme="minorHAnsi"/>
                <w:sz w:val="20"/>
                <w:szCs w:val="20"/>
                <w:lang w:val="fr-CA" w:eastAsia="en-US"/>
              </w:rPr>
            </w:pPr>
          </w:p>
        </w:tc>
        <w:tc>
          <w:tcPr>
            <w:tcW w:w="6646" w:type="dxa"/>
            <w:tcBorders>
              <w:top w:val="nil"/>
              <w:left w:val="nil"/>
              <w:bottom w:val="single" w:sz="4" w:space="0" w:color="auto"/>
              <w:right w:val="single" w:sz="8" w:space="0" w:color="auto"/>
            </w:tcBorders>
            <w:shd w:val="clear" w:color="auto" w:fill="auto"/>
            <w:vAlign w:val="center"/>
          </w:tcPr>
          <w:p w14:paraId="39235D44" w14:textId="5016AF03" w:rsidR="00A72038" w:rsidRPr="00E76D4F" w:rsidRDefault="00A72038"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 xml:space="preserve">RCGFC - Programme </w:t>
            </w:r>
            <w:r w:rsidRPr="00A72038">
              <w:rPr>
                <w:rFonts w:asciiTheme="minorHAnsi" w:hAnsiTheme="minorHAnsi" w:cstheme="minorHAnsi"/>
                <w:sz w:val="20"/>
                <w:szCs w:val="20"/>
                <w:lang w:val="fr-CA" w:eastAsia="en-US"/>
              </w:rPr>
              <w:t>national d</w:t>
            </w:r>
            <w:r>
              <w:rPr>
                <w:rFonts w:asciiTheme="minorHAnsi" w:hAnsiTheme="minorHAnsi" w:cstheme="minorHAnsi"/>
                <w:sz w:val="20"/>
                <w:szCs w:val="20"/>
                <w:lang w:val="fr-CA" w:eastAsia="en-US"/>
              </w:rPr>
              <w:t>’aménagement</w:t>
            </w:r>
            <w:r w:rsidRPr="00A72038">
              <w:rPr>
                <w:rFonts w:asciiTheme="minorHAnsi" w:hAnsiTheme="minorHAnsi" w:cstheme="minorHAnsi"/>
                <w:sz w:val="20"/>
                <w:szCs w:val="20"/>
                <w:lang w:val="fr-CA" w:eastAsia="en-US"/>
              </w:rPr>
              <w:t xml:space="preserve"> des locaux</w:t>
            </w:r>
          </w:p>
        </w:tc>
      </w:tr>
      <w:tr w:rsidR="00A72038" w:rsidRPr="003F1788" w14:paraId="71E2E735" w14:textId="77777777" w:rsidTr="00935B57">
        <w:trPr>
          <w:trHeight w:val="342"/>
        </w:trPr>
        <w:tc>
          <w:tcPr>
            <w:tcW w:w="3134" w:type="dxa"/>
            <w:tcBorders>
              <w:top w:val="single" w:sz="4" w:space="0" w:color="auto"/>
              <w:left w:val="single" w:sz="8" w:space="0" w:color="auto"/>
              <w:bottom w:val="single" w:sz="4" w:space="0" w:color="auto"/>
              <w:right w:val="single" w:sz="4" w:space="0" w:color="auto"/>
            </w:tcBorders>
            <w:shd w:val="clear" w:color="auto" w:fill="FFC1D0" w:themeFill="accent1" w:themeFillTint="33"/>
            <w:noWrap/>
            <w:vAlign w:val="center"/>
            <w:hideMark/>
          </w:tcPr>
          <w:p w14:paraId="41052428" w14:textId="5DAB547D" w:rsidR="00A72038" w:rsidRPr="00410961" w:rsidRDefault="00687D68" w:rsidP="00687D6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SPENCER</w:t>
            </w:r>
            <w:r w:rsidR="00A72038" w:rsidRPr="00410961">
              <w:rPr>
                <w:rFonts w:asciiTheme="minorHAnsi" w:hAnsiTheme="minorHAnsi" w:cstheme="minorHAnsi"/>
                <w:sz w:val="20"/>
                <w:szCs w:val="20"/>
                <w:lang w:val="fr-CA" w:eastAsia="en-US"/>
              </w:rPr>
              <w:t xml:space="preserve">, </w:t>
            </w:r>
            <w:r>
              <w:rPr>
                <w:rFonts w:asciiTheme="minorHAnsi" w:hAnsiTheme="minorHAnsi" w:cstheme="minorHAnsi"/>
                <w:sz w:val="20"/>
                <w:szCs w:val="20"/>
                <w:lang w:val="fr-CA" w:eastAsia="en-US"/>
              </w:rPr>
              <w:t>Sherry</w:t>
            </w:r>
          </w:p>
        </w:tc>
        <w:tc>
          <w:tcPr>
            <w:tcW w:w="6646" w:type="dxa"/>
            <w:tcBorders>
              <w:top w:val="single" w:sz="4" w:space="0" w:color="auto"/>
              <w:left w:val="nil"/>
              <w:bottom w:val="single" w:sz="4" w:space="0" w:color="auto"/>
              <w:right w:val="single" w:sz="8" w:space="0" w:color="auto"/>
            </w:tcBorders>
            <w:shd w:val="clear" w:color="auto" w:fill="FFC1D0" w:themeFill="accent1" w:themeFillTint="33"/>
            <w:noWrap/>
            <w:vAlign w:val="center"/>
            <w:hideMark/>
          </w:tcPr>
          <w:p w14:paraId="7D48EE17"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Région de l’Atlantique</w:t>
            </w:r>
          </w:p>
        </w:tc>
      </w:tr>
      <w:tr w:rsidR="00A72038" w:rsidRPr="003F1788" w14:paraId="6A142481" w14:textId="77777777" w:rsidTr="00935B57">
        <w:trPr>
          <w:trHeight w:val="342"/>
        </w:trPr>
        <w:tc>
          <w:tcPr>
            <w:tcW w:w="3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CCA07"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THÉRIAULT, Gaston</w:t>
            </w:r>
          </w:p>
        </w:tc>
        <w:tc>
          <w:tcPr>
            <w:tcW w:w="6646" w:type="dxa"/>
            <w:tcBorders>
              <w:top w:val="single" w:sz="4" w:space="0" w:color="auto"/>
              <w:left w:val="nil"/>
              <w:bottom w:val="single" w:sz="4" w:space="0" w:color="auto"/>
              <w:right w:val="single" w:sz="8" w:space="0" w:color="auto"/>
            </w:tcBorders>
            <w:shd w:val="clear" w:color="auto" w:fill="auto"/>
            <w:noWrap/>
            <w:vAlign w:val="center"/>
            <w:hideMark/>
          </w:tcPr>
          <w:p w14:paraId="536F2610"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Région du Québec</w:t>
            </w:r>
          </w:p>
        </w:tc>
      </w:tr>
      <w:tr w:rsidR="00A72038" w:rsidRPr="003F1788" w14:paraId="15CC85B5" w14:textId="77777777" w:rsidTr="00935B57">
        <w:trPr>
          <w:trHeight w:val="342"/>
        </w:trPr>
        <w:tc>
          <w:tcPr>
            <w:tcW w:w="3134" w:type="dxa"/>
            <w:tcBorders>
              <w:top w:val="single" w:sz="4" w:space="0" w:color="auto"/>
              <w:left w:val="single" w:sz="8" w:space="0" w:color="auto"/>
              <w:bottom w:val="single" w:sz="4" w:space="0" w:color="auto"/>
              <w:right w:val="single" w:sz="4" w:space="0" w:color="auto"/>
            </w:tcBorders>
            <w:shd w:val="clear" w:color="auto" w:fill="FFC1D0" w:themeFill="accent1" w:themeFillTint="33"/>
            <w:noWrap/>
            <w:vAlign w:val="center"/>
            <w:hideMark/>
          </w:tcPr>
          <w:p w14:paraId="21C949E6"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 PALMA, Rose</w:t>
            </w:r>
          </w:p>
        </w:tc>
        <w:tc>
          <w:tcPr>
            <w:tcW w:w="6646" w:type="dxa"/>
            <w:tcBorders>
              <w:top w:val="single" w:sz="4" w:space="0" w:color="auto"/>
              <w:left w:val="nil"/>
              <w:bottom w:val="single" w:sz="4" w:space="0" w:color="auto"/>
              <w:right w:val="single" w:sz="8" w:space="0" w:color="auto"/>
            </w:tcBorders>
            <w:shd w:val="clear" w:color="auto" w:fill="FFC1D0" w:themeFill="accent1" w:themeFillTint="33"/>
            <w:noWrap/>
            <w:vAlign w:val="center"/>
            <w:hideMark/>
          </w:tcPr>
          <w:p w14:paraId="4224B8A6"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Région de l’Ontario</w:t>
            </w:r>
          </w:p>
        </w:tc>
      </w:tr>
      <w:tr w:rsidR="00A72038" w:rsidRPr="003F1788" w14:paraId="225BFCAA" w14:textId="77777777" w:rsidTr="00935B57">
        <w:trPr>
          <w:trHeight w:val="342"/>
        </w:trPr>
        <w:tc>
          <w:tcPr>
            <w:tcW w:w="3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323C94"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CHEN, Linda</w:t>
            </w:r>
          </w:p>
        </w:tc>
        <w:tc>
          <w:tcPr>
            <w:tcW w:w="6646" w:type="dxa"/>
            <w:tcBorders>
              <w:top w:val="single" w:sz="4" w:space="0" w:color="auto"/>
              <w:left w:val="nil"/>
              <w:bottom w:val="single" w:sz="8" w:space="0" w:color="auto"/>
              <w:right w:val="single" w:sz="8" w:space="0" w:color="auto"/>
            </w:tcBorders>
            <w:shd w:val="clear" w:color="auto" w:fill="auto"/>
            <w:noWrap/>
            <w:vAlign w:val="center"/>
            <w:hideMark/>
          </w:tcPr>
          <w:p w14:paraId="3C4AF313"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Région de l’Ouest</w:t>
            </w:r>
          </w:p>
        </w:tc>
      </w:tr>
      <w:tr w:rsidR="00A72038" w:rsidRPr="00026416" w14:paraId="0EE90ACB" w14:textId="77777777" w:rsidTr="00935B57">
        <w:trPr>
          <w:trHeight w:val="405"/>
        </w:trPr>
        <w:tc>
          <w:tcPr>
            <w:tcW w:w="9780" w:type="dxa"/>
            <w:gridSpan w:val="2"/>
            <w:tcBorders>
              <w:top w:val="single" w:sz="8" w:space="0" w:color="auto"/>
              <w:left w:val="single" w:sz="8" w:space="0" w:color="auto"/>
              <w:bottom w:val="single" w:sz="8" w:space="0" w:color="auto"/>
              <w:right w:val="single" w:sz="8" w:space="0" w:color="000000"/>
            </w:tcBorders>
            <w:shd w:val="clear" w:color="000000" w:fill="DDD9C4"/>
            <w:noWrap/>
            <w:vAlign w:val="center"/>
            <w:hideMark/>
          </w:tcPr>
          <w:p w14:paraId="3DF8DAA7" w14:textId="77777777" w:rsidR="00A72038" w:rsidRPr="00410961" w:rsidRDefault="00A72038" w:rsidP="00A72038">
            <w:pPr>
              <w:jc w:val="center"/>
              <w:rPr>
                <w:rFonts w:asciiTheme="minorHAnsi" w:hAnsiTheme="minorHAnsi" w:cstheme="minorHAnsi"/>
                <w:b/>
                <w:bCs/>
                <w:sz w:val="20"/>
                <w:szCs w:val="20"/>
                <w:lang w:val="fr-CA" w:eastAsia="en-US"/>
              </w:rPr>
            </w:pPr>
            <w:r w:rsidRPr="00410961">
              <w:rPr>
                <w:rFonts w:asciiTheme="minorHAnsi" w:hAnsiTheme="minorHAnsi" w:cstheme="minorHAnsi"/>
                <w:b/>
                <w:bCs/>
                <w:sz w:val="20"/>
                <w:szCs w:val="20"/>
                <w:lang w:val="fr-CA" w:eastAsia="en-US"/>
              </w:rPr>
              <w:t>GRM</w:t>
            </w:r>
          </w:p>
        </w:tc>
      </w:tr>
      <w:tr w:rsidR="00A72038" w:rsidRPr="009E576A" w14:paraId="3CA1E341" w14:textId="77777777" w:rsidTr="00935B57">
        <w:trPr>
          <w:trHeight w:val="330"/>
        </w:trPr>
        <w:tc>
          <w:tcPr>
            <w:tcW w:w="3134" w:type="dxa"/>
            <w:tcBorders>
              <w:top w:val="nil"/>
              <w:left w:val="single" w:sz="8" w:space="0" w:color="auto"/>
              <w:bottom w:val="single" w:sz="4" w:space="0" w:color="auto"/>
              <w:right w:val="single" w:sz="4" w:space="0" w:color="auto"/>
            </w:tcBorders>
            <w:shd w:val="clear" w:color="auto" w:fill="auto"/>
            <w:vAlign w:val="center"/>
            <w:hideMark/>
          </w:tcPr>
          <w:p w14:paraId="1D4FC439"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LAFLEUR, Annie</w:t>
            </w:r>
          </w:p>
        </w:tc>
        <w:tc>
          <w:tcPr>
            <w:tcW w:w="6646" w:type="dxa"/>
            <w:tcBorders>
              <w:top w:val="single" w:sz="4" w:space="0" w:color="auto"/>
              <w:left w:val="nil"/>
              <w:bottom w:val="single" w:sz="4" w:space="0" w:color="auto"/>
              <w:right w:val="single" w:sz="8" w:space="0" w:color="auto"/>
            </w:tcBorders>
            <w:shd w:val="clear" w:color="auto" w:fill="auto"/>
            <w:vAlign w:val="center"/>
            <w:hideMark/>
          </w:tcPr>
          <w:p w14:paraId="18277435"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Directrice exécutive, Gestion des ressources ministérielles</w:t>
            </w:r>
          </w:p>
        </w:tc>
      </w:tr>
      <w:tr w:rsidR="00A72038" w:rsidRPr="009E576A" w14:paraId="0A904930" w14:textId="77777777" w:rsidTr="00935B57">
        <w:trPr>
          <w:trHeight w:val="330"/>
        </w:trPr>
        <w:tc>
          <w:tcPr>
            <w:tcW w:w="3134" w:type="dxa"/>
            <w:tcBorders>
              <w:top w:val="single" w:sz="4" w:space="0" w:color="auto"/>
              <w:left w:val="single" w:sz="8" w:space="0" w:color="auto"/>
              <w:bottom w:val="single" w:sz="8" w:space="0" w:color="auto"/>
              <w:right w:val="single" w:sz="4" w:space="0" w:color="auto"/>
            </w:tcBorders>
            <w:shd w:val="clear" w:color="auto" w:fill="auto"/>
            <w:vAlign w:val="center"/>
          </w:tcPr>
          <w:p w14:paraId="5F763CFD" w14:textId="77777777"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GOUDREAU, Isabelle</w:t>
            </w:r>
          </w:p>
        </w:tc>
        <w:tc>
          <w:tcPr>
            <w:tcW w:w="6646" w:type="dxa"/>
            <w:tcBorders>
              <w:top w:val="single" w:sz="4" w:space="0" w:color="auto"/>
              <w:left w:val="nil"/>
              <w:bottom w:val="single" w:sz="8" w:space="0" w:color="auto"/>
              <w:right w:val="single" w:sz="8" w:space="0" w:color="auto"/>
            </w:tcBorders>
            <w:shd w:val="clear" w:color="auto" w:fill="auto"/>
            <w:vAlign w:val="center"/>
          </w:tcPr>
          <w:p w14:paraId="560EA301" w14:textId="2AF95A0B" w:rsidR="00A72038" w:rsidRPr="00410961" w:rsidRDefault="00A72038" w:rsidP="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rPr>
              <w:t>Gestionnaire, Gestion des ressources ministérielles</w:t>
            </w:r>
          </w:p>
        </w:tc>
      </w:tr>
      <w:tr w:rsidR="00D71EE0" w:rsidRPr="009E576A" w14:paraId="4A44C116" w14:textId="77777777" w:rsidTr="00935B57">
        <w:trPr>
          <w:trHeight w:val="330"/>
        </w:trPr>
        <w:tc>
          <w:tcPr>
            <w:tcW w:w="3134" w:type="dxa"/>
            <w:tcBorders>
              <w:top w:val="single" w:sz="4" w:space="0" w:color="auto"/>
              <w:left w:val="single" w:sz="8" w:space="0" w:color="auto"/>
              <w:bottom w:val="single" w:sz="8" w:space="0" w:color="auto"/>
              <w:right w:val="single" w:sz="4" w:space="0" w:color="auto"/>
            </w:tcBorders>
            <w:shd w:val="clear" w:color="auto" w:fill="auto"/>
            <w:vAlign w:val="center"/>
          </w:tcPr>
          <w:p w14:paraId="0CA563CC" w14:textId="0DE1F40B" w:rsidR="00D71EE0" w:rsidRPr="00410961" w:rsidRDefault="00D71EE0" w:rsidP="00A72038">
            <w:pPr>
              <w:rPr>
                <w:rFonts w:asciiTheme="minorHAnsi" w:hAnsiTheme="minorHAnsi" w:cstheme="minorHAnsi"/>
                <w:sz w:val="20"/>
                <w:szCs w:val="20"/>
                <w:lang w:val="fr-CA" w:eastAsia="en-US"/>
              </w:rPr>
            </w:pPr>
            <w:r>
              <w:rPr>
                <w:rFonts w:asciiTheme="minorHAnsi" w:hAnsiTheme="minorHAnsi" w:cstheme="minorHAnsi"/>
                <w:sz w:val="20"/>
                <w:szCs w:val="20"/>
                <w:lang w:val="fr-CA" w:eastAsia="en-US"/>
              </w:rPr>
              <w:t>BÉLEC, Valérie</w:t>
            </w:r>
          </w:p>
        </w:tc>
        <w:tc>
          <w:tcPr>
            <w:tcW w:w="6646" w:type="dxa"/>
            <w:tcBorders>
              <w:top w:val="single" w:sz="4" w:space="0" w:color="auto"/>
              <w:left w:val="nil"/>
              <w:bottom w:val="single" w:sz="8" w:space="0" w:color="auto"/>
              <w:right w:val="single" w:sz="8" w:space="0" w:color="auto"/>
            </w:tcBorders>
            <w:shd w:val="clear" w:color="auto" w:fill="auto"/>
            <w:vAlign w:val="center"/>
          </w:tcPr>
          <w:p w14:paraId="3FF2376A" w14:textId="47BCB6AF" w:rsidR="00D71EE0" w:rsidRPr="00410961" w:rsidRDefault="00D71EE0" w:rsidP="00A72038">
            <w:pPr>
              <w:rPr>
                <w:rFonts w:asciiTheme="minorHAnsi" w:hAnsiTheme="minorHAnsi" w:cstheme="minorHAnsi"/>
                <w:sz w:val="20"/>
                <w:szCs w:val="20"/>
                <w:lang w:val="fr-CA"/>
              </w:rPr>
            </w:pPr>
            <w:r>
              <w:rPr>
                <w:rFonts w:asciiTheme="minorHAnsi" w:hAnsiTheme="minorHAnsi" w:cstheme="minorHAnsi"/>
                <w:sz w:val="20"/>
                <w:szCs w:val="20"/>
                <w:lang w:val="fr-CA"/>
              </w:rPr>
              <w:t>Chef d’équipe, Gestion des ressources ministérielles</w:t>
            </w:r>
          </w:p>
        </w:tc>
      </w:tr>
      <w:tr w:rsidR="00A72038" w:rsidRPr="009E576A" w14:paraId="3D862048" w14:textId="77777777" w:rsidTr="00935B57">
        <w:trPr>
          <w:trHeight w:val="330"/>
        </w:trPr>
        <w:tc>
          <w:tcPr>
            <w:tcW w:w="3134" w:type="dxa"/>
            <w:tcBorders>
              <w:top w:val="single" w:sz="4" w:space="0" w:color="auto"/>
              <w:left w:val="single" w:sz="8" w:space="0" w:color="auto"/>
              <w:bottom w:val="single" w:sz="8" w:space="0" w:color="auto"/>
              <w:right w:val="single" w:sz="4" w:space="0" w:color="auto"/>
            </w:tcBorders>
            <w:shd w:val="clear" w:color="auto" w:fill="C0E8EA" w:themeFill="background2" w:themeFillTint="99"/>
            <w:vAlign w:val="center"/>
          </w:tcPr>
          <w:p w14:paraId="5C547886" w14:textId="0FEF62A7" w:rsidR="00A72038" w:rsidRPr="00410961" w:rsidRDefault="00A72038">
            <w:pPr>
              <w:rPr>
                <w:rFonts w:asciiTheme="minorHAnsi" w:hAnsiTheme="minorHAnsi" w:cstheme="minorHAnsi"/>
                <w:sz w:val="20"/>
                <w:szCs w:val="20"/>
                <w:lang w:val="fr-CA" w:eastAsia="en-US"/>
              </w:rPr>
            </w:pPr>
            <w:r w:rsidRPr="00410961">
              <w:rPr>
                <w:rFonts w:asciiTheme="minorHAnsi" w:hAnsiTheme="minorHAnsi" w:cstheme="minorHAnsi"/>
                <w:sz w:val="20"/>
                <w:szCs w:val="20"/>
                <w:lang w:val="fr-CA" w:eastAsia="en-US"/>
              </w:rPr>
              <w:t>Boîte</w:t>
            </w:r>
            <w:r w:rsidR="00D71EE0">
              <w:rPr>
                <w:rFonts w:asciiTheme="minorHAnsi" w:hAnsiTheme="minorHAnsi" w:cstheme="minorHAnsi"/>
                <w:sz w:val="20"/>
                <w:szCs w:val="20"/>
                <w:lang w:val="fr-CA" w:eastAsia="en-US"/>
              </w:rPr>
              <w:t xml:space="preserve"> générique</w:t>
            </w:r>
            <w:r w:rsidRPr="00410961">
              <w:rPr>
                <w:rFonts w:asciiTheme="minorHAnsi" w:hAnsiTheme="minorHAnsi" w:cstheme="minorHAnsi"/>
                <w:sz w:val="20"/>
                <w:szCs w:val="20"/>
                <w:lang w:val="fr-CA" w:eastAsia="en-US"/>
              </w:rPr>
              <w:t xml:space="preserve"> réservées aux prévisions de la GRM</w:t>
            </w:r>
          </w:p>
        </w:tc>
        <w:tc>
          <w:tcPr>
            <w:tcW w:w="6646" w:type="dxa"/>
            <w:tcBorders>
              <w:top w:val="single" w:sz="4" w:space="0" w:color="auto"/>
              <w:left w:val="nil"/>
              <w:bottom w:val="single" w:sz="8" w:space="0" w:color="auto"/>
              <w:right w:val="single" w:sz="8" w:space="0" w:color="auto"/>
            </w:tcBorders>
            <w:shd w:val="clear" w:color="auto" w:fill="C0E8EA" w:themeFill="background2" w:themeFillTint="99"/>
            <w:vAlign w:val="center"/>
          </w:tcPr>
          <w:p w14:paraId="2FA08E76" w14:textId="77777777" w:rsidR="00A72038" w:rsidRPr="00410961" w:rsidRDefault="00D45BCF" w:rsidP="00A72038">
            <w:pPr>
              <w:rPr>
                <w:rFonts w:asciiTheme="minorHAnsi" w:hAnsiTheme="minorHAnsi" w:cstheme="minorHAnsi"/>
                <w:sz w:val="20"/>
                <w:szCs w:val="20"/>
                <w:lang w:val="fr-CA"/>
              </w:rPr>
            </w:pPr>
            <w:hyperlink r:id="rId44" w:history="1">
              <w:r w:rsidR="00A72038" w:rsidRPr="00410961">
                <w:rPr>
                  <w:rFonts w:asciiTheme="minorHAnsi" w:hAnsiTheme="minorHAnsi" w:cstheme="minorHAnsi"/>
                  <w:sz w:val="20"/>
                  <w:szCs w:val="20"/>
                  <w:u w:val="single"/>
                  <w:lang w:val="fr-CA" w:eastAsia="en-US"/>
                </w:rPr>
                <w:t>NC-Forecasting-Mailbox-CRM_Boîtes-aux-lettres-Prévisions-GRM-GD</w:t>
              </w:r>
            </w:hyperlink>
          </w:p>
        </w:tc>
      </w:tr>
    </w:tbl>
    <w:p w14:paraId="5D9134B5" w14:textId="77777777" w:rsidR="00844876" w:rsidRPr="003F1788" w:rsidRDefault="00844876" w:rsidP="00844876">
      <w:pPr>
        <w:rPr>
          <w:rFonts w:cs="Arial"/>
          <w:lang w:val="fr-CA"/>
        </w:rPr>
      </w:pPr>
    </w:p>
    <w:p w14:paraId="269FF9B1" w14:textId="77777777" w:rsidR="00844876" w:rsidRPr="003F1788" w:rsidRDefault="00844876" w:rsidP="00844876">
      <w:pPr>
        <w:rPr>
          <w:rFonts w:cs="Arial"/>
          <w:lang w:val="fr-CA"/>
        </w:rPr>
      </w:pPr>
    </w:p>
    <w:p w14:paraId="623AD164" w14:textId="77777777" w:rsidR="00844876" w:rsidRPr="00001E0D" w:rsidRDefault="00844876" w:rsidP="00844876">
      <w:pPr>
        <w:jc w:val="center"/>
        <w:rPr>
          <w:rFonts w:cs="Arial"/>
          <w:sz w:val="20"/>
          <w:szCs w:val="20"/>
          <w:lang w:val="fr-CA"/>
        </w:rPr>
      </w:pPr>
    </w:p>
    <w:p w14:paraId="057FDE38" w14:textId="77777777" w:rsidR="00844876" w:rsidRPr="00E66A86" w:rsidRDefault="00844876" w:rsidP="00844876">
      <w:pPr>
        <w:rPr>
          <w:lang w:val="fr-CA"/>
        </w:rPr>
      </w:pPr>
    </w:p>
    <w:sectPr w:rsidR="00844876" w:rsidRPr="00E66A86" w:rsidSect="005A2022">
      <w:headerReference w:type="default" r:id="rId45"/>
      <w:footerReference w:type="even" r:id="rId46"/>
      <w:footerReference w:type="default" r:id="rId47"/>
      <w:headerReference w:type="first" r:id="rId48"/>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834FB" w14:textId="77777777" w:rsidR="00963EE6" w:rsidRDefault="00963EE6" w:rsidP="005A2022">
      <w:r>
        <w:separator/>
      </w:r>
    </w:p>
  </w:endnote>
  <w:endnote w:type="continuationSeparator" w:id="0">
    <w:p w14:paraId="051FD997" w14:textId="77777777" w:rsidR="00963EE6" w:rsidRDefault="00963EE6"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1AD1" w14:textId="77777777" w:rsidR="00963EE6" w:rsidRDefault="00963EE6"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BA81E3" w14:textId="77777777" w:rsidR="00963EE6" w:rsidRDefault="00963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4096" w14:textId="68CC6BC0" w:rsidR="00963EE6" w:rsidRPr="005A2022" w:rsidRDefault="00963EE6"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D45BCF">
      <w:rPr>
        <w:rStyle w:val="PageNumber"/>
        <w:rFonts w:ascii="Century Gothic" w:hAnsi="Century Gothic"/>
        <w:b/>
        <w:bCs/>
        <w:noProof/>
        <w:color w:val="808080" w:themeColor="background1" w:themeShade="80"/>
      </w:rPr>
      <w:t>18</w:t>
    </w:r>
    <w:r w:rsidRPr="005A2022">
      <w:rPr>
        <w:rStyle w:val="PageNumber"/>
        <w:rFonts w:ascii="Century Gothic" w:hAnsi="Century Gothic"/>
        <w:b/>
        <w:bCs/>
        <w:color w:val="808080" w:themeColor="background1" w:themeShade="80"/>
      </w:rPr>
      <w:fldChar w:fldCharType="end"/>
    </w:r>
  </w:p>
  <w:p w14:paraId="6FC0A4BE" w14:textId="77777777" w:rsidR="00963EE6" w:rsidRDefault="00963EE6">
    <w:pPr>
      <w:pStyle w:val="Footer"/>
    </w:pPr>
    <w:r>
      <w:rPr>
        <w:noProof/>
      </w:rPr>
      <w:drawing>
        <wp:anchor distT="0" distB="0" distL="114300" distR="114300" simplePos="0" relativeHeight="251661312" behindDoc="1" locked="0" layoutInCell="1" allowOverlap="1" wp14:anchorId="65594E26" wp14:editId="2E17E791">
          <wp:simplePos x="0" y="0"/>
          <wp:positionH relativeFrom="column">
            <wp:posOffset>-914400</wp:posOffset>
          </wp:positionH>
          <wp:positionV relativeFrom="paragraph">
            <wp:posOffset>-393065</wp:posOffset>
          </wp:positionV>
          <wp:extent cx="7772400" cy="1085088"/>
          <wp:effectExtent l="0" t="0" r="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4CED" w14:textId="77777777" w:rsidR="00963EE6" w:rsidRDefault="00963EE6" w:rsidP="005A202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DC8F404" w14:textId="77777777" w:rsidR="00963EE6" w:rsidRDefault="00963E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4CF2" w14:textId="7EE63B2D" w:rsidR="00963EE6" w:rsidRPr="005A2022" w:rsidRDefault="00963EE6" w:rsidP="005A2022">
    <w:pPr>
      <w:pStyle w:val="Footer"/>
      <w:framePr w:w="12240" w:wrap="around" w:vAnchor="text" w:hAnchor="page" w:x="1" w:y="537"/>
      <w:jc w:val="center"/>
      <w:rPr>
        <w:rStyle w:val="PageNumber"/>
        <w:rFonts w:ascii="Century Gothic" w:eastAsiaTheme="majorEastAsia" w:hAnsi="Century Gothic"/>
        <w:b/>
        <w:bCs/>
        <w:color w:val="808080" w:themeColor="background1" w:themeShade="80"/>
      </w:rPr>
    </w:pPr>
    <w:r w:rsidRPr="005A2022">
      <w:rPr>
        <w:rStyle w:val="PageNumber"/>
        <w:rFonts w:ascii="Century Gothic" w:eastAsiaTheme="majorEastAsia" w:hAnsi="Century Gothic"/>
        <w:b/>
        <w:bCs/>
        <w:color w:val="808080" w:themeColor="background1" w:themeShade="80"/>
      </w:rPr>
      <w:fldChar w:fldCharType="begin"/>
    </w:r>
    <w:r w:rsidRPr="005A2022">
      <w:rPr>
        <w:rStyle w:val="PageNumber"/>
        <w:rFonts w:ascii="Century Gothic" w:eastAsiaTheme="majorEastAsia" w:hAnsi="Century Gothic"/>
        <w:b/>
        <w:bCs/>
        <w:color w:val="808080" w:themeColor="background1" w:themeShade="80"/>
      </w:rPr>
      <w:instrText xml:space="preserve">PAGE  </w:instrText>
    </w:r>
    <w:r w:rsidRPr="005A2022">
      <w:rPr>
        <w:rStyle w:val="PageNumber"/>
        <w:rFonts w:ascii="Century Gothic" w:eastAsiaTheme="majorEastAsia" w:hAnsi="Century Gothic"/>
        <w:b/>
        <w:bCs/>
        <w:color w:val="808080" w:themeColor="background1" w:themeShade="80"/>
      </w:rPr>
      <w:fldChar w:fldCharType="separate"/>
    </w:r>
    <w:r w:rsidR="005E7BB2">
      <w:rPr>
        <w:rStyle w:val="PageNumber"/>
        <w:rFonts w:ascii="Century Gothic" w:eastAsiaTheme="majorEastAsia" w:hAnsi="Century Gothic"/>
        <w:b/>
        <w:bCs/>
        <w:noProof/>
        <w:color w:val="808080" w:themeColor="background1" w:themeShade="80"/>
      </w:rPr>
      <w:t>38</w:t>
    </w:r>
    <w:r w:rsidRPr="005A2022">
      <w:rPr>
        <w:rStyle w:val="PageNumber"/>
        <w:rFonts w:ascii="Century Gothic" w:eastAsiaTheme="majorEastAsia" w:hAnsi="Century Gothic"/>
        <w:b/>
        <w:bCs/>
        <w:color w:val="808080" w:themeColor="background1" w:themeShade="80"/>
      </w:rPr>
      <w:fldChar w:fldCharType="end"/>
    </w:r>
  </w:p>
  <w:p w14:paraId="1AA0DD46" w14:textId="77777777" w:rsidR="00963EE6" w:rsidRDefault="00963EE6">
    <w:pPr>
      <w:pStyle w:val="Footer"/>
    </w:pPr>
    <w:r>
      <w:rPr>
        <w:noProof/>
      </w:rPr>
      <w:drawing>
        <wp:anchor distT="0" distB="0" distL="114300" distR="114300" simplePos="0" relativeHeight="251665408" behindDoc="1" locked="0" layoutInCell="1" allowOverlap="1" wp14:anchorId="2DE1AC5E" wp14:editId="459E6D90">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2D31E" w14:textId="77777777" w:rsidR="00963EE6" w:rsidRDefault="00963EE6" w:rsidP="005A2022">
      <w:r>
        <w:separator/>
      </w:r>
    </w:p>
  </w:footnote>
  <w:footnote w:type="continuationSeparator" w:id="0">
    <w:p w14:paraId="62D36700" w14:textId="77777777" w:rsidR="00963EE6" w:rsidRDefault="00963EE6" w:rsidP="005A2022">
      <w:r>
        <w:continuationSeparator/>
      </w:r>
    </w:p>
  </w:footnote>
  <w:footnote w:id="1">
    <w:p w14:paraId="196C93CD" w14:textId="77777777" w:rsidR="00963EE6" w:rsidRPr="00D43CAF" w:rsidRDefault="00963EE6" w:rsidP="003F63CD">
      <w:pPr>
        <w:pStyle w:val="FootnoteText"/>
        <w:rPr>
          <w:lang w:val="fr-CA"/>
        </w:rPr>
      </w:pPr>
      <w:r w:rsidRPr="00D43CAF">
        <w:rPr>
          <w:rStyle w:val="FootnoteReference"/>
          <w:sz w:val="18"/>
        </w:rPr>
        <w:footnoteRef/>
      </w:r>
      <w:r w:rsidRPr="00D43CAF">
        <w:rPr>
          <w:sz w:val="18"/>
          <w:lang w:val="fr-CA"/>
        </w:rPr>
        <w:t xml:space="preserve"> Les Services de gestion régionaux (SGR) peuvent être inclus ou exclus de certaines étapes tout dépendant le</w:t>
      </w:r>
      <w:r>
        <w:rPr>
          <w:sz w:val="18"/>
          <w:lang w:val="fr-CA"/>
        </w:rPr>
        <w:t>s</w:t>
      </w:r>
      <w:r w:rsidRPr="00D43CAF">
        <w:rPr>
          <w:sz w:val="18"/>
          <w:lang w:val="fr-CA"/>
        </w:rPr>
        <w:t xml:space="preserve"> rôles et responsabilités.</w:t>
      </w:r>
    </w:p>
  </w:footnote>
  <w:footnote w:id="2">
    <w:p w14:paraId="756EEDFF" w14:textId="77777777" w:rsidR="00963EE6" w:rsidRPr="00D43CAF" w:rsidRDefault="00963EE6" w:rsidP="003F63CD">
      <w:pPr>
        <w:pStyle w:val="FootnoteText"/>
        <w:rPr>
          <w:lang w:val="fr-CA"/>
        </w:rPr>
      </w:pPr>
      <w:r w:rsidRPr="00D43CAF">
        <w:rPr>
          <w:rStyle w:val="FootnoteReference"/>
          <w:sz w:val="18"/>
        </w:rPr>
        <w:footnoteRef/>
      </w:r>
      <w:r w:rsidRPr="00D43CAF">
        <w:rPr>
          <w:sz w:val="18"/>
          <w:lang w:val="fr-CA"/>
        </w:rPr>
        <w:t xml:space="preserve"> Dans le présent document, le terme Gestionnaire de centre financier (GCF) peut également inclure leur désigné.</w:t>
      </w:r>
    </w:p>
  </w:footnote>
  <w:footnote w:id="3">
    <w:p w14:paraId="3BAD3743" w14:textId="77777777" w:rsidR="00963EE6" w:rsidRPr="00156EAC" w:rsidRDefault="00963EE6" w:rsidP="003F63CD">
      <w:pPr>
        <w:pStyle w:val="FootnoteText"/>
        <w:rPr>
          <w:sz w:val="18"/>
          <w:lang w:val="fr-CA"/>
        </w:rPr>
      </w:pPr>
      <w:r w:rsidRPr="00156EAC">
        <w:rPr>
          <w:rStyle w:val="FootnoteReference"/>
          <w:sz w:val="18"/>
        </w:rPr>
        <w:footnoteRef/>
      </w:r>
      <w:r w:rsidRPr="00156EAC">
        <w:rPr>
          <w:sz w:val="18"/>
          <w:lang w:val="fr-CA"/>
        </w:rPr>
        <w:t xml:space="preserve"> </w:t>
      </w:r>
      <w:r>
        <w:rPr>
          <w:sz w:val="18"/>
          <w:lang w:val="fr-CA"/>
        </w:rPr>
        <w:t xml:space="preserve">Dans l’OPS, un centre financier (CF) est nommé centre de coûts (CC). </w:t>
      </w:r>
    </w:p>
  </w:footnote>
  <w:footnote w:id="4">
    <w:p w14:paraId="7F2DE745" w14:textId="77777777" w:rsidR="00963EE6" w:rsidRPr="006B28F5" w:rsidRDefault="00963EE6" w:rsidP="00A05194">
      <w:pPr>
        <w:pStyle w:val="FootnoteText"/>
        <w:rPr>
          <w:rFonts w:ascii="Arial" w:hAnsi="Arial"/>
          <w:lang w:val="fr-CA"/>
        </w:rPr>
      </w:pPr>
      <w:r>
        <w:rPr>
          <w:rStyle w:val="FootnoteReference"/>
          <w:rFonts w:eastAsiaTheme="majorEastAsia"/>
        </w:rPr>
        <w:footnoteRef/>
      </w:r>
      <w:r w:rsidRPr="00A05194">
        <w:rPr>
          <w:lang w:val="fr-CA"/>
        </w:rPr>
        <w:t xml:space="preserve"> Dans l’OPS,</w:t>
      </w:r>
      <w:r>
        <w:rPr>
          <w:lang w:val="fr-CA"/>
        </w:rPr>
        <w:t xml:space="preserve"> le terme</w:t>
      </w:r>
      <w:r w:rsidRPr="00CB5D5C">
        <w:rPr>
          <w:lang w:val="fr-CA"/>
        </w:rPr>
        <w:t xml:space="preserve"> Compte budgétaire (CB) fait </w:t>
      </w:r>
      <w:r w:rsidRPr="00A87E8F">
        <w:rPr>
          <w:lang w:val="fr-CA"/>
        </w:rPr>
        <w:t>référence</w:t>
      </w:r>
      <w:r w:rsidRPr="00A05194">
        <w:rPr>
          <w:lang w:val="fr-CA"/>
        </w:rPr>
        <w:t xml:space="preserve"> au Groupe</w:t>
      </w:r>
      <w:r>
        <w:rPr>
          <w:lang w:val="fr-CA"/>
        </w:rPr>
        <w:t xml:space="preserve"> prévisionnel (GP).</w:t>
      </w:r>
    </w:p>
  </w:footnote>
  <w:footnote w:id="5">
    <w:p w14:paraId="1F0E2B6B" w14:textId="77777777" w:rsidR="00963EE6" w:rsidRPr="005F50A8" w:rsidRDefault="00963EE6" w:rsidP="00CD2837">
      <w:pPr>
        <w:pStyle w:val="FootnoteText"/>
        <w:rPr>
          <w:sz w:val="18"/>
          <w:szCs w:val="18"/>
          <w:lang w:val="fr-CA"/>
        </w:rPr>
      </w:pPr>
      <w:r w:rsidRPr="005F50A8">
        <w:rPr>
          <w:rStyle w:val="FootnoteReference"/>
          <w:rFonts w:eastAsiaTheme="majorEastAsia"/>
          <w:sz w:val="18"/>
          <w:szCs w:val="18"/>
        </w:rPr>
        <w:footnoteRef/>
      </w:r>
      <w:r w:rsidRPr="005F50A8">
        <w:rPr>
          <w:sz w:val="18"/>
          <w:szCs w:val="18"/>
          <w:lang w:val="fr-CA"/>
        </w:rPr>
        <w:t xml:space="preserve"> Dans l’OPS, le centre financier (CF) fait référence au centre de coût (CC).</w:t>
      </w:r>
    </w:p>
  </w:footnote>
  <w:footnote w:id="6">
    <w:p w14:paraId="7DA46A54" w14:textId="77777777" w:rsidR="00963EE6" w:rsidRPr="005F50A8" w:rsidRDefault="00963EE6">
      <w:pPr>
        <w:pStyle w:val="FootnoteText"/>
        <w:rPr>
          <w:sz w:val="18"/>
          <w:szCs w:val="18"/>
          <w:lang w:val="fr-CA"/>
        </w:rPr>
      </w:pPr>
      <w:r w:rsidRPr="005F50A8">
        <w:rPr>
          <w:rStyle w:val="FootnoteReference"/>
          <w:sz w:val="18"/>
          <w:szCs w:val="18"/>
        </w:rPr>
        <w:footnoteRef/>
      </w:r>
      <w:r w:rsidRPr="005F50A8">
        <w:rPr>
          <w:sz w:val="18"/>
          <w:szCs w:val="18"/>
          <w:lang w:val="fr-CA"/>
        </w:rPr>
        <w:t xml:space="preserve"> Les dépenses devront être réalignées au fond A449 sur une base mensuelle par l’entremise d’une pièce de journal au moins 5 jours ouvrables avant la fin du mois.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59B0" w14:textId="77777777" w:rsidR="00963EE6" w:rsidRDefault="00963EE6">
    <w:pPr>
      <w:pStyle w:val="Header"/>
    </w:pPr>
    <w:r>
      <w:rPr>
        <w:noProof/>
      </w:rPr>
      <w:drawing>
        <wp:anchor distT="0" distB="0" distL="114300" distR="114300" simplePos="0" relativeHeight="251660288" behindDoc="1" locked="0" layoutInCell="1" allowOverlap="1" wp14:anchorId="62BB4192" wp14:editId="44CF721B">
          <wp:simplePos x="0" y="0"/>
          <wp:positionH relativeFrom="column">
            <wp:posOffset>-914400</wp:posOffset>
          </wp:positionH>
          <wp:positionV relativeFrom="paragraph">
            <wp:posOffset>373380</wp:posOffset>
          </wp:positionV>
          <wp:extent cx="7772400" cy="201168"/>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B2E8" w14:textId="77777777" w:rsidR="00963EE6" w:rsidRDefault="00963EE6">
    <w:pPr>
      <w:pStyle w:val="Header"/>
    </w:pPr>
    <w:r>
      <w:rPr>
        <w:noProof/>
      </w:rPr>
      <w:drawing>
        <wp:anchor distT="0" distB="0" distL="114300" distR="114300" simplePos="0" relativeHeight="251659264" behindDoc="1" locked="0" layoutInCell="1" allowOverlap="1" wp14:anchorId="661B5E65" wp14:editId="430135CA">
          <wp:simplePos x="0" y="0"/>
          <wp:positionH relativeFrom="column">
            <wp:posOffset>-914400</wp:posOffset>
          </wp:positionH>
          <wp:positionV relativeFrom="paragraph">
            <wp:posOffset>-457200</wp:posOffset>
          </wp:positionV>
          <wp:extent cx="7772400" cy="10058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AC13F" w14:textId="77777777" w:rsidR="00963EE6" w:rsidRDefault="00963EE6">
    <w:pPr>
      <w:pStyle w:val="Header"/>
    </w:pPr>
    <w:r>
      <w:rPr>
        <w:noProof/>
      </w:rPr>
      <w:drawing>
        <wp:anchor distT="0" distB="0" distL="114300" distR="114300" simplePos="0" relativeHeight="251664384" behindDoc="1" locked="0" layoutInCell="1" allowOverlap="1" wp14:anchorId="20794BD8" wp14:editId="685F5F8E">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D274" w14:textId="77777777" w:rsidR="00963EE6" w:rsidRDefault="00963EE6">
    <w:pPr>
      <w:pStyle w:val="Header"/>
    </w:pPr>
    <w:r>
      <w:rPr>
        <w:noProof/>
      </w:rPr>
      <w:drawing>
        <wp:anchor distT="0" distB="0" distL="114300" distR="114300" simplePos="0" relativeHeight="251663360" behindDoc="1" locked="0" layoutInCell="1" allowOverlap="1" wp14:anchorId="69DDF7DD" wp14:editId="037ACF3A">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C9F"/>
    <w:multiLevelType w:val="hybridMultilevel"/>
    <w:tmpl w:val="B0567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2631D5"/>
    <w:multiLevelType w:val="hybridMultilevel"/>
    <w:tmpl w:val="D22EC9E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AE118E3"/>
    <w:multiLevelType w:val="hybridMultilevel"/>
    <w:tmpl w:val="E4E6E5D2"/>
    <w:lvl w:ilvl="0" w:tplc="5F5CB254">
      <w:start w:val="1"/>
      <w:numFmt w:val="lowerLetter"/>
      <w:lvlText w:val="%1."/>
      <w:lvlJc w:val="left"/>
      <w:pPr>
        <w:ind w:left="720" w:hanging="360"/>
      </w:pPr>
      <w:rPr>
        <w:rFonts w:cs="Arial"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79052E"/>
    <w:multiLevelType w:val="hybridMultilevel"/>
    <w:tmpl w:val="C3529584"/>
    <w:lvl w:ilvl="0" w:tplc="DBD0568C">
      <w:start w:val="1"/>
      <w:numFmt w:val="lowerLetter"/>
      <w:lvlText w:val="%1."/>
      <w:lvlJc w:val="left"/>
      <w:pPr>
        <w:ind w:left="720" w:hanging="360"/>
      </w:pPr>
      <w:rPr>
        <w:rFonts w:cs="Arial"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660021"/>
    <w:multiLevelType w:val="hybridMultilevel"/>
    <w:tmpl w:val="31E2FE62"/>
    <w:lvl w:ilvl="0" w:tplc="9C92219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083281"/>
    <w:multiLevelType w:val="hybridMultilevel"/>
    <w:tmpl w:val="D6EEE02C"/>
    <w:lvl w:ilvl="0" w:tplc="016AA1CE">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1F26F13"/>
    <w:multiLevelType w:val="hybridMultilevel"/>
    <w:tmpl w:val="D73000C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E31513"/>
    <w:multiLevelType w:val="hybridMultilevel"/>
    <w:tmpl w:val="7C94D5D4"/>
    <w:lvl w:ilvl="0" w:tplc="04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38D0D44"/>
    <w:multiLevelType w:val="hybridMultilevel"/>
    <w:tmpl w:val="7E6ED5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AE7A78"/>
    <w:multiLevelType w:val="hybridMultilevel"/>
    <w:tmpl w:val="43E4E66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504F7A"/>
    <w:multiLevelType w:val="hybridMultilevel"/>
    <w:tmpl w:val="67DE15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9232407"/>
    <w:multiLevelType w:val="hybridMultilevel"/>
    <w:tmpl w:val="AC048A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C62959"/>
    <w:multiLevelType w:val="hybridMultilevel"/>
    <w:tmpl w:val="20C44D8A"/>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3" w15:restartNumberingAfterBreak="0">
    <w:nsid w:val="39DF68A1"/>
    <w:multiLevelType w:val="hybridMultilevel"/>
    <w:tmpl w:val="8CB457F0"/>
    <w:lvl w:ilvl="0" w:tplc="10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0D4E66"/>
    <w:multiLevelType w:val="hybridMultilevel"/>
    <w:tmpl w:val="DEE816E2"/>
    <w:lvl w:ilvl="0" w:tplc="4530B762">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BE5D5A"/>
    <w:multiLevelType w:val="hybridMultilevel"/>
    <w:tmpl w:val="2236EB0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D26C60"/>
    <w:multiLevelType w:val="hybridMultilevel"/>
    <w:tmpl w:val="BCF80488"/>
    <w:lvl w:ilvl="0" w:tplc="CADE382A">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5116F19"/>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6131A36"/>
    <w:multiLevelType w:val="hybridMultilevel"/>
    <w:tmpl w:val="5E50A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492934"/>
    <w:multiLevelType w:val="hybridMultilevel"/>
    <w:tmpl w:val="8A3CABAE"/>
    <w:lvl w:ilvl="0" w:tplc="10090001">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1102AA"/>
    <w:multiLevelType w:val="hybridMultilevel"/>
    <w:tmpl w:val="CD164B92"/>
    <w:lvl w:ilvl="0" w:tplc="A526219A">
      <w:start w:val="1"/>
      <w:numFmt w:val="bullet"/>
      <w:lvlText w:val="o"/>
      <w:lvlJc w:val="left"/>
      <w:pPr>
        <w:tabs>
          <w:tab w:val="num" w:pos="720"/>
        </w:tabs>
        <w:ind w:left="720" w:hanging="360"/>
      </w:pPr>
      <w:rPr>
        <w:rFonts w:ascii="Courier New" w:hAnsi="Courier New" w:hint="default"/>
      </w:rPr>
    </w:lvl>
    <w:lvl w:ilvl="1" w:tplc="7F92A028">
      <w:start w:val="1"/>
      <w:numFmt w:val="bullet"/>
      <w:lvlText w:val="o"/>
      <w:lvlJc w:val="left"/>
      <w:pPr>
        <w:tabs>
          <w:tab w:val="num" w:pos="1440"/>
        </w:tabs>
        <w:ind w:left="1440" w:hanging="360"/>
      </w:pPr>
      <w:rPr>
        <w:rFonts w:ascii="Courier New" w:hAnsi="Courier New" w:hint="default"/>
      </w:rPr>
    </w:lvl>
    <w:lvl w:ilvl="2" w:tplc="B3E4DEB0" w:tentative="1">
      <w:start w:val="1"/>
      <w:numFmt w:val="bullet"/>
      <w:lvlText w:val="o"/>
      <w:lvlJc w:val="left"/>
      <w:pPr>
        <w:tabs>
          <w:tab w:val="num" w:pos="2160"/>
        </w:tabs>
        <w:ind w:left="2160" w:hanging="360"/>
      </w:pPr>
      <w:rPr>
        <w:rFonts w:ascii="Courier New" w:hAnsi="Courier New" w:hint="default"/>
      </w:rPr>
    </w:lvl>
    <w:lvl w:ilvl="3" w:tplc="92C286EA" w:tentative="1">
      <w:start w:val="1"/>
      <w:numFmt w:val="bullet"/>
      <w:lvlText w:val="o"/>
      <w:lvlJc w:val="left"/>
      <w:pPr>
        <w:tabs>
          <w:tab w:val="num" w:pos="2880"/>
        </w:tabs>
        <w:ind w:left="2880" w:hanging="360"/>
      </w:pPr>
      <w:rPr>
        <w:rFonts w:ascii="Courier New" w:hAnsi="Courier New" w:hint="default"/>
      </w:rPr>
    </w:lvl>
    <w:lvl w:ilvl="4" w:tplc="39365A08" w:tentative="1">
      <w:start w:val="1"/>
      <w:numFmt w:val="bullet"/>
      <w:lvlText w:val="o"/>
      <w:lvlJc w:val="left"/>
      <w:pPr>
        <w:tabs>
          <w:tab w:val="num" w:pos="3600"/>
        </w:tabs>
        <w:ind w:left="3600" w:hanging="360"/>
      </w:pPr>
      <w:rPr>
        <w:rFonts w:ascii="Courier New" w:hAnsi="Courier New" w:hint="default"/>
      </w:rPr>
    </w:lvl>
    <w:lvl w:ilvl="5" w:tplc="7CA08496" w:tentative="1">
      <w:start w:val="1"/>
      <w:numFmt w:val="bullet"/>
      <w:lvlText w:val="o"/>
      <w:lvlJc w:val="left"/>
      <w:pPr>
        <w:tabs>
          <w:tab w:val="num" w:pos="4320"/>
        </w:tabs>
        <w:ind w:left="4320" w:hanging="360"/>
      </w:pPr>
      <w:rPr>
        <w:rFonts w:ascii="Courier New" w:hAnsi="Courier New" w:hint="default"/>
      </w:rPr>
    </w:lvl>
    <w:lvl w:ilvl="6" w:tplc="CEAC457A" w:tentative="1">
      <w:start w:val="1"/>
      <w:numFmt w:val="bullet"/>
      <w:lvlText w:val="o"/>
      <w:lvlJc w:val="left"/>
      <w:pPr>
        <w:tabs>
          <w:tab w:val="num" w:pos="5040"/>
        </w:tabs>
        <w:ind w:left="5040" w:hanging="360"/>
      </w:pPr>
      <w:rPr>
        <w:rFonts w:ascii="Courier New" w:hAnsi="Courier New" w:hint="default"/>
      </w:rPr>
    </w:lvl>
    <w:lvl w:ilvl="7" w:tplc="B15EEE8E" w:tentative="1">
      <w:start w:val="1"/>
      <w:numFmt w:val="bullet"/>
      <w:lvlText w:val="o"/>
      <w:lvlJc w:val="left"/>
      <w:pPr>
        <w:tabs>
          <w:tab w:val="num" w:pos="5760"/>
        </w:tabs>
        <w:ind w:left="5760" w:hanging="360"/>
      </w:pPr>
      <w:rPr>
        <w:rFonts w:ascii="Courier New" w:hAnsi="Courier New" w:hint="default"/>
      </w:rPr>
    </w:lvl>
    <w:lvl w:ilvl="8" w:tplc="6FE65ADA"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0CE25FF"/>
    <w:multiLevelType w:val="hybridMultilevel"/>
    <w:tmpl w:val="9FECB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276FF7"/>
    <w:multiLevelType w:val="hybridMultilevel"/>
    <w:tmpl w:val="8AF433EC"/>
    <w:lvl w:ilvl="0" w:tplc="D3E0B7F4">
      <w:start w:val="1"/>
      <w:numFmt w:val="decimal"/>
      <w:lvlText w:val="%1"/>
      <w:lvlJc w:val="left"/>
      <w:pPr>
        <w:ind w:left="454" w:hanging="454"/>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7759DB"/>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6C74676"/>
    <w:multiLevelType w:val="multilevel"/>
    <w:tmpl w:val="C4A0C1E4"/>
    <w:lvl w:ilvl="0">
      <w:start w:val="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5C4A89"/>
    <w:multiLevelType w:val="hybridMultilevel"/>
    <w:tmpl w:val="5094D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A4126A"/>
    <w:multiLevelType w:val="hybridMultilevel"/>
    <w:tmpl w:val="642ECFC6"/>
    <w:lvl w:ilvl="0" w:tplc="78585846">
      <w:start w:val="1"/>
      <w:numFmt w:val="decimal"/>
      <w:lvlText w:val="%1."/>
      <w:lvlJc w:val="left"/>
      <w:pPr>
        <w:tabs>
          <w:tab w:val="num" w:pos="720"/>
        </w:tabs>
        <w:ind w:left="720" w:hanging="360"/>
      </w:pPr>
    </w:lvl>
    <w:lvl w:ilvl="1" w:tplc="F6CC95A8" w:tentative="1">
      <w:start w:val="1"/>
      <w:numFmt w:val="decimal"/>
      <w:lvlText w:val="%2."/>
      <w:lvlJc w:val="left"/>
      <w:pPr>
        <w:tabs>
          <w:tab w:val="num" w:pos="1440"/>
        </w:tabs>
        <w:ind w:left="1440" w:hanging="360"/>
      </w:pPr>
    </w:lvl>
    <w:lvl w:ilvl="2" w:tplc="C6A2D7D4" w:tentative="1">
      <w:start w:val="1"/>
      <w:numFmt w:val="decimal"/>
      <w:lvlText w:val="%3."/>
      <w:lvlJc w:val="left"/>
      <w:pPr>
        <w:tabs>
          <w:tab w:val="num" w:pos="2160"/>
        </w:tabs>
        <w:ind w:left="2160" w:hanging="360"/>
      </w:pPr>
    </w:lvl>
    <w:lvl w:ilvl="3" w:tplc="622EDF76" w:tentative="1">
      <w:start w:val="1"/>
      <w:numFmt w:val="decimal"/>
      <w:lvlText w:val="%4."/>
      <w:lvlJc w:val="left"/>
      <w:pPr>
        <w:tabs>
          <w:tab w:val="num" w:pos="2880"/>
        </w:tabs>
        <w:ind w:left="2880" w:hanging="360"/>
      </w:pPr>
    </w:lvl>
    <w:lvl w:ilvl="4" w:tplc="63BA75CC" w:tentative="1">
      <w:start w:val="1"/>
      <w:numFmt w:val="decimal"/>
      <w:lvlText w:val="%5."/>
      <w:lvlJc w:val="left"/>
      <w:pPr>
        <w:tabs>
          <w:tab w:val="num" w:pos="3600"/>
        </w:tabs>
        <w:ind w:left="3600" w:hanging="360"/>
      </w:pPr>
    </w:lvl>
    <w:lvl w:ilvl="5" w:tplc="9FFC163E" w:tentative="1">
      <w:start w:val="1"/>
      <w:numFmt w:val="decimal"/>
      <w:lvlText w:val="%6."/>
      <w:lvlJc w:val="left"/>
      <w:pPr>
        <w:tabs>
          <w:tab w:val="num" w:pos="4320"/>
        </w:tabs>
        <w:ind w:left="4320" w:hanging="360"/>
      </w:pPr>
    </w:lvl>
    <w:lvl w:ilvl="6" w:tplc="85B6191A" w:tentative="1">
      <w:start w:val="1"/>
      <w:numFmt w:val="decimal"/>
      <w:lvlText w:val="%7."/>
      <w:lvlJc w:val="left"/>
      <w:pPr>
        <w:tabs>
          <w:tab w:val="num" w:pos="5040"/>
        </w:tabs>
        <w:ind w:left="5040" w:hanging="360"/>
      </w:pPr>
    </w:lvl>
    <w:lvl w:ilvl="7" w:tplc="47CCB95C" w:tentative="1">
      <w:start w:val="1"/>
      <w:numFmt w:val="decimal"/>
      <w:lvlText w:val="%8."/>
      <w:lvlJc w:val="left"/>
      <w:pPr>
        <w:tabs>
          <w:tab w:val="num" w:pos="5760"/>
        </w:tabs>
        <w:ind w:left="5760" w:hanging="360"/>
      </w:pPr>
    </w:lvl>
    <w:lvl w:ilvl="8" w:tplc="733E8DF4" w:tentative="1">
      <w:start w:val="1"/>
      <w:numFmt w:val="decimal"/>
      <w:lvlText w:val="%9."/>
      <w:lvlJc w:val="left"/>
      <w:pPr>
        <w:tabs>
          <w:tab w:val="num" w:pos="6480"/>
        </w:tabs>
        <w:ind w:left="6480" w:hanging="360"/>
      </w:pPr>
    </w:lvl>
  </w:abstractNum>
  <w:abstractNum w:abstractNumId="27" w15:restartNumberingAfterBreak="0">
    <w:nsid w:val="5C097C1D"/>
    <w:multiLevelType w:val="hybridMultilevel"/>
    <w:tmpl w:val="721AE146"/>
    <w:lvl w:ilvl="0" w:tplc="CB40D23C">
      <w:start w:val="1"/>
      <w:numFmt w:val="decimal"/>
      <w:lvlText w:val="%1."/>
      <w:lvlJc w:val="left"/>
      <w:pPr>
        <w:tabs>
          <w:tab w:val="num" w:pos="720"/>
        </w:tabs>
        <w:ind w:left="720" w:hanging="360"/>
      </w:pPr>
    </w:lvl>
    <w:lvl w:ilvl="1" w:tplc="FD183C08" w:tentative="1">
      <w:start w:val="1"/>
      <w:numFmt w:val="decimal"/>
      <w:lvlText w:val="%2."/>
      <w:lvlJc w:val="left"/>
      <w:pPr>
        <w:tabs>
          <w:tab w:val="num" w:pos="1440"/>
        </w:tabs>
        <w:ind w:left="1440" w:hanging="360"/>
      </w:pPr>
    </w:lvl>
    <w:lvl w:ilvl="2" w:tplc="4EA0C126" w:tentative="1">
      <w:start w:val="1"/>
      <w:numFmt w:val="decimal"/>
      <w:lvlText w:val="%3."/>
      <w:lvlJc w:val="left"/>
      <w:pPr>
        <w:tabs>
          <w:tab w:val="num" w:pos="2160"/>
        </w:tabs>
        <w:ind w:left="2160" w:hanging="360"/>
      </w:pPr>
    </w:lvl>
    <w:lvl w:ilvl="3" w:tplc="5184CF60" w:tentative="1">
      <w:start w:val="1"/>
      <w:numFmt w:val="decimal"/>
      <w:lvlText w:val="%4."/>
      <w:lvlJc w:val="left"/>
      <w:pPr>
        <w:tabs>
          <w:tab w:val="num" w:pos="2880"/>
        </w:tabs>
        <w:ind w:left="2880" w:hanging="360"/>
      </w:pPr>
    </w:lvl>
    <w:lvl w:ilvl="4" w:tplc="2B90960A" w:tentative="1">
      <w:start w:val="1"/>
      <w:numFmt w:val="decimal"/>
      <w:lvlText w:val="%5."/>
      <w:lvlJc w:val="left"/>
      <w:pPr>
        <w:tabs>
          <w:tab w:val="num" w:pos="3600"/>
        </w:tabs>
        <w:ind w:left="3600" w:hanging="360"/>
      </w:pPr>
    </w:lvl>
    <w:lvl w:ilvl="5" w:tplc="7196F426" w:tentative="1">
      <w:start w:val="1"/>
      <w:numFmt w:val="decimal"/>
      <w:lvlText w:val="%6."/>
      <w:lvlJc w:val="left"/>
      <w:pPr>
        <w:tabs>
          <w:tab w:val="num" w:pos="4320"/>
        </w:tabs>
        <w:ind w:left="4320" w:hanging="360"/>
      </w:pPr>
    </w:lvl>
    <w:lvl w:ilvl="6" w:tplc="E67A5EE6" w:tentative="1">
      <w:start w:val="1"/>
      <w:numFmt w:val="decimal"/>
      <w:lvlText w:val="%7."/>
      <w:lvlJc w:val="left"/>
      <w:pPr>
        <w:tabs>
          <w:tab w:val="num" w:pos="5040"/>
        </w:tabs>
        <w:ind w:left="5040" w:hanging="360"/>
      </w:pPr>
    </w:lvl>
    <w:lvl w:ilvl="7" w:tplc="FD646F2E" w:tentative="1">
      <w:start w:val="1"/>
      <w:numFmt w:val="decimal"/>
      <w:lvlText w:val="%8."/>
      <w:lvlJc w:val="left"/>
      <w:pPr>
        <w:tabs>
          <w:tab w:val="num" w:pos="5760"/>
        </w:tabs>
        <w:ind w:left="5760" w:hanging="360"/>
      </w:pPr>
    </w:lvl>
    <w:lvl w:ilvl="8" w:tplc="A46A2690" w:tentative="1">
      <w:start w:val="1"/>
      <w:numFmt w:val="decimal"/>
      <w:lvlText w:val="%9."/>
      <w:lvlJc w:val="left"/>
      <w:pPr>
        <w:tabs>
          <w:tab w:val="num" w:pos="6480"/>
        </w:tabs>
        <w:ind w:left="6480" w:hanging="360"/>
      </w:pPr>
    </w:lvl>
  </w:abstractNum>
  <w:abstractNum w:abstractNumId="28" w15:restartNumberingAfterBreak="0">
    <w:nsid w:val="60002A62"/>
    <w:multiLevelType w:val="hybridMultilevel"/>
    <w:tmpl w:val="777C6E66"/>
    <w:lvl w:ilvl="0" w:tplc="10090001">
      <w:start w:val="1"/>
      <w:numFmt w:val="bullet"/>
      <w:lvlText w:val=""/>
      <w:lvlJc w:val="left"/>
      <w:pPr>
        <w:ind w:left="1797" w:hanging="360"/>
      </w:pPr>
      <w:rPr>
        <w:rFonts w:ascii="Symbol" w:hAnsi="Symbol"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29" w15:restartNumberingAfterBreak="0">
    <w:nsid w:val="61C057F6"/>
    <w:multiLevelType w:val="hybridMultilevel"/>
    <w:tmpl w:val="01741C7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C485DFD"/>
    <w:multiLevelType w:val="hybridMultilevel"/>
    <w:tmpl w:val="F2C87C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077FCB"/>
    <w:multiLevelType w:val="hybridMultilevel"/>
    <w:tmpl w:val="A3D010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D175490"/>
    <w:multiLevelType w:val="hybridMultilevel"/>
    <w:tmpl w:val="2E6AE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DCE4530"/>
    <w:multiLevelType w:val="hybridMultilevel"/>
    <w:tmpl w:val="6EEE3EFA"/>
    <w:lvl w:ilvl="0" w:tplc="1009000D">
      <w:start w:val="1"/>
      <w:numFmt w:val="bullet"/>
      <w:lvlText w:val=""/>
      <w:lvlJc w:val="left"/>
      <w:pPr>
        <w:ind w:left="784" w:hanging="360"/>
      </w:pPr>
      <w:rPr>
        <w:rFonts w:ascii="Wingdings" w:hAnsi="Wingdings"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34" w15:restartNumberingAfterBreak="0">
    <w:nsid w:val="781C2662"/>
    <w:multiLevelType w:val="hybridMultilevel"/>
    <w:tmpl w:val="66D8CF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732C9A"/>
    <w:multiLevelType w:val="hybridMultilevel"/>
    <w:tmpl w:val="A8C0656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1"/>
  </w:num>
  <w:num w:numId="4">
    <w:abstractNumId w:val="19"/>
  </w:num>
  <w:num w:numId="5">
    <w:abstractNumId w:val="13"/>
  </w:num>
  <w:num w:numId="6">
    <w:abstractNumId w:val="7"/>
  </w:num>
  <w:num w:numId="7">
    <w:abstractNumId w:val="14"/>
  </w:num>
  <w:num w:numId="8">
    <w:abstractNumId w:val="35"/>
  </w:num>
  <w:num w:numId="9">
    <w:abstractNumId w:val="31"/>
  </w:num>
  <w:num w:numId="10">
    <w:abstractNumId w:val="15"/>
  </w:num>
  <w:num w:numId="11">
    <w:abstractNumId w:val="16"/>
  </w:num>
  <w:num w:numId="12">
    <w:abstractNumId w:val="3"/>
  </w:num>
  <w:num w:numId="13">
    <w:abstractNumId w:val="29"/>
  </w:num>
  <w:num w:numId="14">
    <w:abstractNumId w:val="2"/>
  </w:num>
  <w:num w:numId="15">
    <w:abstractNumId w:val="24"/>
  </w:num>
  <w:num w:numId="16">
    <w:abstractNumId w:val="5"/>
  </w:num>
  <w:num w:numId="17">
    <w:abstractNumId w:val="28"/>
  </w:num>
  <w:num w:numId="18">
    <w:abstractNumId w:val="33"/>
  </w:num>
  <w:num w:numId="19">
    <w:abstractNumId w:val="18"/>
  </w:num>
  <w:num w:numId="20">
    <w:abstractNumId w:val="9"/>
  </w:num>
  <w:num w:numId="21">
    <w:abstractNumId w:val="20"/>
  </w:num>
  <w:num w:numId="22">
    <w:abstractNumId w:val="6"/>
  </w:num>
  <w:num w:numId="23">
    <w:abstractNumId w:val="0"/>
  </w:num>
  <w:num w:numId="24">
    <w:abstractNumId w:val="34"/>
  </w:num>
  <w:num w:numId="25">
    <w:abstractNumId w:val="30"/>
  </w:num>
  <w:num w:numId="26">
    <w:abstractNumId w:val="32"/>
  </w:num>
  <w:num w:numId="27">
    <w:abstractNumId w:val="1"/>
  </w:num>
  <w:num w:numId="28">
    <w:abstractNumId w:val="10"/>
  </w:num>
  <w:num w:numId="29">
    <w:abstractNumId w:val="26"/>
  </w:num>
  <w:num w:numId="30">
    <w:abstractNumId w:val="27"/>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1"/>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3F63CD"/>
    <w:rsid w:val="00003770"/>
    <w:rsid w:val="00004CC0"/>
    <w:rsid w:val="000072DD"/>
    <w:rsid w:val="00011DE5"/>
    <w:rsid w:val="00026416"/>
    <w:rsid w:val="00027798"/>
    <w:rsid w:val="00057480"/>
    <w:rsid w:val="000A054B"/>
    <w:rsid w:val="000B7B63"/>
    <w:rsid w:val="000C2FCB"/>
    <w:rsid w:val="000D0C27"/>
    <w:rsid w:val="000E5831"/>
    <w:rsid w:val="000F55F8"/>
    <w:rsid w:val="000F5BDA"/>
    <w:rsid w:val="001118A4"/>
    <w:rsid w:val="001350BB"/>
    <w:rsid w:val="00152758"/>
    <w:rsid w:val="00152B92"/>
    <w:rsid w:val="00167341"/>
    <w:rsid w:val="00176EB0"/>
    <w:rsid w:val="001816C9"/>
    <w:rsid w:val="00194417"/>
    <w:rsid w:val="001A2F31"/>
    <w:rsid w:val="001A3945"/>
    <w:rsid w:val="001A4D2A"/>
    <w:rsid w:val="001C4A03"/>
    <w:rsid w:val="001C5300"/>
    <w:rsid w:val="001E58D2"/>
    <w:rsid w:val="002227C8"/>
    <w:rsid w:val="0022414D"/>
    <w:rsid w:val="00224A4D"/>
    <w:rsid w:val="00224EFB"/>
    <w:rsid w:val="002425FE"/>
    <w:rsid w:val="002478EF"/>
    <w:rsid w:val="002557F7"/>
    <w:rsid w:val="00264926"/>
    <w:rsid w:val="00283A91"/>
    <w:rsid w:val="00291A4F"/>
    <w:rsid w:val="002A4D36"/>
    <w:rsid w:val="002B637F"/>
    <w:rsid w:val="002D0655"/>
    <w:rsid w:val="002E1A24"/>
    <w:rsid w:val="002E1B44"/>
    <w:rsid w:val="002E50DB"/>
    <w:rsid w:val="0031526B"/>
    <w:rsid w:val="00316BD9"/>
    <w:rsid w:val="003234D1"/>
    <w:rsid w:val="00335CCE"/>
    <w:rsid w:val="00366A71"/>
    <w:rsid w:val="0038651D"/>
    <w:rsid w:val="003C247C"/>
    <w:rsid w:val="003C6220"/>
    <w:rsid w:val="003D234A"/>
    <w:rsid w:val="003F63CD"/>
    <w:rsid w:val="00400FD3"/>
    <w:rsid w:val="00410961"/>
    <w:rsid w:val="00416421"/>
    <w:rsid w:val="00420577"/>
    <w:rsid w:val="00422103"/>
    <w:rsid w:val="00425E3B"/>
    <w:rsid w:val="00442819"/>
    <w:rsid w:val="0044401B"/>
    <w:rsid w:val="004552F6"/>
    <w:rsid w:val="00473E51"/>
    <w:rsid w:val="00483066"/>
    <w:rsid w:val="004838E4"/>
    <w:rsid w:val="00486FAA"/>
    <w:rsid w:val="0048702B"/>
    <w:rsid w:val="004A06E9"/>
    <w:rsid w:val="004A1E85"/>
    <w:rsid w:val="004A2BD2"/>
    <w:rsid w:val="004A75D6"/>
    <w:rsid w:val="004B71D8"/>
    <w:rsid w:val="004B7815"/>
    <w:rsid w:val="004D153A"/>
    <w:rsid w:val="00512027"/>
    <w:rsid w:val="00514534"/>
    <w:rsid w:val="005156EB"/>
    <w:rsid w:val="00534A17"/>
    <w:rsid w:val="005770F2"/>
    <w:rsid w:val="00577F5B"/>
    <w:rsid w:val="005856F9"/>
    <w:rsid w:val="005866AF"/>
    <w:rsid w:val="005943AA"/>
    <w:rsid w:val="005A2022"/>
    <w:rsid w:val="005B7430"/>
    <w:rsid w:val="005D5146"/>
    <w:rsid w:val="005E1274"/>
    <w:rsid w:val="005E46EF"/>
    <w:rsid w:val="005E7BB2"/>
    <w:rsid w:val="005F50A8"/>
    <w:rsid w:val="00654666"/>
    <w:rsid w:val="00670F3E"/>
    <w:rsid w:val="00687D68"/>
    <w:rsid w:val="006B28F5"/>
    <w:rsid w:val="006C1E9F"/>
    <w:rsid w:val="006C3C8B"/>
    <w:rsid w:val="006C5DF9"/>
    <w:rsid w:val="006D1CAF"/>
    <w:rsid w:val="006D7255"/>
    <w:rsid w:val="006D7B36"/>
    <w:rsid w:val="006E6F63"/>
    <w:rsid w:val="006F31C9"/>
    <w:rsid w:val="0070367A"/>
    <w:rsid w:val="007056CD"/>
    <w:rsid w:val="0071166B"/>
    <w:rsid w:val="00712DA5"/>
    <w:rsid w:val="00716772"/>
    <w:rsid w:val="00722FF8"/>
    <w:rsid w:val="007267E7"/>
    <w:rsid w:val="00764CE7"/>
    <w:rsid w:val="00777FE9"/>
    <w:rsid w:val="00786A1E"/>
    <w:rsid w:val="00787F30"/>
    <w:rsid w:val="007B1F1B"/>
    <w:rsid w:val="007B2C00"/>
    <w:rsid w:val="007E052A"/>
    <w:rsid w:val="007E599F"/>
    <w:rsid w:val="007E5F5F"/>
    <w:rsid w:val="007F0B0A"/>
    <w:rsid w:val="00801D1B"/>
    <w:rsid w:val="0082084F"/>
    <w:rsid w:val="00822EB9"/>
    <w:rsid w:val="00844876"/>
    <w:rsid w:val="0084732E"/>
    <w:rsid w:val="00847442"/>
    <w:rsid w:val="00881FDC"/>
    <w:rsid w:val="008930C4"/>
    <w:rsid w:val="008A7033"/>
    <w:rsid w:val="008F005F"/>
    <w:rsid w:val="008F014D"/>
    <w:rsid w:val="00914230"/>
    <w:rsid w:val="0093058A"/>
    <w:rsid w:val="00934A5B"/>
    <w:rsid w:val="00935B57"/>
    <w:rsid w:val="00954E13"/>
    <w:rsid w:val="00963EE6"/>
    <w:rsid w:val="009649B1"/>
    <w:rsid w:val="009A7BBA"/>
    <w:rsid w:val="009B3571"/>
    <w:rsid w:val="009B3612"/>
    <w:rsid w:val="009C4447"/>
    <w:rsid w:val="009E1C1C"/>
    <w:rsid w:val="009E576A"/>
    <w:rsid w:val="00A05194"/>
    <w:rsid w:val="00A14714"/>
    <w:rsid w:val="00A322D2"/>
    <w:rsid w:val="00A553E5"/>
    <w:rsid w:val="00A72038"/>
    <w:rsid w:val="00A76170"/>
    <w:rsid w:val="00A82BF9"/>
    <w:rsid w:val="00A87E8F"/>
    <w:rsid w:val="00AA522A"/>
    <w:rsid w:val="00AC108D"/>
    <w:rsid w:val="00AD3392"/>
    <w:rsid w:val="00AE759B"/>
    <w:rsid w:val="00B61214"/>
    <w:rsid w:val="00BA18DA"/>
    <w:rsid w:val="00BA1CCC"/>
    <w:rsid w:val="00BA4C41"/>
    <w:rsid w:val="00BA6C01"/>
    <w:rsid w:val="00BD63AC"/>
    <w:rsid w:val="00C053E9"/>
    <w:rsid w:val="00C1044A"/>
    <w:rsid w:val="00C12C9E"/>
    <w:rsid w:val="00C16FDE"/>
    <w:rsid w:val="00C378BD"/>
    <w:rsid w:val="00C559A6"/>
    <w:rsid w:val="00C60292"/>
    <w:rsid w:val="00C60E4D"/>
    <w:rsid w:val="00C63DEB"/>
    <w:rsid w:val="00C77BF9"/>
    <w:rsid w:val="00CA172A"/>
    <w:rsid w:val="00CA488A"/>
    <w:rsid w:val="00CB5D5C"/>
    <w:rsid w:val="00CD2837"/>
    <w:rsid w:val="00CD7BF8"/>
    <w:rsid w:val="00CE35E6"/>
    <w:rsid w:val="00CF13FD"/>
    <w:rsid w:val="00D015ED"/>
    <w:rsid w:val="00D152EC"/>
    <w:rsid w:val="00D27E24"/>
    <w:rsid w:val="00D32BA4"/>
    <w:rsid w:val="00D4525A"/>
    <w:rsid w:val="00D45BCF"/>
    <w:rsid w:val="00D527B8"/>
    <w:rsid w:val="00D71EE0"/>
    <w:rsid w:val="00D86894"/>
    <w:rsid w:val="00DA19C5"/>
    <w:rsid w:val="00DA5F1D"/>
    <w:rsid w:val="00DD1829"/>
    <w:rsid w:val="00DD2772"/>
    <w:rsid w:val="00DD360F"/>
    <w:rsid w:val="00DD42B6"/>
    <w:rsid w:val="00DE222D"/>
    <w:rsid w:val="00DE5D30"/>
    <w:rsid w:val="00DF73DD"/>
    <w:rsid w:val="00DF772A"/>
    <w:rsid w:val="00E158B5"/>
    <w:rsid w:val="00E46952"/>
    <w:rsid w:val="00E66A86"/>
    <w:rsid w:val="00E728AD"/>
    <w:rsid w:val="00E76D4F"/>
    <w:rsid w:val="00E822C3"/>
    <w:rsid w:val="00E8661F"/>
    <w:rsid w:val="00EC14A3"/>
    <w:rsid w:val="00EC4634"/>
    <w:rsid w:val="00EC46B3"/>
    <w:rsid w:val="00EC76CA"/>
    <w:rsid w:val="00ED2895"/>
    <w:rsid w:val="00EE53A9"/>
    <w:rsid w:val="00EF5AB4"/>
    <w:rsid w:val="00F02EEE"/>
    <w:rsid w:val="00F07A01"/>
    <w:rsid w:val="00F21838"/>
    <w:rsid w:val="00F23480"/>
    <w:rsid w:val="00F33D22"/>
    <w:rsid w:val="00F354B9"/>
    <w:rsid w:val="00F52092"/>
    <w:rsid w:val="00F57110"/>
    <w:rsid w:val="00F65263"/>
    <w:rsid w:val="00F95411"/>
    <w:rsid w:val="00FA7F22"/>
    <w:rsid w:val="00FB00C1"/>
    <w:rsid w:val="00FC3DCF"/>
    <w:rsid w:val="00FD2DA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BBFF4A2"/>
  <w14:defaultImageDpi w14:val="300"/>
  <w15:docId w15:val="{B328DE97-E402-43D7-BD55-7336D3C2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CD"/>
    <w:rPr>
      <w:rFonts w:ascii="Arial" w:eastAsia="Times New Roman" w:hAnsi="Arial" w:cs="Times New Roman"/>
      <w:lang w:eastAsia="en-CA"/>
    </w:rPr>
  </w:style>
  <w:style w:type="paragraph" w:styleId="Heading1">
    <w:name w:val="heading 1"/>
    <w:basedOn w:val="Normal"/>
    <w:next w:val="Normal"/>
    <w:link w:val="Heading1Char"/>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Heading2">
    <w:name w:val="heading 2"/>
    <w:basedOn w:val="Normal"/>
    <w:next w:val="Normal"/>
    <w:link w:val="Heading2Char"/>
    <w:uiPriority w:val="9"/>
    <w:unhideWhenUsed/>
    <w:qFormat/>
    <w:rsid w:val="00963EE6"/>
    <w:pPr>
      <w:keepNext/>
      <w:keepLines/>
      <w:spacing w:before="20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3F63CD"/>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F63CD"/>
    <w:pPr>
      <w:keepNext/>
      <w:keepLines/>
      <w:spacing w:before="200"/>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uiPriority w:val="9"/>
    <w:semiHidden/>
    <w:unhideWhenUsed/>
    <w:qFormat/>
    <w:rsid w:val="003F63CD"/>
    <w:pPr>
      <w:keepNext/>
      <w:keepLines/>
      <w:spacing w:before="200"/>
      <w:outlineLvl w:val="4"/>
    </w:pPr>
    <w:rPr>
      <w:rFonts w:asciiTheme="majorHAnsi" w:eastAsiaTheme="majorEastAsia" w:hAnsiTheme="majorHAnsi" w:cstheme="majorBidi"/>
      <w:color w:val="640018" w:themeColor="accent1" w:themeShade="7F"/>
    </w:rPr>
  </w:style>
  <w:style w:type="paragraph" w:styleId="Heading6">
    <w:name w:val="heading 6"/>
    <w:basedOn w:val="Normal"/>
    <w:next w:val="Normal"/>
    <w:link w:val="Heading6Char"/>
    <w:qFormat/>
    <w:rsid w:val="003F63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63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63C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3F63C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nhideWhenUsed/>
    <w:rsid w:val="005A2022"/>
  </w:style>
  <w:style w:type="character" w:customStyle="1" w:styleId="Heading2Char">
    <w:name w:val="Heading 2 Char"/>
    <w:basedOn w:val="DefaultParagraphFont"/>
    <w:link w:val="Heading2"/>
    <w:uiPriority w:val="9"/>
    <w:rsid w:val="00963EE6"/>
    <w:rPr>
      <w:rFonts w:asciiTheme="majorHAnsi" w:eastAsiaTheme="majorEastAsia" w:hAnsiTheme="majorHAnsi" w:cstheme="majorBidi"/>
      <w:b/>
      <w:bCs/>
      <w:color w:val="000000" w:themeColor="text1"/>
      <w:sz w:val="28"/>
      <w:szCs w:val="26"/>
      <w:lang w:eastAsia="en-CA"/>
    </w:rPr>
  </w:style>
  <w:style w:type="character" w:customStyle="1" w:styleId="Heading3Char">
    <w:name w:val="Heading 3 Char"/>
    <w:basedOn w:val="DefaultParagraphFont"/>
    <w:link w:val="Heading3"/>
    <w:uiPriority w:val="9"/>
    <w:rsid w:val="003F63CD"/>
    <w:rPr>
      <w:rFonts w:asciiTheme="majorHAnsi" w:eastAsiaTheme="majorEastAsia" w:hAnsiTheme="majorHAnsi" w:cstheme="majorBidi"/>
      <w:b/>
      <w:bCs/>
      <w:lang w:eastAsia="en-CA"/>
    </w:rPr>
  </w:style>
  <w:style w:type="character" w:customStyle="1" w:styleId="Heading4Char">
    <w:name w:val="Heading 4 Char"/>
    <w:basedOn w:val="DefaultParagraphFont"/>
    <w:link w:val="Heading4"/>
    <w:uiPriority w:val="9"/>
    <w:rsid w:val="003F63CD"/>
    <w:rPr>
      <w:rFonts w:asciiTheme="majorHAnsi" w:eastAsiaTheme="majorEastAsia" w:hAnsiTheme="majorHAnsi" w:cstheme="majorBidi"/>
      <w:b/>
      <w:bCs/>
      <w:iCs/>
      <w:color w:val="000000" w:themeColor="text1"/>
      <w:sz w:val="22"/>
      <w:lang w:eastAsia="en-CA"/>
    </w:rPr>
  </w:style>
  <w:style w:type="character" w:customStyle="1" w:styleId="Heading5Char">
    <w:name w:val="Heading 5 Char"/>
    <w:basedOn w:val="DefaultParagraphFont"/>
    <w:link w:val="Heading5"/>
    <w:uiPriority w:val="9"/>
    <w:semiHidden/>
    <w:rsid w:val="003F63CD"/>
    <w:rPr>
      <w:rFonts w:asciiTheme="majorHAnsi" w:eastAsiaTheme="majorEastAsia" w:hAnsiTheme="majorHAnsi" w:cstheme="majorBidi"/>
      <w:color w:val="640018" w:themeColor="accent1" w:themeShade="7F"/>
      <w:lang w:eastAsia="en-CA"/>
    </w:rPr>
  </w:style>
  <w:style w:type="character" w:customStyle="1" w:styleId="Heading6Char">
    <w:name w:val="Heading 6 Char"/>
    <w:basedOn w:val="DefaultParagraphFont"/>
    <w:link w:val="Heading6"/>
    <w:rsid w:val="003F63CD"/>
    <w:rPr>
      <w:rFonts w:ascii="Arial" w:eastAsia="Times New Roman" w:hAnsi="Arial" w:cs="Times New Roman"/>
      <w:b/>
      <w:bCs/>
      <w:sz w:val="22"/>
      <w:szCs w:val="22"/>
      <w:lang w:eastAsia="en-CA"/>
    </w:rPr>
  </w:style>
  <w:style w:type="character" w:customStyle="1" w:styleId="Heading7Char">
    <w:name w:val="Heading 7 Char"/>
    <w:basedOn w:val="DefaultParagraphFont"/>
    <w:link w:val="Heading7"/>
    <w:uiPriority w:val="9"/>
    <w:semiHidden/>
    <w:rsid w:val="003F63CD"/>
    <w:rPr>
      <w:rFonts w:asciiTheme="majorHAnsi" w:eastAsiaTheme="majorEastAsia" w:hAnsiTheme="majorHAnsi" w:cstheme="majorBidi"/>
      <w:i/>
      <w:iCs/>
      <w:color w:val="404040" w:themeColor="text1" w:themeTint="BF"/>
      <w:lang w:eastAsia="en-CA"/>
    </w:rPr>
  </w:style>
  <w:style w:type="character" w:customStyle="1" w:styleId="Heading8Char">
    <w:name w:val="Heading 8 Char"/>
    <w:basedOn w:val="DefaultParagraphFont"/>
    <w:link w:val="Heading8"/>
    <w:uiPriority w:val="9"/>
    <w:semiHidden/>
    <w:rsid w:val="003F63CD"/>
    <w:rPr>
      <w:rFonts w:asciiTheme="majorHAnsi" w:eastAsiaTheme="majorEastAsia" w:hAnsiTheme="majorHAnsi" w:cstheme="majorBidi"/>
      <w:color w:val="404040" w:themeColor="text1" w:themeTint="BF"/>
      <w:sz w:val="20"/>
      <w:szCs w:val="20"/>
      <w:lang w:eastAsia="en-CA"/>
    </w:rPr>
  </w:style>
  <w:style w:type="character" w:customStyle="1" w:styleId="Heading9Char">
    <w:name w:val="Heading 9 Char"/>
    <w:basedOn w:val="DefaultParagraphFont"/>
    <w:link w:val="Heading9"/>
    <w:uiPriority w:val="9"/>
    <w:rsid w:val="003F63CD"/>
    <w:rPr>
      <w:rFonts w:ascii="Arial" w:eastAsia="Times New Roman" w:hAnsi="Arial" w:cs="Arial"/>
      <w:sz w:val="22"/>
      <w:szCs w:val="22"/>
      <w:lang w:eastAsia="en-CA"/>
    </w:rPr>
  </w:style>
  <w:style w:type="character" w:styleId="Hyperlink">
    <w:name w:val="Hyperlink"/>
    <w:uiPriority w:val="99"/>
    <w:rsid w:val="003F63CD"/>
    <w:rPr>
      <w:color w:val="0000A7"/>
      <w:u w:val="single"/>
    </w:rPr>
  </w:style>
  <w:style w:type="paragraph" w:styleId="TOC1">
    <w:name w:val="toc 1"/>
    <w:basedOn w:val="Normal"/>
    <w:next w:val="Normal"/>
    <w:autoRedefine/>
    <w:uiPriority w:val="39"/>
    <w:rsid w:val="003F63CD"/>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687D68"/>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rsid w:val="003F63CD"/>
    <w:pPr>
      <w:ind w:left="480"/>
    </w:pPr>
    <w:rPr>
      <w:rFonts w:asciiTheme="minorHAnsi" w:hAnsiTheme="minorHAnsi" w:cstheme="minorHAnsi"/>
      <w:sz w:val="20"/>
      <w:szCs w:val="20"/>
    </w:rPr>
  </w:style>
  <w:style w:type="paragraph" w:styleId="TOC4">
    <w:name w:val="toc 4"/>
    <w:basedOn w:val="Normal"/>
    <w:next w:val="Normal"/>
    <w:autoRedefine/>
    <w:uiPriority w:val="39"/>
    <w:rsid w:val="003F63CD"/>
    <w:pPr>
      <w:ind w:left="720"/>
    </w:pPr>
    <w:rPr>
      <w:rFonts w:asciiTheme="minorHAnsi" w:hAnsiTheme="minorHAnsi" w:cstheme="minorHAnsi"/>
      <w:sz w:val="20"/>
      <w:szCs w:val="20"/>
    </w:rPr>
  </w:style>
  <w:style w:type="paragraph" w:styleId="ListParagraph">
    <w:name w:val="List Paragraph"/>
    <w:basedOn w:val="Normal"/>
    <w:uiPriority w:val="34"/>
    <w:qFormat/>
    <w:rsid w:val="003F63CD"/>
    <w:pPr>
      <w:ind w:left="720"/>
    </w:pPr>
    <w:rPr>
      <w:rFonts w:ascii="Times New Roman" w:hAnsi="Times New Roman"/>
    </w:rPr>
  </w:style>
  <w:style w:type="paragraph" w:customStyle="1" w:styleId="BodyText">
    <w:name w:val="BodyText"/>
    <w:link w:val="BodyTextChar"/>
    <w:qFormat/>
    <w:rsid w:val="003F63CD"/>
    <w:pPr>
      <w:keepLines/>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overflowPunct w:val="0"/>
      <w:autoSpaceDE w:val="0"/>
      <w:autoSpaceDN w:val="0"/>
      <w:adjustRightInd w:val="0"/>
      <w:spacing w:before="120" w:after="120"/>
      <w:ind w:left="360"/>
      <w:textAlignment w:val="baseline"/>
    </w:pPr>
    <w:rPr>
      <w:rFonts w:ascii="Times New Roman" w:eastAsia="Times New Roman" w:hAnsi="Times New Roman" w:cs="Times New Roman"/>
      <w:kern w:val="28"/>
      <w:sz w:val="22"/>
      <w:szCs w:val="20"/>
    </w:rPr>
  </w:style>
  <w:style w:type="character" w:customStyle="1" w:styleId="BodyTextChar">
    <w:name w:val="BodyText Char"/>
    <w:link w:val="BodyText"/>
    <w:rsid w:val="003F63CD"/>
    <w:rPr>
      <w:rFonts w:ascii="Times New Roman" w:eastAsia="Times New Roman" w:hAnsi="Times New Roman" w:cs="Times New Roman"/>
      <w:kern w:val="28"/>
      <w:sz w:val="22"/>
      <w:szCs w:val="20"/>
    </w:rPr>
  </w:style>
  <w:style w:type="table" w:styleId="TableGrid">
    <w:name w:val="Table Grid"/>
    <w:basedOn w:val="TableNormal"/>
    <w:uiPriority w:val="59"/>
    <w:rsid w:val="003F63CD"/>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Left:  1.32 cm"/>
    <w:basedOn w:val="Normal"/>
    <w:rsid w:val="003F63CD"/>
    <w:pPr>
      <w:ind w:left="748"/>
    </w:pPr>
    <w:rPr>
      <w:rFonts w:ascii="Times New Roman" w:hAnsi="Times New Roman"/>
    </w:rPr>
  </w:style>
  <w:style w:type="character" w:styleId="Strong">
    <w:name w:val="Strong"/>
    <w:uiPriority w:val="22"/>
    <w:qFormat/>
    <w:rsid w:val="003F63CD"/>
    <w:rPr>
      <w:rFonts w:ascii="Arial" w:hAnsi="Arial" w:cs="Arial" w:hint="default"/>
      <w:b/>
      <w:bCs/>
      <w:sz w:val="20"/>
      <w:szCs w:val="20"/>
    </w:rPr>
  </w:style>
  <w:style w:type="paragraph" w:styleId="NormalWeb">
    <w:name w:val="Normal (Web)"/>
    <w:basedOn w:val="Normal"/>
    <w:uiPriority w:val="99"/>
    <w:rsid w:val="003F63CD"/>
    <w:pPr>
      <w:spacing w:before="100" w:beforeAutospacing="1" w:after="100" w:afterAutospacing="1"/>
    </w:pPr>
    <w:rPr>
      <w:rFonts w:cs="Arial"/>
      <w:color w:val="000000"/>
      <w:sz w:val="20"/>
      <w:szCs w:val="20"/>
    </w:rPr>
  </w:style>
  <w:style w:type="character" w:styleId="Emphasis">
    <w:name w:val="Emphasis"/>
    <w:qFormat/>
    <w:rsid w:val="003F63CD"/>
    <w:rPr>
      <w:i/>
      <w:iCs/>
    </w:rPr>
  </w:style>
  <w:style w:type="paragraph" w:styleId="BodyText0">
    <w:name w:val="Body Text"/>
    <w:basedOn w:val="Normal"/>
    <w:link w:val="BodyTextChar0"/>
    <w:rsid w:val="003F63CD"/>
    <w:pPr>
      <w:widowControl w:val="0"/>
      <w:tabs>
        <w:tab w:val="left" w:pos="-1080"/>
        <w:tab w:val="left" w:pos="-720"/>
        <w:tab w:val="left" w:pos="0"/>
      </w:tabs>
      <w:autoSpaceDE w:val="0"/>
      <w:autoSpaceDN w:val="0"/>
      <w:adjustRightInd w:val="0"/>
    </w:pPr>
    <w:rPr>
      <w:rFonts w:cs="Arial"/>
      <w:color w:val="000000"/>
      <w:lang w:val="en-GB"/>
    </w:rPr>
  </w:style>
  <w:style w:type="character" w:customStyle="1" w:styleId="BodyTextChar0">
    <w:name w:val="Body Text Char"/>
    <w:basedOn w:val="DefaultParagraphFont"/>
    <w:link w:val="BodyText0"/>
    <w:rsid w:val="003F63CD"/>
    <w:rPr>
      <w:rFonts w:ascii="Arial" w:eastAsia="Times New Roman" w:hAnsi="Arial" w:cs="Arial"/>
      <w:color w:val="000000"/>
      <w:lang w:val="en-GB" w:eastAsia="en-CA"/>
    </w:rPr>
  </w:style>
  <w:style w:type="character" w:styleId="FollowedHyperlink">
    <w:name w:val="FollowedHyperlink"/>
    <w:uiPriority w:val="99"/>
    <w:rsid w:val="003F63CD"/>
    <w:rPr>
      <w:color w:val="800080"/>
      <w:u w:val="single"/>
    </w:rPr>
  </w:style>
  <w:style w:type="character" w:customStyle="1" w:styleId="Hyperlink13">
    <w:name w:val="Hyperlink13"/>
    <w:rsid w:val="003F63CD"/>
    <w:rPr>
      <w:color w:val="003399"/>
      <w:u w:val="single"/>
    </w:rPr>
  </w:style>
  <w:style w:type="character" w:customStyle="1" w:styleId="CommentTextChar">
    <w:name w:val="Comment Text Char"/>
    <w:basedOn w:val="DefaultParagraphFont"/>
    <w:link w:val="CommentText"/>
    <w:semiHidden/>
    <w:rsid w:val="003F63CD"/>
    <w:rPr>
      <w:rFonts w:ascii="Times New Roman" w:eastAsia="Times New Roman" w:hAnsi="Times New Roman" w:cs="Times New Roman"/>
      <w:sz w:val="20"/>
      <w:szCs w:val="20"/>
      <w:lang w:eastAsia="en-CA"/>
    </w:rPr>
  </w:style>
  <w:style w:type="paragraph" w:styleId="CommentText">
    <w:name w:val="annotation text"/>
    <w:basedOn w:val="Normal"/>
    <w:link w:val="CommentTextChar"/>
    <w:semiHidden/>
    <w:rsid w:val="003F63CD"/>
    <w:rPr>
      <w:rFonts w:ascii="Times New Roman" w:hAnsi="Times New Roman"/>
      <w:sz w:val="20"/>
      <w:szCs w:val="20"/>
    </w:rPr>
  </w:style>
  <w:style w:type="character" w:customStyle="1" w:styleId="CommentTextChar1">
    <w:name w:val="Comment Text Char1"/>
    <w:basedOn w:val="DefaultParagraphFont"/>
    <w:uiPriority w:val="99"/>
    <w:semiHidden/>
    <w:rsid w:val="003F63CD"/>
    <w:rPr>
      <w:rFonts w:ascii="Arial" w:eastAsia="Times New Roman" w:hAnsi="Arial" w:cs="Times New Roman"/>
      <w:sz w:val="20"/>
      <w:szCs w:val="20"/>
      <w:lang w:eastAsia="en-CA"/>
    </w:rPr>
  </w:style>
  <w:style w:type="character" w:customStyle="1" w:styleId="CommentSubjectChar">
    <w:name w:val="Comment Subject Char"/>
    <w:basedOn w:val="CommentTextChar"/>
    <w:link w:val="CommentSubject"/>
    <w:uiPriority w:val="99"/>
    <w:semiHidden/>
    <w:rsid w:val="003F63CD"/>
    <w:rPr>
      <w:rFonts w:ascii="Times New Roman" w:eastAsia="Times New Roman" w:hAnsi="Times New Roman" w:cs="Times New Roman"/>
      <w:b/>
      <w:bCs/>
      <w:sz w:val="20"/>
      <w:szCs w:val="20"/>
      <w:lang w:eastAsia="en-CA"/>
    </w:rPr>
  </w:style>
  <w:style w:type="paragraph" w:styleId="CommentSubject">
    <w:name w:val="annotation subject"/>
    <w:basedOn w:val="CommentText"/>
    <w:next w:val="CommentText"/>
    <w:link w:val="CommentSubjectChar"/>
    <w:uiPriority w:val="99"/>
    <w:semiHidden/>
    <w:rsid w:val="003F63CD"/>
    <w:rPr>
      <w:b/>
      <w:bCs/>
    </w:rPr>
  </w:style>
  <w:style w:type="character" w:customStyle="1" w:styleId="CommentSubjectChar1">
    <w:name w:val="Comment Subject Char1"/>
    <w:basedOn w:val="CommentTextChar1"/>
    <w:uiPriority w:val="99"/>
    <w:semiHidden/>
    <w:rsid w:val="003F63CD"/>
    <w:rPr>
      <w:rFonts w:ascii="Arial" w:eastAsia="Times New Roman" w:hAnsi="Arial" w:cs="Times New Roman"/>
      <w:b/>
      <w:bCs/>
      <w:sz w:val="20"/>
      <w:szCs w:val="20"/>
      <w:lang w:eastAsia="en-CA"/>
    </w:rPr>
  </w:style>
  <w:style w:type="paragraph" w:styleId="FootnoteText">
    <w:name w:val="footnote text"/>
    <w:basedOn w:val="Normal"/>
    <w:link w:val="FootnoteTextChar"/>
    <w:semiHidden/>
    <w:rsid w:val="003F63CD"/>
    <w:rPr>
      <w:rFonts w:ascii="Times New Roman" w:hAnsi="Times New Roman"/>
      <w:sz w:val="20"/>
      <w:szCs w:val="20"/>
    </w:rPr>
  </w:style>
  <w:style w:type="character" w:customStyle="1" w:styleId="FootnoteTextChar">
    <w:name w:val="Footnote Text Char"/>
    <w:basedOn w:val="DefaultParagraphFont"/>
    <w:link w:val="FootnoteText"/>
    <w:semiHidden/>
    <w:rsid w:val="003F63CD"/>
    <w:rPr>
      <w:rFonts w:ascii="Times New Roman" w:eastAsia="Times New Roman" w:hAnsi="Times New Roman" w:cs="Times New Roman"/>
      <w:sz w:val="20"/>
      <w:szCs w:val="20"/>
      <w:lang w:eastAsia="en-CA"/>
    </w:rPr>
  </w:style>
  <w:style w:type="character" w:styleId="FootnoteReference">
    <w:name w:val="footnote reference"/>
    <w:semiHidden/>
    <w:rsid w:val="003F63CD"/>
    <w:rPr>
      <w:vertAlign w:val="superscript"/>
    </w:rPr>
  </w:style>
  <w:style w:type="paragraph" w:customStyle="1" w:styleId="CharChar1Char">
    <w:name w:val="Char Char1 Char"/>
    <w:basedOn w:val="Normal"/>
    <w:rsid w:val="003F63CD"/>
    <w:pPr>
      <w:spacing w:after="160" w:line="240" w:lineRule="exact"/>
    </w:pPr>
    <w:rPr>
      <w:rFonts w:ascii="Verdana" w:hAnsi="Verdana"/>
      <w:sz w:val="20"/>
      <w:szCs w:val="20"/>
    </w:rPr>
  </w:style>
  <w:style w:type="character" w:customStyle="1" w:styleId="Hyperlink15">
    <w:name w:val="Hyperlink15"/>
    <w:rsid w:val="003F63CD"/>
    <w:rPr>
      <w:color w:val="444444"/>
      <w:u w:val="single"/>
    </w:rPr>
  </w:style>
  <w:style w:type="character" w:customStyle="1" w:styleId="DocumentMapChar">
    <w:name w:val="Document Map Char"/>
    <w:basedOn w:val="DefaultParagraphFont"/>
    <w:link w:val="DocumentMap"/>
    <w:semiHidden/>
    <w:rsid w:val="003F63CD"/>
    <w:rPr>
      <w:rFonts w:ascii="Tahoma" w:eastAsia="Times New Roman" w:hAnsi="Tahoma" w:cs="Tahoma"/>
      <w:shd w:val="clear" w:color="auto" w:fill="000080"/>
      <w:lang w:eastAsia="en-CA"/>
    </w:rPr>
  </w:style>
  <w:style w:type="paragraph" w:styleId="DocumentMap">
    <w:name w:val="Document Map"/>
    <w:basedOn w:val="Normal"/>
    <w:link w:val="DocumentMapChar"/>
    <w:semiHidden/>
    <w:rsid w:val="003F63CD"/>
    <w:pPr>
      <w:shd w:val="clear" w:color="auto" w:fill="000080"/>
    </w:pPr>
    <w:rPr>
      <w:rFonts w:ascii="Tahoma" w:hAnsi="Tahoma" w:cs="Tahoma"/>
    </w:rPr>
  </w:style>
  <w:style w:type="character" w:customStyle="1" w:styleId="DocumentMapChar1">
    <w:name w:val="Document Map Char1"/>
    <w:basedOn w:val="DefaultParagraphFont"/>
    <w:uiPriority w:val="99"/>
    <w:semiHidden/>
    <w:rsid w:val="003F63CD"/>
    <w:rPr>
      <w:rFonts w:ascii="Segoe UI" w:eastAsia="Times New Roman" w:hAnsi="Segoe UI" w:cs="Segoe UI"/>
      <w:sz w:val="16"/>
      <w:szCs w:val="16"/>
      <w:lang w:eastAsia="en-CA"/>
    </w:rPr>
  </w:style>
  <w:style w:type="character" w:styleId="CommentReference">
    <w:name w:val="annotation reference"/>
    <w:basedOn w:val="DefaultParagraphFont"/>
    <w:semiHidden/>
    <w:unhideWhenUsed/>
    <w:rsid w:val="003F63CD"/>
    <w:rPr>
      <w:sz w:val="16"/>
      <w:szCs w:val="16"/>
    </w:rPr>
  </w:style>
  <w:style w:type="paragraph" w:customStyle="1" w:styleId="CharChar">
    <w:name w:val="Char Char"/>
    <w:basedOn w:val="Normal"/>
    <w:rsid w:val="003F63CD"/>
    <w:pPr>
      <w:spacing w:after="160" w:line="240" w:lineRule="exact"/>
    </w:pPr>
    <w:rPr>
      <w:rFonts w:ascii="Verdana" w:hAnsi="Verdana"/>
      <w:sz w:val="20"/>
      <w:szCs w:val="20"/>
      <w:lang w:eastAsia="en-US"/>
    </w:rPr>
  </w:style>
  <w:style w:type="paragraph" w:styleId="BodyTextIndent3">
    <w:name w:val="Body Text Indent 3"/>
    <w:basedOn w:val="Normal"/>
    <w:link w:val="BodyTextIndent3Char"/>
    <w:uiPriority w:val="99"/>
    <w:semiHidden/>
    <w:unhideWhenUsed/>
    <w:rsid w:val="003F63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F63CD"/>
    <w:rPr>
      <w:rFonts w:ascii="Arial" w:eastAsia="Times New Roman" w:hAnsi="Arial" w:cs="Times New Roman"/>
      <w:sz w:val="16"/>
      <w:szCs w:val="16"/>
      <w:lang w:eastAsia="en-CA"/>
    </w:rPr>
  </w:style>
  <w:style w:type="paragraph" w:styleId="NoSpacing">
    <w:name w:val="No Spacing"/>
    <w:uiPriority w:val="1"/>
    <w:qFormat/>
    <w:rsid w:val="003F63CD"/>
    <w:rPr>
      <w:rFonts w:eastAsiaTheme="minorHAnsi"/>
      <w:sz w:val="22"/>
      <w:szCs w:val="22"/>
    </w:rPr>
  </w:style>
  <w:style w:type="paragraph" w:styleId="TOCHeading">
    <w:name w:val="TOC Heading"/>
    <w:basedOn w:val="Heading1"/>
    <w:next w:val="Normal"/>
    <w:uiPriority w:val="39"/>
    <w:unhideWhenUsed/>
    <w:qFormat/>
    <w:rsid w:val="003F63CD"/>
    <w:pPr>
      <w:spacing w:line="276" w:lineRule="auto"/>
      <w:outlineLvl w:val="9"/>
    </w:pPr>
    <w:rPr>
      <w:color w:val="960024" w:themeColor="accent1" w:themeShade="BF"/>
      <w:sz w:val="28"/>
      <w:szCs w:val="28"/>
      <w:lang w:eastAsia="ja-JP"/>
    </w:rPr>
  </w:style>
  <w:style w:type="paragraph" w:styleId="Revision">
    <w:name w:val="Revision"/>
    <w:hidden/>
    <w:uiPriority w:val="99"/>
    <w:semiHidden/>
    <w:rsid w:val="003F63CD"/>
    <w:rPr>
      <w:rFonts w:ascii="Arial" w:eastAsia="Times New Roman" w:hAnsi="Arial" w:cs="Times New Roman"/>
      <w:lang w:eastAsia="en-CA"/>
    </w:rPr>
  </w:style>
  <w:style w:type="table" w:customStyle="1" w:styleId="TableGrid1">
    <w:name w:val="Table Grid1"/>
    <w:basedOn w:val="TableNormal"/>
    <w:next w:val="TableGrid"/>
    <w:uiPriority w:val="59"/>
    <w:rsid w:val="003F63C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F63CD"/>
  </w:style>
  <w:style w:type="character" w:customStyle="1" w:styleId="atn">
    <w:name w:val="atn"/>
    <w:basedOn w:val="DefaultParagraphFont"/>
    <w:rsid w:val="003F63CD"/>
  </w:style>
  <w:style w:type="character" w:customStyle="1" w:styleId="shorttext">
    <w:name w:val="short_text"/>
    <w:basedOn w:val="DefaultParagraphFont"/>
    <w:rsid w:val="003F63CD"/>
  </w:style>
  <w:style w:type="table" w:customStyle="1" w:styleId="TableGrid2">
    <w:name w:val="Table Grid2"/>
    <w:basedOn w:val="TableNormal"/>
    <w:next w:val="TableGrid"/>
    <w:uiPriority w:val="59"/>
    <w:rsid w:val="003F63C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5E7BB2"/>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5E7BB2"/>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E7BB2"/>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E7BB2"/>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E7BB2"/>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6251">
      <w:bodyDiv w:val="1"/>
      <w:marLeft w:val="0"/>
      <w:marRight w:val="0"/>
      <w:marTop w:val="0"/>
      <w:marBottom w:val="0"/>
      <w:divBdr>
        <w:top w:val="none" w:sz="0" w:space="0" w:color="auto"/>
        <w:left w:val="none" w:sz="0" w:space="0" w:color="auto"/>
        <w:bottom w:val="none" w:sz="0" w:space="0" w:color="auto"/>
        <w:right w:val="none" w:sz="0" w:space="0" w:color="auto"/>
      </w:divBdr>
    </w:div>
    <w:div w:id="301037489">
      <w:bodyDiv w:val="1"/>
      <w:marLeft w:val="0"/>
      <w:marRight w:val="0"/>
      <w:marTop w:val="0"/>
      <w:marBottom w:val="0"/>
      <w:divBdr>
        <w:top w:val="none" w:sz="0" w:space="0" w:color="auto"/>
        <w:left w:val="none" w:sz="0" w:space="0" w:color="auto"/>
        <w:bottom w:val="none" w:sz="0" w:space="0" w:color="auto"/>
        <w:right w:val="none" w:sz="0" w:space="0" w:color="auto"/>
      </w:divBdr>
    </w:div>
    <w:div w:id="497575468">
      <w:bodyDiv w:val="1"/>
      <w:marLeft w:val="0"/>
      <w:marRight w:val="0"/>
      <w:marTop w:val="0"/>
      <w:marBottom w:val="0"/>
      <w:divBdr>
        <w:top w:val="none" w:sz="0" w:space="0" w:color="auto"/>
        <w:left w:val="none" w:sz="0" w:space="0" w:color="auto"/>
        <w:bottom w:val="none" w:sz="0" w:space="0" w:color="auto"/>
        <w:right w:val="none" w:sz="0" w:space="0" w:color="auto"/>
      </w:divBdr>
    </w:div>
    <w:div w:id="548227478">
      <w:bodyDiv w:val="1"/>
      <w:marLeft w:val="0"/>
      <w:marRight w:val="0"/>
      <w:marTop w:val="0"/>
      <w:marBottom w:val="0"/>
      <w:divBdr>
        <w:top w:val="none" w:sz="0" w:space="0" w:color="auto"/>
        <w:left w:val="none" w:sz="0" w:space="0" w:color="auto"/>
        <w:bottom w:val="none" w:sz="0" w:space="0" w:color="auto"/>
        <w:right w:val="none" w:sz="0" w:space="0" w:color="auto"/>
      </w:divBdr>
    </w:div>
    <w:div w:id="551582470">
      <w:bodyDiv w:val="1"/>
      <w:marLeft w:val="0"/>
      <w:marRight w:val="0"/>
      <w:marTop w:val="0"/>
      <w:marBottom w:val="0"/>
      <w:divBdr>
        <w:top w:val="none" w:sz="0" w:space="0" w:color="auto"/>
        <w:left w:val="none" w:sz="0" w:space="0" w:color="auto"/>
        <w:bottom w:val="none" w:sz="0" w:space="0" w:color="auto"/>
        <w:right w:val="none" w:sz="0" w:space="0" w:color="auto"/>
      </w:divBdr>
    </w:div>
    <w:div w:id="734359800">
      <w:bodyDiv w:val="1"/>
      <w:marLeft w:val="0"/>
      <w:marRight w:val="0"/>
      <w:marTop w:val="0"/>
      <w:marBottom w:val="0"/>
      <w:divBdr>
        <w:top w:val="none" w:sz="0" w:space="0" w:color="auto"/>
        <w:left w:val="none" w:sz="0" w:space="0" w:color="auto"/>
        <w:bottom w:val="none" w:sz="0" w:space="0" w:color="auto"/>
        <w:right w:val="none" w:sz="0" w:space="0" w:color="auto"/>
      </w:divBdr>
    </w:div>
    <w:div w:id="762066371">
      <w:bodyDiv w:val="1"/>
      <w:marLeft w:val="0"/>
      <w:marRight w:val="0"/>
      <w:marTop w:val="0"/>
      <w:marBottom w:val="0"/>
      <w:divBdr>
        <w:top w:val="none" w:sz="0" w:space="0" w:color="auto"/>
        <w:left w:val="none" w:sz="0" w:space="0" w:color="auto"/>
        <w:bottom w:val="none" w:sz="0" w:space="0" w:color="auto"/>
        <w:right w:val="none" w:sz="0" w:space="0" w:color="auto"/>
      </w:divBdr>
      <w:divsChild>
        <w:div w:id="897590784">
          <w:marLeft w:val="259"/>
          <w:marRight w:val="0"/>
          <w:marTop w:val="0"/>
          <w:marBottom w:val="0"/>
          <w:divBdr>
            <w:top w:val="none" w:sz="0" w:space="0" w:color="auto"/>
            <w:left w:val="none" w:sz="0" w:space="0" w:color="auto"/>
            <w:bottom w:val="none" w:sz="0" w:space="0" w:color="auto"/>
            <w:right w:val="none" w:sz="0" w:space="0" w:color="auto"/>
          </w:divBdr>
        </w:div>
        <w:div w:id="500780658">
          <w:marLeft w:val="259"/>
          <w:marRight w:val="0"/>
          <w:marTop w:val="0"/>
          <w:marBottom w:val="0"/>
          <w:divBdr>
            <w:top w:val="none" w:sz="0" w:space="0" w:color="auto"/>
            <w:left w:val="none" w:sz="0" w:space="0" w:color="auto"/>
            <w:bottom w:val="none" w:sz="0" w:space="0" w:color="auto"/>
            <w:right w:val="none" w:sz="0" w:space="0" w:color="auto"/>
          </w:divBdr>
        </w:div>
        <w:div w:id="390463623">
          <w:marLeft w:val="259"/>
          <w:marRight w:val="0"/>
          <w:marTop w:val="0"/>
          <w:marBottom w:val="0"/>
          <w:divBdr>
            <w:top w:val="none" w:sz="0" w:space="0" w:color="auto"/>
            <w:left w:val="none" w:sz="0" w:space="0" w:color="auto"/>
            <w:bottom w:val="none" w:sz="0" w:space="0" w:color="auto"/>
            <w:right w:val="none" w:sz="0" w:space="0" w:color="auto"/>
          </w:divBdr>
        </w:div>
      </w:divsChild>
    </w:div>
    <w:div w:id="988829378">
      <w:bodyDiv w:val="1"/>
      <w:marLeft w:val="0"/>
      <w:marRight w:val="0"/>
      <w:marTop w:val="0"/>
      <w:marBottom w:val="0"/>
      <w:divBdr>
        <w:top w:val="none" w:sz="0" w:space="0" w:color="auto"/>
        <w:left w:val="none" w:sz="0" w:space="0" w:color="auto"/>
        <w:bottom w:val="none" w:sz="0" w:space="0" w:color="auto"/>
        <w:right w:val="none" w:sz="0" w:space="0" w:color="auto"/>
      </w:divBdr>
      <w:divsChild>
        <w:div w:id="1842892286">
          <w:marLeft w:val="0"/>
          <w:marRight w:val="0"/>
          <w:marTop w:val="0"/>
          <w:marBottom w:val="0"/>
          <w:divBdr>
            <w:top w:val="none" w:sz="0" w:space="0" w:color="auto"/>
            <w:left w:val="none" w:sz="0" w:space="0" w:color="auto"/>
            <w:bottom w:val="none" w:sz="0" w:space="0" w:color="auto"/>
            <w:right w:val="none" w:sz="0" w:space="0" w:color="auto"/>
          </w:divBdr>
          <w:divsChild>
            <w:div w:id="409426316">
              <w:marLeft w:val="0"/>
              <w:marRight w:val="0"/>
              <w:marTop w:val="0"/>
              <w:marBottom w:val="0"/>
              <w:divBdr>
                <w:top w:val="none" w:sz="0" w:space="0" w:color="auto"/>
                <w:left w:val="none" w:sz="0" w:space="0" w:color="auto"/>
                <w:bottom w:val="none" w:sz="0" w:space="0" w:color="auto"/>
                <w:right w:val="none" w:sz="0" w:space="0" w:color="auto"/>
              </w:divBdr>
              <w:divsChild>
                <w:div w:id="759720811">
                  <w:marLeft w:val="0"/>
                  <w:marRight w:val="0"/>
                  <w:marTop w:val="0"/>
                  <w:marBottom w:val="0"/>
                  <w:divBdr>
                    <w:top w:val="none" w:sz="0" w:space="0" w:color="auto"/>
                    <w:left w:val="none" w:sz="0" w:space="0" w:color="auto"/>
                    <w:bottom w:val="none" w:sz="0" w:space="0" w:color="auto"/>
                    <w:right w:val="none" w:sz="0" w:space="0" w:color="auto"/>
                  </w:divBdr>
                  <w:divsChild>
                    <w:div w:id="1252857595">
                      <w:marLeft w:val="0"/>
                      <w:marRight w:val="0"/>
                      <w:marTop w:val="0"/>
                      <w:marBottom w:val="0"/>
                      <w:divBdr>
                        <w:top w:val="none" w:sz="0" w:space="0" w:color="auto"/>
                        <w:left w:val="none" w:sz="0" w:space="0" w:color="auto"/>
                        <w:bottom w:val="none" w:sz="0" w:space="0" w:color="auto"/>
                        <w:right w:val="none" w:sz="0" w:space="0" w:color="auto"/>
                      </w:divBdr>
                      <w:divsChild>
                        <w:div w:id="946618331">
                          <w:marLeft w:val="0"/>
                          <w:marRight w:val="0"/>
                          <w:marTop w:val="0"/>
                          <w:marBottom w:val="0"/>
                          <w:divBdr>
                            <w:top w:val="none" w:sz="0" w:space="0" w:color="auto"/>
                            <w:left w:val="none" w:sz="0" w:space="0" w:color="auto"/>
                            <w:bottom w:val="none" w:sz="0" w:space="0" w:color="auto"/>
                            <w:right w:val="none" w:sz="0" w:space="0" w:color="auto"/>
                          </w:divBdr>
                          <w:divsChild>
                            <w:div w:id="1831411185">
                              <w:marLeft w:val="0"/>
                              <w:marRight w:val="0"/>
                              <w:marTop w:val="0"/>
                              <w:marBottom w:val="0"/>
                              <w:divBdr>
                                <w:top w:val="none" w:sz="0" w:space="0" w:color="auto"/>
                                <w:left w:val="none" w:sz="0" w:space="0" w:color="auto"/>
                                <w:bottom w:val="none" w:sz="0" w:space="0" w:color="auto"/>
                                <w:right w:val="none" w:sz="0" w:space="0" w:color="auto"/>
                              </w:divBdr>
                              <w:divsChild>
                                <w:div w:id="1742368925">
                                  <w:marLeft w:val="0"/>
                                  <w:marRight w:val="0"/>
                                  <w:marTop w:val="0"/>
                                  <w:marBottom w:val="0"/>
                                  <w:divBdr>
                                    <w:top w:val="none" w:sz="0" w:space="0" w:color="auto"/>
                                    <w:left w:val="none" w:sz="0" w:space="0" w:color="auto"/>
                                    <w:bottom w:val="none" w:sz="0" w:space="0" w:color="auto"/>
                                    <w:right w:val="none" w:sz="0" w:space="0" w:color="auto"/>
                                  </w:divBdr>
                                  <w:divsChild>
                                    <w:div w:id="1111778267">
                                      <w:marLeft w:val="0"/>
                                      <w:marRight w:val="0"/>
                                      <w:marTop w:val="0"/>
                                      <w:marBottom w:val="0"/>
                                      <w:divBdr>
                                        <w:top w:val="none" w:sz="0" w:space="0" w:color="auto"/>
                                        <w:left w:val="none" w:sz="0" w:space="0" w:color="auto"/>
                                        <w:bottom w:val="none" w:sz="0" w:space="0" w:color="auto"/>
                                        <w:right w:val="none" w:sz="0" w:space="0" w:color="auto"/>
                                      </w:divBdr>
                                      <w:divsChild>
                                        <w:div w:id="873729700">
                                          <w:marLeft w:val="0"/>
                                          <w:marRight w:val="0"/>
                                          <w:marTop w:val="0"/>
                                          <w:marBottom w:val="495"/>
                                          <w:divBdr>
                                            <w:top w:val="none" w:sz="0" w:space="0" w:color="auto"/>
                                            <w:left w:val="none" w:sz="0" w:space="0" w:color="auto"/>
                                            <w:bottom w:val="none" w:sz="0" w:space="0" w:color="auto"/>
                                            <w:right w:val="none" w:sz="0" w:space="0" w:color="auto"/>
                                          </w:divBdr>
                                          <w:divsChild>
                                            <w:div w:id="9215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5291">
      <w:bodyDiv w:val="1"/>
      <w:marLeft w:val="0"/>
      <w:marRight w:val="0"/>
      <w:marTop w:val="0"/>
      <w:marBottom w:val="0"/>
      <w:divBdr>
        <w:top w:val="none" w:sz="0" w:space="0" w:color="auto"/>
        <w:left w:val="none" w:sz="0" w:space="0" w:color="auto"/>
        <w:bottom w:val="none" w:sz="0" w:space="0" w:color="auto"/>
        <w:right w:val="none" w:sz="0" w:space="0" w:color="auto"/>
      </w:divBdr>
      <w:divsChild>
        <w:div w:id="923302584">
          <w:marLeft w:val="274"/>
          <w:marRight w:val="0"/>
          <w:marTop w:val="0"/>
          <w:marBottom w:val="0"/>
          <w:divBdr>
            <w:top w:val="none" w:sz="0" w:space="0" w:color="auto"/>
            <w:left w:val="none" w:sz="0" w:space="0" w:color="auto"/>
            <w:bottom w:val="none" w:sz="0" w:space="0" w:color="auto"/>
            <w:right w:val="none" w:sz="0" w:space="0" w:color="auto"/>
          </w:divBdr>
        </w:div>
        <w:div w:id="1944265027">
          <w:marLeft w:val="274"/>
          <w:marRight w:val="0"/>
          <w:marTop w:val="0"/>
          <w:marBottom w:val="0"/>
          <w:divBdr>
            <w:top w:val="none" w:sz="0" w:space="0" w:color="auto"/>
            <w:left w:val="none" w:sz="0" w:space="0" w:color="auto"/>
            <w:bottom w:val="none" w:sz="0" w:space="0" w:color="auto"/>
            <w:right w:val="none" w:sz="0" w:space="0" w:color="auto"/>
          </w:divBdr>
        </w:div>
      </w:divsChild>
    </w:div>
    <w:div w:id="1331787218">
      <w:bodyDiv w:val="1"/>
      <w:marLeft w:val="0"/>
      <w:marRight w:val="0"/>
      <w:marTop w:val="0"/>
      <w:marBottom w:val="0"/>
      <w:divBdr>
        <w:top w:val="none" w:sz="0" w:space="0" w:color="auto"/>
        <w:left w:val="none" w:sz="0" w:space="0" w:color="auto"/>
        <w:bottom w:val="none" w:sz="0" w:space="0" w:color="auto"/>
        <w:right w:val="none" w:sz="0" w:space="0" w:color="auto"/>
      </w:divBdr>
    </w:div>
    <w:div w:id="1463496342">
      <w:bodyDiv w:val="1"/>
      <w:marLeft w:val="0"/>
      <w:marRight w:val="0"/>
      <w:marTop w:val="0"/>
      <w:marBottom w:val="0"/>
      <w:divBdr>
        <w:top w:val="none" w:sz="0" w:space="0" w:color="auto"/>
        <w:left w:val="none" w:sz="0" w:space="0" w:color="auto"/>
        <w:bottom w:val="none" w:sz="0" w:space="0" w:color="auto"/>
        <w:right w:val="none" w:sz="0" w:space="0" w:color="auto"/>
      </w:divBdr>
      <w:divsChild>
        <w:div w:id="314186768">
          <w:marLeft w:val="1166"/>
          <w:marRight w:val="0"/>
          <w:marTop w:val="58"/>
          <w:marBottom w:val="0"/>
          <w:divBdr>
            <w:top w:val="none" w:sz="0" w:space="0" w:color="auto"/>
            <w:left w:val="none" w:sz="0" w:space="0" w:color="auto"/>
            <w:bottom w:val="none" w:sz="0" w:space="0" w:color="auto"/>
            <w:right w:val="none" w:sz="0" w:space="0" w:color="auto"/>
          </w:divBdr>
        </w:div>
        <w:div w:id="2083984916">
          <w:marLeft w:val="1166"/>
          <w:marRight w:val="0"/>
          <w:marTop w:val="58"/>
          <w:marBottom w:val="0"/>
          <w:divBdr>
            <w:top w:val="none" w:sz="0" w:space="0" w:color="auto"/>
            <w:left w:val="none" w:sz="0" w:space="0" w:color="auto"/>
            <w:bottom w:val="none" w:sz="0" w:space="0" w:color="auto"/>
            <w:right w:val="none" w:sz="0" w:space="0" w:color="auto"/>
          </w:divBdr>
        </w:div>
        <w:div w:id="1917587011">
          <w:marLeft w:val="1166"/>
          <w:marRight w:val="0"/>
          <w:marTop w:val="58"/>
          <w:marBottom w:val="0"/>
          <w:divBdr>
            <w:top w:val="none" w:sz="0" w:space="0" w:color="auto"/>
            <w:left w:val="none" w:sz="0" w:space="0" w:color="auto"/>
            <w:bottom w:val="none" w:sz="0" w:space="0" w:color="auto"/>
            <w:right w:val="none" w:sz="0" w:space="0" w:color="auto"/>
          </w:divBdr>
        </w:div>
        <w:div w:id="1801267178">
          <w:marLeft w:val="1166"/>
          <w:marRight w:val="0"/>
          <w:marTop w:val="58"/>
          <w:marBottom w:val="0"/>
          <w:divBdr>
            <w:top w:val="none" w:sz="0" w:space="0" w:color="auto"/>
            <w:left w:val="none" w:sz="0" w:space="0" w:color="auto"/>
            <w:bottom w:val="none" w:sz="0" w:space="0" w:color="auto"/>
            <w:right w:val="none" w:sz="0" w:space="0" w:color="auto"/>
          </w:divBdr>
        </w:div>
        <w:div w:id="491219090">
          <w:marLeft w:val="1166"/>
          <w:marRight w:val="0"/>
          <w:marTop w:val="58"/>
          <w:marBottom w:val="0"/>
          <w:divBdr>
            <w:top w:val="none" w:sz="0" w:space="0" w:color="auto"/>
            <w:left w:val="none" w:sz="0" w:space="0" w:color="auto"/>
            <w:bottom w:val="none" w:sz="0" w:space="0" w:color="auto"/>
            <w:right w:val="none" w:sz="0" w:space="0" w:color="auto"/>
          </w:divBdr>
        </w:div>
      </w:divsChild>
    </w:div>
    <w:div w:id="1564900846">
      <w:bodyDiv w:val="1"/>
      <w:marLeft w:val="0"/>
      <w:marRight w:val="0"/>
      <w:marTop w:val="0"/>
      <w:marBottom w:val="0"/>
      <w:divBdr>
        <w:top w:val="none" w:sz="0" w:space="0" w:color="auto"/>
        <w:left w:val="none" w:sz="0" w:space="0" w:color="auto"/>
        <w:bottom w:val="none" w:sz="0" w:space="0" w:color="auto"/>
        <w:right w:val="none" w:sz="0" w:space="0" w:color="auto"/>
      </w:divBdr>
    </w:div>
    <w:div w:id="1813475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C-Forecasting-Mailbox-CRM_Bo&#238;tes-aux-lettres-Pr&#233;visions-GRM-GD" TargetMode="External"/><Relationship Id="rId18" Type="http://schemas.openxmlformats.org/officeDocument/2006/relationships/hyperlink" Target="http://nspkipws.service.gc.ca/gm/folder-1.11.263190?mode=EU&amp;originalContext=1.11.201012" TargetMode="External"/><Relationship Id="rId26" Type="http://schemas.openxmlformats.org/officeDocument/2006/relationships/hyperlink" Target="http://nspkipws.service.gc.ca/gm/folder-1.11.316746?mode=EU"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nspkipws.service.gc.ca/gm/folder-1.11.199238?mode=EU&amp;primaryCSH=ZZSF02" TargetMode="External"/><Relationship Id="rId34" Type="http://schemas.openxmlformats.org/officeDocument/2006/relationships/hyperlink" Target="https://iservice.prv/fra/giti/catalogue/sign-elec-numerique/digital/index.shtml" TargetMode="External"/><Relationship Id="rId42" Type="http://schemas.openxmlformats.org/officeDocument/2006/relationships/hyperlink" Target="https://masge-myems.service.gc.ca/irj/portal"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C-Forecasting-Mailbox-CRM_Bo&#238;tes-aux-lettres-Pr&#233;visions-GRM-GD" TargetMode="External"/><Relationship Id="rId17" Type="http://schemas.openxmlformats.org/officeDocument/2006/relationships/hyperlink" Target="http://nspkipws.service.gc.ca/gm/folder-1.11.199172?mode=EU&amp;originalContext=1.11.199336" TargetMode="External"/><Relationship Id="rId25" Type="http://schemas.openxmlformats.org/officeDocument/2006/relationships/hyperlink" Target="https://dialogue/grp/dfcu-ucfm/FCM_GCF_2122/GCF_GL_Commit_FR.pdf" TargetMode="External"/><Relationship Id="rId33" Type="http://schemas.openxmlformats.org/officeDocument/2006/relationships/hyperlink" Target="http://nspkipws.service.gc.ca/gm/folder-1.11.236645?mode=EU&amp;originalContext=1.11.236478" TargetMode="External"/><Relationship Id="rId38" Type="http://schemas.openxmlformats.org/officeDocument/2006/relationships/footer" Target="footer2.xm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nspkipws.service.gc.ca/gm/workplace-1.54.1?mode=EU" TargetMode="External"/><Relationship Id="rId20" Type="http://schemas.openxmlformats.org/officeDocument/2006/relationships/hyperlink" Target="http://nspkipws.service.gc.ca/gm/folder-1.11.199324?mode=EU&amp;primaryCSH=ZZSF02" TargetMode="External"/><Relationship Id="rId29" Type="http://schemas.openxmlformats.org/officeDocument/2006/relationships/hyperlink" Target="https://dialogue/grp/learning-apprentissage/Shared%20Documents/CLG-POL-LIF-Allowable-Bil.pdf" TargetMode="External"/><Relationship Id="rId41" Type="http://schemas.openxmlformats.org/officeDocument/2006/relationships/hyperlink" Target="https://masge-myems.service.gc.ca/irj/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ervice.prv/fra/gestionnaires/prevision_departement/fdr_index.shtml" TargetMode="External"/><Relationship Id="rId24" Type="http://schemas.openxmlformats.org/officeDocument/2006/relationships/hyperlink" Target="http://nspkipws.service.gc.ca/gm/folder-1.11.222082?mode=EU&amp;originalContext=1.11.199336" TargetMode="External"/><Relationship Id="rId32" Type="http://schemas.openxmlformats.org/officeDocument/2006/relationships/hyperlink" Target="http://nspkipws.service.gc.ca/gm/folder-1.11.236641?mode=EU&amp;originalContext=1.11.236478" TargetMode="External"/><Relationship Id="rId37" Type="http://schemas.openxmlformats.org/officeDocument/2006/relationships/footer" Target="footer1.xml"/><Relationship Id="rId40" Type="http://schemas.openxmlformats.org/officeDocument/2006/relationships/image" Target="media/image5.emf"/><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iservice.prv/fra/finance/res_ministerielles/docs/outil_previsions_salariales_Guide_reference.doc" TargetMode="External"/><Relationship Id="rId23" Type="http://schemas.openxmlformats.org/officeDocument/2006/relationships/hyperlink" Target="http://nspkipws.service.gc.ca/gm/folder-1.11.221209?mode=EU&amp;originalContext=1.11.199336" TargetMode="External"/><Relationship Id="rId28" Type="http://schemas.openxmlformats.org/officeDocument/2006/relationships/hyperlink" Target="https://dialogue/grp/learning-apprentissage/Shared%20Documents/CLG-%20EDSC%20Lignes%20directrices%20-%20Langue%20seconde%20officielle%20-%20Novembre2016.pdf" TargetMode="External"/><Relationship Id="rId36" Type="http://schemas.openxmlformats.org/officeDocument/2006/relationships/header" Target="header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ada.ca/fr/secretariat-conseil-tresor/services/gestion-rendement-talents/programme-gestion-rendement-cadres-superieurs.html" TargetMode="External"/><Relationship Id="rId31" Type="http://schemas.openxmlformats.org/officeDocument/2006/relationships/image" Target="media/image1.emf"/><Relationship Id="rId44" Type="http://schemas.openxmlformats.org/officeDocument/2006/relationships/hyperlink" Target="mailto:NC-Forecasting-Mailb@hrdc-drhc.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spkipws.service.gc.ca/gm/folder-1.11.237174?mode=EU&amp;originalContext=1.11.236478" TargetMode="External"/><Relationship Id="rId22" Type="http://schemas.openxmlformats.org/officeDocument/2006/relationships/hyperlink" Target="https://dialogue/grp/dfcu-ucfm/FCM_GCF_2122/GCF_GL_Commit_FR.pdf" TargetMode="External"/><Relationship Id="rId27" Type="http://schemas.openxmlformats.org/officeDocument/2006/relationships/hyperlink" Target="http://iservice.prv/fra/college/index.shtml" TargetMode="External"/><Relationship Id="rId30" Type="http://schemas.openxmlformats.org/officeDocument/2006/relationships/hyperlink" Target="https://dialogue/grp/learning-apprentissage/Shared%20Documents/CLG-POL-Guidelines-LIF-Mgmt-Jun2019-FR.pptx" TargetMode="External"/><Relationship Id="rId35" Type="http://schemas.openxmlformats.org/officeDocument/2006/relationships/hyperlink" Target="mailto:NC-Forecasting-Mailbox-CRM_Bo&#238;tes-aux-lettres-Pr&#233;visions-GRM-GD" TargetMode="External"/><Relationship Id="rId43" Type="http://schemas.openxmlformats.org/officeDocument/2006/relationships/hyperlink" Target="http://nspkipws.service.gc.ca/gm/folder-1.11.197275?mode=EU" TargetMode="External"/><Relationship Id="rId48" Type="http://schemas.openxmlformats.org/officeDocument/2006/relationships/header" Target="head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schemas.microsoft.com/office/2006/metadata/properties"/>
    <ds:schemaRef ds:uri="4f810ac0-7940-4b47-8510-ccc18747f341"/>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abe285-28c2-4b4a-a8cd-631679229c94"/>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DD9F871A-4A48-4170-86BE-854BD0A6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TEMPLATE%20LETTER_ESDC.dotx</Template>
  <TotalTime>1</TotalTime>
  <Pages>19</Pages>
  <Words>11364</Words>
  <Characters>64775</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75988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Perrier, Mélanie [NC]</dc:creator>
  <cp:keywords/>
  <dc:description/>
  <cp:lastModifiedBy>Gervais, Kevin KL [NC]</cp:lastModifiedBy>
  <cp:revision>2</cp:revision>
  <dcterms:created xsi:type="dcterms:W3CDTF">2021-05-20T18:04:00Z</dcterms:created>
  <dcterms:modified xsi:type="dcterms:W3CDTF">2021-05-20T18:04:00Z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