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D6" w:rsidRDefault="007D55D6" w:rsidP="007D55D6">
      <w:pPr>
        <w:pStyle w:val="Title"/>
        <w:rPr>
          <w:lang w:val="fr-CA"/>
        </w:rPr>
      </w:pPr>
      <w:r>
        <w:rPr>
          <w:lang w:val="fr-CA"/>
        </w:rPr>
        <w:t>EDSC</w:t>
      </w:r>
    </w:p>
    <w:p w:rsidR="007D55D6" w:rsidRDefault="007D55D6" w:rsidP="007D55D6">
      <w:pPr>
        <w:pStyle w:val="Title"/>
        <w:rPr>
          <w:lang w:val="fr-CA"/>
        </w:rPr>
      </w:pPr>
    </w:p>
    <w:p w:rsidR="007D55D6" w:rsidRPr="004E232E" w:rsidRDefault="007D55D6" w:rsidP="007D55D6">
      <w:pPr>
        <w:pStyle w:val="Title"/>
        <w:rPr>
          <w:lang w:val="fr-CA"/>
        </w:rPr>
      </w:pPr>
      <w:r w:rsidRPr="004E232E">
        <w:rPr>
          <w:lang w:val="fr-CA"/>
        </w:rPr>
        <w:t xml:space="preserve">DIRECTIVES SUR LES </w:t>
      </w:r>
      <w:r w:rsidR="00793576">
        <w:rPr>
          <w:lang w:val="fr-CA"/>
        </w:rPr>
        <w:t>TRANSFERTS</w:t>
      </w:r>
      <w:r w:rsidRPr="004E232E">
        <w:rPr>
          <w:lang w:val="fr-CA"/>
        </w:rPr>
        <w:t xml:space="preserve"> BUDGÉTAIRES</w:t>
      </w:r>
    </w:p>
    <w:p w:rsidR="007D55D6" w:rsidRPr="00292308" w:rsidRDefault="007D55D6" w:rsidP="007D55D6">
      <w:pPr>
        <w:pStyle w:val="Title"/>
        <w:rPr>
          <w:lang w:val="fr-CA"/>
        </w:rPr>
      </w:pPr>
      <w:r w:rsidRPr="004E232E">
        <w:rPr>
          <w:lang w:val="fr-CA"/>
        </w:rPr>
        <w:t xml:space="preserve">POUR LES RESSOURCES </w:t>
      </w:r>
      <w:r w:rsidR="006C0950">
        <w:rPr>
          <w:lang w:val="fr-CA"/>
        </w:rPr>
        <w:t>DE  FONCTIONNEMENT</w:t>
      </w:r>
      <w:r w:rsidR="006C0950" w:rsidRPr="004E232E">
        <w:rPr>
          <w:lang w:val="fr-CA"/>
        </w:rPr>
        <w:t xml:space="preserve"> </w:t>
      </w:r>
      <w:r w:rsidRPr="004E232E">
        <w:rPr>
          <w:lang w:val="fr-CA"/>
        </w:rPr>
        <w:t xml:space="preserve">ET LES SUBVENTIONS ET CONTRIBUTIONS </w:t>
      </w:r>
      <w:r w:rsidR="00D71FE5">
        <w:rPr>
          <w:lang w:val="fr-CA"/>
        </w:rPr>
        <w:t>(S&amp;C)</w:t>
      </w: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Default="007D55D6" w:rsidP="007D55D6">
      <w:pPr>
        <w:rPr>
          <w:rFonts w:ascii="Arial" w:hAnsi="Arial" w:cs="Arial"/>
          <w:bCs/>
          <w:sz w:val="20"/>
          <w:szCs w:val="20"/>
          <w:lang w:val="fr-CA" w:eastAsia="en-CA"/>
        </w:rPr>
      </w:pPr>
    </w:p>
    <w:p w:rsidR="007D55D6" w:rsidRDefault="007D55D6" w:rsidP="007D55D6">
      <w:pPr>
        <w:rPr>
          <w:rFonts w:ascii="Arial" w:hAnsi="Arial" w:cs="Arial"/>
          <w:bCs/>
          <w:sz w:val="20"/>
          <w:szCs w:val="20"/>
          <w:lang w:val="fr-CA" w:eastAsia="en-CA"/>
        </w:rPr>
      </w:pPr>
    </w:p>
    <w:p w:rsidR="007D55D6" w:rsidRPr="00292308" w:rsidRDefault="007D55D6" w:rsidP="007D55D6">
      <w:pPr>
        <w:rPr>
          <w:rFonts w:ascii="Arial" w:hAnsi="Arial" w:cs="Arial"/>
          <w:bCs/>
          <w:sz w:val="20"/>
          <w:szCs w:val="20"/>
          <w:lang w:val="fr-CA" w:eastAsia="en-CA"/>
        </w:rPr>
      </w:pPr>
    </w:p>
    <w:p w:rsidR="007D55D6" w:rsidRPr="004E232E" w:rsidRDefault="007D55D6" w:rsidP="007D55D6">
      <w:pPr>
        <w:rPr>
          <w:rFonts w:ascii="Arial" w:hAnsi="Arial" w:cs="Arial"/>
          <w:bCs/>
          <w:sz w:val="20"/>
          <w:szCs w:val="20"/>
          <w:lang w:val="fr-CA" w:eastAsia="en-CA"/>
        </w:rPr>
      </w:pPr>
      <w:r w:rsidRPr="004E232E">
        <w:rPr>
          <w:rFonts w:ascii="Arial" w:hAnsi="Arial" w:cs="Arial"/>
          <w:bCs/>
          <w:sz w:val="20"/>
          <w:szCs w:val="20"/>
          <w:lang w:val="fr-CA" w:eastAsia="en-CA"/>
        </w:rPr>
        <w:t xml:space="preserve">Les processus, </w:t>
      </w:r>
      <w:r>
        <w:rPr>
          <w:rFonts w:ascii="Arial" w:hAnsi="Arial" w:cs="Arial"/>
          <w:bCs/>
          <w:sz w:val="20"/>
          <w:szCs w:val="20"/>
          <w:lang w:val="fr-CA" w:eastAsia="en-CA"/>
        </w:rPr>
        <w:t>procé</w:t>
      </w:r>
      <w:r w:rsidRPr="004E232E">
        <w:rPr>
          <w:rFonts w:ascii="Arial" w:hAnsi="Arial" w:cs="Arial"/>
          <w:bCs/>
          <w:sz w:val="20"/>
          <w:szCs w:val="20"/>
          <w:lang w:val="fr-CA" w:eastAsia="en-CA"/>
        </w:rPr>
        <w:t xml:space="preserve">dures et directives détaillés </w:t>
      </w:r>
      <w:r w:rsidR="00C82833">
        <w:rPr>
          <w:rFonts w:ascii="Arial" w:hAnsi="Arial" w:cs="Arial"/>
          <w:bCs/>
          <w:sz w:val="20"/>
          <w:szCs w:val="20"/>
          <w:lang w:val="fr-CA" w:eastAsia="en-CA"/>
        </w:rPr>
        <w:t>sont</w:t>
      </w:r>
      <w:r w:rsidRPr="004E232E">
        <w:rPr>
          <w:rFonts w:ascii="Arial" w:hAnsi="Arial" w:cs="Arial"/>
          <w:bCs/>
          <w:sz w:val="20"/>
          <w:szCs w:val="20"/>
          <w:lang w:val="fr-CA" w:eastAsia="en-CA"/>
        </w:rPr>
        <w:t xml:space="preserve"> sur le site</w:t>
      </w:r>
      <w:r>
        <w:rPr>
          <w:rFonts w:ascii="Arial" w:hAnsi="Arial" w:cs="Arial"/>
          <w:bCs/>
          <w:sz w:val="20"/>
          <w:szCs w:val="20"/>
          <w:lang w:val="fr-CA" w:eastAsia="en-CA"/>
        </w:rPr>
        <w:t xml:space="preserve"> </w:t>
      </w:r>
      <w:hyperlink r:id="rId11" w:history="1">
        <w:r w:rsidRPr="00350C19">
          <w:rPr>
            <w:rStyle w:val="Hyperlink"/>
            <w:rFonts w:ascii="Arial" w:hAnsi="Arial" w:cs="Arial"/>
            <w:bCs/>
            <w:sz w:val="20"/>
            <w:szCs w:val="20"/>
            <w:lang w:val="fr-CA" w:eastAsia="en-CA"/>
          </w:rPr>
          <w:t>Sharepoint de la GRM</w:t>
        </w:r>
      </w:hyperlink>
      <w:r w:rsidR="00C82833">
        <w:rPr>
          <w:rFonts w:ascii="Arial" w:hAnsi="Arial" w:cs="Arial"/>
          <w:bCs/>
          <w:sz w:val="20"/>
          <w:szCs w:val="20"/>
          <w:lang w:val="fr-CA" w:eastAsia="en-CA"/>
        </w:rPr>
        <w:t>.</w:t>
      </w:r>
    </w:p>
    <w:p w:rsidR="007D55D6" w:rsidRPr="00292308" w:rsidRDefault="007D55D6" w:rsidP="007D55D6">
      <w:pPr>
        <w:jc w:val="both"/>
        <w:rPr>
          <w:rFonts w:ascii="Arial" w:hAnsi="Arial" w:cs="Arial"/>
          <w:sz w:val="20"/>
          <w:szCs w:val="20"/>
          <w:lang w:val="fr-CA"/>
        </w:rPr>
      </w:pPr>
    </w:p>
    <w:p w:rsidR="007D55D6" w:rsidRDefault="007D55D6" w:rsidP="007D55D6">
      <w:pPr>
        <w:jc w:val="both"/>
        <w:rPr>
          <w:rFonts w:ascii="Arial" w:hAnsi="Arial" w:cs="Arial"/>
          <w:sz w:val="20"/>
          <w:szCs w:val="20"/>
          <w:lang w:val="fr-CA"/>
        </w:rPr>
      </w:pPr>
      <w:r w:rsidRPr="004E232E">
        <w:rPr>
          <w:rFonts w:ascii="Arial" w:hAnsi="Arial" w:cs="Arial"/>
          <w:sz w:val="20"/>
          <w:szCs w:val="20"/>
          <w:lang w:val="fr-CA"/>
        </w:rPr>
        <w:t xml:space="preserve">Préparé par la Gestion des </w:t>
      </w:r>
      <w:r>
        <w:rPr>
          <w:rFonts w:ascii="Arial" w:hAnsi="Arial" w:cs="Arial"/>
          <w:sz w:val="20"/>
          <w:szCs w:val="20"/>
          <w:lang w:val="fr-CA"/>
        </w:rPr>
        <w:t>r</w:t>
      </w:r>
      <w:r w:rsidRPr="004E232E">
        <w:rPr>
          <w:rFonts w:ascii="Arial" w:hAnsi="Arial" w:cs="Arial"/>
          <w:sz w:val="20"/>
          <w:szCs w:val="20"/>
          <w:lang w:val="fr-CA"/>
        </w:rPr>
        <w:t xml:space="preserve">essources </w:t>
      </w:r>
      <w:r>
        <w:rPr>
          <w:rFonts w:ascii="Arial" w:hAnsi="Arial" w:cs="Arial"/>
          <w:sz w:val="20"/>
          <w:szCs w:val="20"/>
          <w:lang w:val="fr-CA"/>
        </w:rPr>
        <w:t>m</w:t>
      </w:r>
      <w:r w:rsidRPr="004E232E">
        <w:rPr>
          <w:rFonts w:ascii="Arial" w:hAnsi="Arial" w:cs="Arial"/>
          <w:sz w:val="20"/>
          <w:szCs w:val="20"/>
          <w:lang w:val="fr-CA"/>
        </w:rPr>
        <w:t>inistérielle</w:t>
      </w:r>
      <w:r>
        <w:rPr>
          <w:rFonts w:ascii="Arial" w:hAnsi="Arial" w:cs="Arial"/>
          <w:sz w:val="20"/>
          <w:szCs w:val="20"/>
          <w:lang w:val="fr-CA"/>
        </w:rPr>
        <w:t>s</w:t>
      </w:r>
    </w:p>
    <w:p w:rsidR="00C82833" w:rsidRPr="004E232E" w:rsidRDefault="00C82833" w:rsidP="007D55D6">
      <w:pPr>
        <w:jc w:val="both"/>
        <w:rPr>
          <w:rFonts w:ascii="Arial" w:hAnsi="Arial" w:cs="Arial"/>
          <w:sz w:val="20"/>
          <w:szCs w:val="20"/>
          <w:lang w:val="fr-CA"/>
        </w:rPr>
      </w:pPr>
    </w:p>
    <w:p w:rsidR="007D55D6" w:rsidRDefault="007D55D6" w:rsidP="00EF05AF">
      <w:pPr>
        <w:rPr>
          <w:lang w:val="fr-CA"/>
        </w:rPr>
      </w:pPr>
      <w:r w:rsidRPr="00EF05AF">
        <w:rPr>
          <w:rFonts w:ascii="Arial" w:hAnsi="Arial" w:cs="Arial"/>
          <w:b/>
          <w:sz w:val="20"/>
          <w:szCs w:val="20"/>
        </w:rPr>
        <w:t xml:space="preserve">Dernière révision : </w:t>
      </w:r>
      <w:r w:rsidR="00EF05AF">
        <w:rPr>
          <w:rFonts w:ascii="Arial" w:hAnsi="Arial" w:cs="Arial"/>
          <w:sz w:val="20"/>
          <w:szCs w:val="20"/>
        </w:rPr>
        <w:t>May 15,</w:t>
      </w:r>
      <w:r w:rsidRPr="00EF05AF">
        <w:rPr>
          <w:rFonts w:ascii="Arial" w:hAnsi="Arial" w:cs="Arial"/>
          <w:sz w:val="20"/>
          <w:szCs w:val="20"/>
        </w:rPr>
        <w:t xml:space="preserve"> 20</w:t>
      </w:r>
      <w:r w:rsidR="00AC6966" w:rsidRPr="00EF05AF">
        <w:rPr>
          <w:rFonts w:ascii="Arial" w:hAnsi="Arial" w:cs="Arial"/>
          <w:sz w:val="20"/>
          <w:szCs w:val="20"/>
        </w:rPr>
        <w:t>20</w:t>
      </w:r>
      <w:r w:rsidRPr="004037B9">
        <w:rPr>
          <w:lang w:val="fr-CA"/>
        </w:rPr>
        <w:br w:type="page"/>
      </w:r>
    </w:p>
    <w:sdt>
      <w:sdtPr>
        <w:rPr>
          <w:rFonts w:ascii="Times New Roman" w:eastAsia="Times New Roman" w:hAnsi="Times New Roman" w:cs="Times New Roman"/>
          <w:b w:val="0"/>
          <w:bCs w:val="0"/>
          <w:color w:val="auto"/>
          <w:sz w:val="24"/>
          <w:szCs w:val="24"/>
          <w:lang w:val="en-CA" w:eastAsia="en-US"/>
        </w:rPr>
        <w:id w:val="661208095"/>
        <w:docPartObj>
          <w:docPartGallery w:val="Table of Contents"/>
          <w:docPartUnique/>
        </w:docPartObj>
      </w:sdtPr>
      <w:sdtEndPr>
        <w:rPr>
          <w:noProof/>
        </w:rPr>
      </w:sdtEndPr>
      <w:sdtContent>
        <w:p w:rsidR="00885DBF" w:rsidRDefault="00885DBF">
          <w:pPr>
            <w:pStyle w:val="TOCHeading"/>
          </w:pPr>
          <w:r>
            <w:t>Contents</w:t>
          </w:r>
        </w:p>
        <w:p w:rsidR="00952588" w:rsidRDefault="00885DBF">
          <w:pPr>
            <w:pStyle w:val="TOC1"/>
            <w:tabs>
              <w:tab w:val="right" w:leader="dot" w:pos="8990"/>
            </w:tabs>
            <w:rPr>
              <w:rFonts w:asciiTheme="minorHAnsi" w:eastAsiaTheme="minorEastAsia" w:hAnsiTheme="minorHAnsi" w:cstheme="minorBidi"/>
              <w:noProof/>
              <w:sz w:val="22"/>
              <w:szCs w:val="22"/>
              <w:lang w:eastAsia="en-CA"/>
            </w:rPr>
          </w:pPr>
          <w:r>
            <w:rPr>
              <w:b/>
              <w:bCs/>
              <w:noProof/>
            </w:rPr>
            <w:fldChar w:fldCharType="begin"/>
          </w:r>
          <w:r>
            <w:rPr>
              <w:b/>
              <w:bCs/>
              <w:noProof/>
            </w:rPr>
            <w:instrText xml:space="preserve"> TOC \o "1-3" \h \z \u </w:instrText>
          </w:r>
          <w:r>
            <w:rPr>
              <w:b/>
              <w:bCs/>
              <w:noProof/>
            </w:rPr>
            <w:fldChar w:fldCharType="separate"/>
          </w:r>
          <w:hyperlink w:anchor="_Toc18500107" w:history="1">
            <w:r w:rsidR="00952588" w:rsidRPr="00E51AA5">
              <w:rPr>
                <w:rStyle w:val="Hyperlink"/>
                <w:rFonts w:ascii="Arial" w:hAnsi="Arial" w:cs="Arial"/>
                <w:noProof/>
                <w:lang w:val="fr-CA"/>
              </w:rPr>
              <w:t>CONTEXTE</w:t>
            </w:r>
            <w:r w:rsidR="00952588">
              <w:rPr>
                <w:noProof/>
                <w:webHidden/>
              </w:rPr>
              <w:tab/>
            </w:r>
            <w:r w:rsidR="00952588">
              <w:rPr>
                <w:noProof/>
                <w:webHidden/>
              </w:rPr>
              <w:fldChar w:fldCharType="begin"/>
            </w:r>
            <w:r w:rsidR="00952588">
              <w:rPr>
                <w:noProof/>
                <w:webHidden/>
              </w:rPr>
              <w:instrText xml:space="preserve"> PAGEREF _Toc18500107 \h </w:instrText>
            </w:r>
            <w:r w:rsidR="00952588">
              <w:rPr>
                <w:noProof/>
                <w:webHidden/>
              </w:rPr>
            </w:r>
            <w:r w:rsidR="00952588">
              <w:rPr>
                <w:noProof/>
                <w:webHidden/>
              </w:rPr>
              <w:fldChar w:fldCharType="separate"/>
            </w:r>
            <w:r w:rsidR="00952588">
              <w:rPr>
                <w:noProof/>
                <w:webHidden/>
              </w:rPr>
              <w:t>3</w:t>
            </w:r>
            <w:r w:rsidR="00952588">
              <w:rPr>
                <w:noProof/>
                <w:webHidden/>
              </w:rPr>
              <w:fldChar w:fldCharType="end"/>
            </w:r>
          </w:hyperlink>
        </w:p>
        <w:p w:rsidR="00952588" w:rsidRDefault="003E6353">
          <w:pPr>
            <w:pStyle w:val="TOC1"/>
            <w:tabs>
              <w:tab w:val="right" w:leader="dot" w:pos="8990"/>
            </w:tabs>
            <w:rPr>
              <w:rFonts w:asciiTheme="minorHAnsi" w:eastAsiaTheme="minorEastAsia" w:hAnsiTheme="minorHAnsi" w:cstheme="minorBidi"/>
              <w:noProof/>
              <w:sz w:val="22"/>
              <w:szCs w:val="22"/>
              <w:lang w:eastAsia="en-CA"/>
            </w:rPr>
          </w:pPr>
          <w:hyperlink w:anchor="_Toc18500108" w:history="1">
            <w:r w:rsidR="00952588" w:rsidRPr="00E51AA5">
              <w:rPr>
                <w:rStyle w:val="Hyperlink"/>
                <w:rFonts w:ascii="Arial" w:hAnsi="Arial" w:cs="Arial"/>
                <w:noProof/>
                <w:lang w:val="fr-CA"/>
              </w:rPr>
              <w:t>1. AJUSTEMENTS BUDGÉTAIRES – RESSOURCES DE FONCTIONN</w:t>
            </w:r>
            <w:r w:rsidR="00FD3980">
              <w:rPr>
                <w:rStyle w:val="Hyperlink"/>
                <w:rFonts w:ascii="Arial" w:hAnsi="Arial" w:cs="Arial"/>
                <w:noProof/>
                <w:lang w:val="fr-CA"/>
              </w:rPr>
              <w:t>EMENT ET FONDS DE PROGRAMME</w:t>
            </w:r>
            <w:r w:rsidR="005B6150">
              <w:rPr>
                <w:rStyle w:val="Hyperlink"/>
                <w:rFonts w:ascii="Arial" w:hAnsi="Arial" w:cs="Arial"/>
                <w:noProof/>
                <w:lang w:val="fr-CA"/>
              </w:rPr>
              <w:t>S</w:t>
            </w:r>
            <w:r w:rsidR="00FD3980">
              <w:rPr>
                <w:rStyle w:val="Hyperlink"/>
                <w:rFonts w:ascii="Arial" w:hAnsi="Arial" w:cs="Arial"/>
                <w:noProof/>
                <w:lang w:val="fr-CA"/>
              </w:rPr>
              <w:t xml:space="preserve"> </w:t>
            </w:r>
            <w:r w:rsidR="00952588" w:rsidRPr="00E51AA5">
              <w:rPr>
                <w:rStyle w:val="Hyperlink"/>
                <w:rFonts w:ascii="Arial" w:hAnsi="Arial" w:cs="Arial"/>
                <w:noProof/>
                <w:lang w:val="fr-CA"/>
              </w:rPr>
              <w:t>S&amp;C</w:t>
            </w:r>
            <w:r w:rsidR="00952588">
              <w:rPr>
                <w:noProof/>
                <w:webHidden/>
              </w:rPr>
              <w:tab/>
            </w:r>
            <w:r w:rsidR="00952588">
              <w:rPr>
                <w:noProof/>
                <w:webHidden/>
              </w:rPr>
              <w:fldChar w:fldCharType="begin"/>
            </w:r>
            <w:r w:rsidR="00952588">
              <w:rPr>
                <w:noProof/>
                <w:webHidden/>
              </w:rPr>
              <w:instrText xml:space="preserve"> PAGEREF _Toc18500108 \h </w:instrText>
            </w:r>
            <w:r w:rsidR="00952588">
              <w:rPr>
                <w:noProof/>
                <w:webHidden/>
              </w:rPr>
            </w:r>
            <w:r w:rsidR="00952588">
              <w:rPr>
                <w:noProof/>
                <w:webHidden/>
              </w:rPr>
              <w:fldChar w:fldCharType="separate"/>
            </w:r>
            <w:r w:rsidR="00952588">
              <w:rPr>
                <w:noProof/>
                <w:webHidden/>
              </w:rPr>
              <w:t>3</w:t>
            </w:r>
            <w:r w:rsidR="00952588">
              <w:rPr>
                <w:noProof/>
                <w:webHidden/>
              </w:rPr>
              <w:fldChar w:fldCharType="end"/>
            </w:r>
          </w:hyperlink>
        </w:p>
        <w:p w:rsidR="00952588" w:rsidRDefault="003E6353">
          <w:pPr>
            <w:pStyle w:val="TOC2"/>
            <w:tabs>
              <w:tab w:val="right" w:leader="dot" w:pos="8990"/>
            </w:tabs>
            <w:rPr>
              <w:rFonts w:asciiTheme="minorHAnsi" w:eastAsiaTheme="minorEastAsia" w:hAnsiTheme="minorHAnsi" w:cstheme="minorBidi"/>
              <w:noProof/>
              <w:sz w:val="22"/>
              <w:szCs w:val="22"/>
              <w:lang w:eastAsia="en-CA"/>
            </w:rPr>
          </w:pPr>
          <w:hyperlink w:anchor="_Toc18500109" w:history="1">
            <w:r w:rsidR="00952588" w:rsidRPr="00E51AA5">
              <w:rPr>
                <w:rStyle w:val="Hyperlink"/>
                <w:rFonts w:ascii="Arial" w:hAnsi="Arial" w:cs="Arial"/>
                <w:noProof/>
              </w:rPr>
              <w:t>Augmentation du financement (Supplémentaire)</w:t>
            </w:r>
            <w:r w:rsidR="00952588">
              <w:rPr>
                <w:noProof/>
                <w:webHidden/>
              </w:rPr>
              <w:tab/>
            </w:r>
            <w:r w:rsidR="00952588">
              <w:rPr>
                <w:noProof/>
                <w:webHidden/>
              </w:rPr>
              <w:fldChar w:fldCharType="begin"/>
            </w:r>
            <w:r w:rsidR="00952588">
              <w:rPr>
                <w:noProof/>
                <w:webHidden/>
              </w:rPr>
              <w:instrText xml:space="preserve"> PAGEREF _Toc18500109 \h </w:instrText>
            </w:r>
            <w:r w:rsidR="00952588">
              <w:rPr>
                <w:noProof/>
                <w:webHidden/>
              </w:rPr>
            </w:r>
            <w:r w:rsidR="00952588">
              <w:rPr>
                <w:noProof/>
                <w:webHidden/>
              </w:rPr>
              <w:fldChar w:fldCharType="separate"/>
            </w:r>
            <w:r w:rsidR="00952588">
              <w:rPr>
                <w:noProof/>
                <w:webHidden/>
              </w:rPr>
              <w:t>4</w:t>
            </w:r>
            <w:r w:rsidR="00952588">
              <w:rPr>
                <w:noProof/>
                <w:webHidden/>
              </w:rPr>
              <w:fldChar w:fldCharType="end"/>
            </w:r>
          </w:hyperlink>
        </w:p>
        <w:p w:rsidR="00952588" w:rsidRDefault="003E6353">
          <w:pPr>
            <w:pStyle w:val="TOC2"/>
            <w:tabs>
              <w:tab w:val="right" w:leader="dot" w:pos="8990"/>
            </w:tabs>
            <w:rPr>
              <w:rFonts w:asciiTheme="minorHAnsi" w:eastAsiaTheme="minorEastAsia" w:hAnsiTheme="minorHAnsi" w:cstheme="minorBidi"/>
              <w:noProof/>
              <w:sz w:val="22"/>
              <w:szCs w:val="22"/>
              <w:lang w:eastAsia="en-CA"/>
            </w:rPr>
          </w:pPr>
          <w:hyperlink w:anchor="_Toc18500110" w:history="1">
            <w:r w:rsidR="00952588" w:rsidRPr="00E51AA5">
              <w:rPr>
                <w:rStyle w:val="Hyperlink"/>
                <w:rFonts w:ascii="Arial" w:hAnsi="Arial" w:cs="Arial"/>
                <w:noProof/>
                <w:lang w:val="fr-CA"/>
              </w:rPr>
              <w:t>Réduction de financements ou gels (Retour)</w:t>
            </w:r>
            <w:r w:rsidR="00952588">
              <w:rPr>
                <w:noProof/>
                <w:webHidden/>
              </w:rPr>
              <w:tab/>
            </w:r>
            <w:r w:rsidR="00952588">
              <w:rPr>
                <w:noProof/>
                <w:webHidden/>
              </w:rPr>
              <w:fldChar w:fldCharType="begin"/>
            </w:r>
            <w:r w:rsidR="00952588">
              <w:rPr>
                <w:noProof/>
                <w:webHidden/>
              </w:rPr>
              <w:instrText xml:space="preserve"> PAGEREF _Toc18500110 \h </w:instrText>
            </w:r>
            <w:r w:rsidR="00952588">
              <w:rPr>
                <w:noProof/>
                <w:webHidden/>
              </w:rPr>
            </w:r>
            <w:r w:rsidR="00952588">
              <w:rPr>
                <w:noProof/>
                <w:webHidden/>
              </w:rPr>
              <w:fldChar w:fldCharType="separate"/>
            </w:r>
            <w:r w:rsidR="00952588">
              <w:rPr>
                <w:noProof/>
                <w:webHidden/>
              </w:rPr>
              <w:t>4</w:t>
            </w:r>
            <w:r w:rsidR="00952588">
              <w:rPr>
                <w:noProof/>
                <w:webHidden/>
              </w:rPr>
              <w:fldChar w:fldCharType="end"/>
            </w:r>
          </w:hyperlink>
        </w:p>
        <w:p w:rsidR="00952588" w:rsidRDefault="003E6353">
          <w:pPr>
            <w:pStyle w:val="TOC2"/>
            <w:tabs>
              <w:tab w:val="right" w:leader="dot" w:pos="8990"/>
            </w:tabs>
            <w:rPr>
              <w:rFonts w:asciiTheme="minorHAnsi" w:eastAsiaTheme="minorEastAsia" w:hAnsiTheme="minorHAnsi" w:cstheme="minorBidi"/>
              <w:noProof/>
              <w:sz w:val="22"/>
              <w:szCs w:val="22"/>
              <w:lang w:eastAsia="en-CA"/>
            </w:rPr>
          </w:pPr>
          <w:hyperlink w:anchor="_Toc18500111" w:history="1">
            <w:r w:rsidR="00952588" w:rsidRPr="00E51AA5">
              <w:rPr>
                <w:rStyle w:val="Hyperlink"/>
                <w:rFonts w:ascii="Arial" w:hAnsi="Arial" w:cs="Arial"/>
                <w:noProof/>
                <w:lang w:val="en-US"/>
              </w:rPr>
              <w:t>Transactions budgétaires (Transfert)</w:t>
            </w:r>
            <w:r w:rsidR="00952588">
              <w:rPr>
                <w:noProof/>
                <w:webHidden/>
              </w:rPr>
              <w:tab/>
            </w:r>
            <w:r w:rsidR="00952588">
              <w:rPr>
                <w:noProof/>
                <w:webHidden/>
              </w:rPr>
              <w:fldChar w:fldCharType="begin"/>
            </w:r>
            <w:r w:rsidR="00952588">
              <w:rPr>
                <w:noProof/>
                <w:webHidden/>
              </w:rPr>
              <w:instrText xml:space="preserve"> PAGEREF _Toc18500111 \h </w:instrText>
            </w:r>
            <w:r w:rsidR="00952588">
              <w:rPr>
                <w:noProof/>
                <w:webHidden/>
              </w:rPr>
            </w:r>
            <w:r w:rsidR="00952588">
              <w:rPr>
                <w:noProof/>
                <w:webHidden/>
              </w:rPr>
              <w:fldChar w:fldCharType="separate"/>
            </w:r>
            <w:r w:rsidR="00952588">
              <w:rPr>
                <w:noProof/>
                <w:webHidden/>
              </w:rPr>
              <w:t>5</w:t>
            </w:r>
            <w:r w:rsidR="00952588">
              <w:rPr>
                <w:noProof/>
                <w:webHidden/>
              </w:rPr>
              <w:fldChar w:fldCharType="end"/>
            </w:r>
          </w:hyperlink>
        </w:p>
        <w:p w:rsidR="00952588" w:rsidRDefault="003E6353">
          <w:pPr>
            <w:pStyle w:val="TOC3"/>
            <w:tabs>
              <w:tab w:val="left" w:pos="1100"/>
              <w:tab w:val="right" w:leader="dot" w:pos="8990"/>
            </w:tabs>
            <w:rPr>
              <w:rFonts w:asciiTheme="minorHAnsi" w:eastAsiaTheme="minorEastAsia" w:hAnsiTheme="minorHAnsi" w:cstheme="minorBidi"/>
              <w:noProof/>
              <w:sz w:val="22"/>
              <w:szCs w:val="22"/>
              <w:lang w:eastAsia="en-CA"/>
            </w:rPr>
          </w:pPr>
          <w:hyperlink w:anchor="_Toc18500112" w:history="1">
            <w:r w:rsidR="00952588" w:rsidRPr="00E51AA5">
              <w:rPr>
                <w:rStyle w:val="Hyperlink"/>
                <w:rFonts w:ascii="Arial" w:hAnsi="Arial" w:cs="Arial"/>
                <w:b/>
                <w:bCs/>
                <w:noProof/>
                <w:lang w:val="fr-CA"/>
              </w:rPr>
              <w:t>1)</w:t>
            </w:r>
            <w:r w:rsidR="00952588">
              <w:rPr>
                <w:rFonts w:asciiTheme="minorHAnsi" w:eastAsiaTheme="minorEastAsia" w:hAnsiTheme="minorHAnsi" w:cstheme="minorBidi"/>
                <w:noProof/>
                <w:sz w:val="22"/>
                <w:szCs w:val="22"/>
                <w:lang w:eastAsia="en-CA"/>
              </w:rPr>
              <w:tab/>
            </w:r>
            <w:r w:rsidR="00952588" w:rsidRPr="00E51AA5">
              <w:rPr>
                <w:rStyle w:val="Hyperlink"/>
                <w:rFonts w:ascii="Arial" w:hAnsi="Arial" w:cs="Arial"/>
                <w:b/>
                <w:bCs/>
                <w:noProof/>
                <w:lang w:val="fr-CA"/>
              </w:rPr>
              <w:t>Transferts budgétaires entre les centres financiers</w:t>
            </w:r>
            <w:r w:rsidR="00952588">
              <w:rPr>
                <w:noProof/>
                <w:webHidden/>
              </w:rPr>
              <w:tab/>
            </w:r>
            <w:r w:rsidR="00952588">
              <w:rPr>
                <w:noProof/>
                <w:webHidden/>
              </w:rPr>
              <w:fldChar w:fldCharType="begin"/>
            </w:r>
            <w:r w:rsidR="00952588">
              <w:rPr>
                <w:noProof/>
                <w:webHidden/>
              </w:rPr>
              <w:instrText xml:space="preserve"> PAGEREF _Toc18500112 \h </w:instrText>
            </w:r>
            <w:r w:rsidR="00952588">
              <w:rPr>
                <w:noProof/>
                <w:webHidden/>
              </w:rPr>
            </w:r>
            <w:r w:rsidR="00952588">
              <w:rPr>
                <w:noProof/>
                <w:webHidden/>
              </w:rPr>
              <w:fldChar w:fldCharType="separate"/>
            </w:r>
            <w:r w:rsidR="00952588">
              <w:rPr>
                <w:noProof/>
                <w:webHidden/>
              </w:rPr>
              <w:t>5</w:t>
            </w:r>
            <w:r w:rsidR="00952588">
              <w:rPr>
                <w:noProof/>
                <w:webHidden/>
              </w:rPr>
              <w:fldChar w:fldCharType="end"/>
            </w:r>
          </w:hyperlink>
        </w:p>
        <w:p w:rsidR="00952588" w:rsidRDefault="003E6353">
          <w:pPr>
            <w:pStyle w:val="TOC3"/>
            <w:tabs>
              <w:tab w:val="left" w:pos="1100"/>
              <w:tab w:val="right" w:leader="dot" w:pos="8990"/>
            </w:tabs>
            <w:rPr>
              <w:rFonts w:asciiTheme="minorHAnsi" w:eastAsiaTheme="minorEastAsia" w:hAnsiTheme="minorHAnsi" w:cstheme="minorBidi"/>
              <w:noProof/>
              <w:sz w:val="22"/>
              <w:szCs w:val="22"/>
              <w:lang w:eastAsia="en-CA"/>
            </w:rPr>
          </w:pPr>
          <w:hyperlink w:anchor="_Toc18500113" w:history="1">
            <w:r w:rsidR="00952588" w:rsidRPr="00E51AA5">
              <w:rPr>
                <w:rStyle w:val="Hyperlink"/>
                <w:rFonts w:ascii="Arial" w:hAnsi="Arial" w:cs="Arial"/>
                <w:b/>
                <w:bCs/>
                <w:noProof/>
                <w:lang w:val="fr-CA"/>
              </w:rPr>
              <w:t>2)</w:t>
            </w:r>
            <w:r w:rsidR="00952588">
              <w:rPr>
                <w:rFonts w:asciiTheme="minorHAnsi" w:eastAsiaTheme="minorEastAsia" w:hAnsiTheme="minorHAnsi" w:cstheme="minorBidi"/>
                <w:noProof/>
                <w:sz w:val="22"/>
                <w:szCs w:val="22"/>
                <w:lang w:eastAsia="en-CA"/>
              </w:rPr>
              <w:tab/>
            </w:r>
            <w:r w:rsidR="00952588" w:rsidRPr="00E51AA5">
              <w:rPr>
                <w:rStyle w:val="Hyperlink"/>
                <w:rFonts w:ascii="Arial" w:hAnsi="Arial" w:cs="Arial"/>
                <w:b/>
                <w:bCs/>
                <w:noProof/>
                <w:lang w:val="fr-CA"/>
              </w:rPr>
              <w:t>Transferts budgétaires pour les fonds de fonctionnement entre les fonds</w:t>
            </w:r>
            <w:r w:rsidR="00952588">
              <w:rPr>
                <w:noProof/>
                <w:webHidden/>
              </w:rPr>
              <w:tab/>
            </w:r>
            <w:r w:rsidR="00952588">
              <w:rPr>
                <w:noProof/>
                <w:webHidden/>
              </w:rPr>
              <w:fldChar w:fldCharType="begin"/>
            </w:r>
            <w:r w:rsidR="00952588">
              <w:rPr>
                <w:noProof/>
                <w:webHidden/>
              </w:rPr>
              <w:instrText xml:space="preserve"> PAGEREF _Toc18500113 \h </w:instrText>
            </w:r>
            <w:r w:rsidR="00952588">
              <w:rPr>
                <w:noProof/>
                <w:webHidden/>
              </w:rPr>
            </w:r>
            <w:r w:rsidR="00952588">
              <w:rPr>
                <w:noProof/>
                <w:webHidden/>
              </w:rPr>
              <w:fldChar w:fldCharType="separate"/>
            </w:r>
            <w:r w:rsidR="00952588">
              <w:rPr>
                <w:noProof/>
                <w:webHidden/>
              </w:rPr>
              <w:t>6</w:t>
            </w:r>
            <w:r w:rsidR="00952588">
              <w:rPr>
                <w:noProof/>
                <w:webHidden/>
              </w:rPr>
              <w:fldChar w:fldCharType="end"/>
            </w:r>
          </w:hyperlink>
        </w:p>
        <w:p w:rsidR="00952588" w:rsidRDefault="003E6353">
          <w:pPr>
            <w:pStyle w:val="TOC3"/>
            <w:tabs>
              <w:tab w:val="left" w:pos="1100"/>
              <w:tab w:val="right" w:leader="dot" w:pos="8990"/>
            </w:tabs>
            <w:rPr>
              <w:rFonts w:asciiTheme="minorHAnsi" w:eastAsiaTheme="minorEastAsia" w:hAnsiTheme="minorHAnsi" w:cstheme="minorBidi"/>
              <w:noProof/>
              <w:sz w:val="22"/>
              <w:szCs w:val="22"/>
              <w:lang w:eastAsia="en-CA"/>
            </w:rPr>
          </w:pPr>
          <w:hyperlink w:anchor="_Toc18500114" w:history="1">
            <w:r w:rsidR="00952588" w:rsidRPr="00E51AA5">
              <w:rPr>
                <w:rStyle w:val="Hyperlink"/>
                <w:rFonts w:ascii="Arial" w:hAnsi="Arial" w:cs="Arial"/>
                <w:b/>
                <w:bCs/>
                <w:noProof/>
                <w:lang w:val="fr-CA"/>
              </w:rPr>
              <w:t>3)</w:t>
            </w:r>
            <w:r w:rsidR="00952588">
              <w:rPr>
                <w:rFonts w:asciiTheme="minorHAnsi" w:eastAsiaTheme="minorEastAsia" w:hAnsiTheme="minorHAnsi" w:cstheme="minorBidi"/>
                <w:noProof/>
                <w:sz w:val="22"/>
                <w:szCs w:val="22"/>
                <w:lang w:eastAsia="en-CA"/>
              </w:rPr>
              <w:tab/>
            </w:r>
            <w:r w:rsidR="00952588" w:rsidRPr="00E51AA5">
              <w:rPr>
                <w:rStyle w:val="Hyperlink"/>
                <w:rFonts w:ascii="Arial" w:hAnsi="Arial" w:cs="Arial"/>
                <w:b/>
                <w:bCs/>
                <w:noProof/>
                <w:lang w:val="fr-CA"/>
              </w:rPr>
              <w:t>Transferts budgétaires des fonds de fonctionnement entre les groupes de comptes budgétaires (Personnel/F&amp;E)</w:t>
            </w:r>
            <w:r w:rsidR="00952588">
              <w:rPr>
                <w:noProof/>
                <w:webHidden/>
              </w:rPr>
              <w:tab/>
            </w:r>
            <w:r w:rsidR="00952588">
              <w:rPr>
                <w:noProof/>
                <w:webHidden/>
              </w:rPr>
              <w:fldChar w:fldCharType="begin"/>
            </w:r>
            <w:r w:rsidR="00952588">
              <w:rPr>
                <w:noProof/>
                <w:webHidden/>
              </w:rPr>
              <w:instrText xml:space="preserve"> PAGEREF _Toc18500114 \h </w:instrText>
            </w:r>
            <w:r w:rsidR="00952588">
              <w:rPr>
                <w:noProof/>
                <w:webHidden/>
              </w:rPr>
            </w:r>
            <w:r w:rsidR="00952588">
              <w:rPr>
                <w:noProof/>
                <w:webHidden/>
              </w:rPr>
              <w:fldChar w:fldCharType="separate"/>
            </w:r>
            <w:r w:rsidR="00952588">
              <w:rPr>
                <w:noProof/>
                <w:webHidden/>
              </w:rPr>
              <w:t>6</w:t>
            </w:r>
            <w:r w:rsidR="00952588">
              <w:rPr>
                <w:noProof/>
                <w:webHidden/>
              </w:rPr>
              <w:fldChar w:fldCharType="end"/>
            </w:r>
          </w:hyperlink>
        </w:p>
        <w:p w:rsidR="00952588" w:rsidRDefault="003E6353">
          <w:pPr>
            <w:pStyle w:val="TOC3"/>
            <w:tabs>
              <w:tab w:val="left" w:pos="1100"/>
              <w:tab w:val="right" w:leader="dot" w:pos="8990"/>
            </w:tabs>
            <w:rPr>
              <w:rFonts w:asciiTheme="minorHAnsi" w:eastAsiaTheme="minorEastAsia" w:hAnsiTheme="minorHAnsi" w:cstheme="minorBidi"/>
              <w:noProof/>
              <w:sz w:val="22"/>
              <w:szCs w:val="22"/>
              <w:lang w:eastAsia="en-CA"/>
            </w:rPr>
          </w:pPr>
          <w:hyperlink w:anchor="_Toc18500115" w:history="1">
            <w:r w:rsidR="00952588" w:rsidRPr="00E51AA5">
              <w:rPr>
                <w:rStyle w:val="Hyperlink"/>
                <w:rFonts w:ascii="Arial" w:hAnsi="Arial" w:cs="Arial"/>
                <w:b/>
                <w:bCs/>
                <w:noProof/>
                <w:lang w:val="fr-CA"/>
              </w:rPr>
              <w:t>4)</w:t>
            </w:r>
            <w:r w:rsidR="00952588">
              <w:rPr>
                <w:rFonts w:asciiTheme="minorHAnsi" w:eastAsiaTheme="minorEastAsia" w:hAnsiTheme="minorHAnsi" w:cstheme="minorBidi"/>
                <w:noProof/>
                <w:sz w:val="22"/>
                <w:szCs w:val="22"/>
                <w:lang w:eastAsia="en-CA"/>
              </w:rPr>
              <w:tab/>
            </w:r>
            <w:r w:rsidR="00952588" w:rsidRPr="00E51AA5">
              <w:rPr>
                <w:rStyle w:val="Hyperlink"/>
                <w:rFonts w:ascii="Arial" w:hAnsi="Arial" w:cs="Arial"/>
                <w:b/>
                <w:bCs/>
                <w:noProof/>
                <w:lang w:val="fr-CA"/>
              </w:rPr>
              <w:t>Transferts budgétaires pour les fonds de fonctionnement entre les domaines fonctionnels</w:t>
            </w:r>
            <w:r w:rsidR="00952588">
              <w:rPr>
                <w:noProof/>
                <w:webHidden/>
              </w:rPr>
              <w:tab/>
            </w:r>
            <w:r w:rsidR="00952588">
              <w:rPr>
                <w:noProof/>
                <w:webHidden/>
              </w:rPr>
              <w:fldChar w:fldCharType="begin"/>
            </w:r>
            <w:r w:rsidR="00952588">
              <w:rPr>
                <w:noProof/>
                <w:webHidden/>
              </w:rPr>
              <w:instrText xml:space="preserve"> PAGEREF _Toc18500115 \h </w:instrText>
            </w:r>
            <w:r w:rsidR="00952588">
              <w:rPr>
                <w:noProof/>
                <w:webHidden/>
              </w:rPr>
            </w:r>
            <w:r w:rsidR="00952588">
              <w:rPr>
                <w:noProof/>
                <w:webHidden/>
              </w:rPr>
              <w:fldChar w:fldCharType="separate"/>
            </w:r>
            <w:r w:rsidR="00952588">
              <w:rPr>
                <w:noProof/>
                <w:webHidden/>
              </w:rPr>
              <w:t>7</w:t>
            </w:r>
            <w:r w:rsidR="00952588">
              <w:rPr>
                <w:noProof/>
                <w:webHidden/>
              </w:rPr>
              <w:fldChar w:fldCharType="end"/>
            </w:r>
          </w:hyperlink>
        </w:p>
        <w:p w:rsidR="00952588" w:rsidRDefault="003E6353">
          <w:pPr>
            <w:pStyle w:val="TOC3"/>
            <w:tabs>
              <w:tab w:val="left" w:pos="1100"/>
              <w:tab w:val="right" w:leader="dot" w:pos="8990"/>
            </w:tabs>
            <w:rPr>
              <w:rFonts w:asciiTheme="minorHAnsi" w:eastAsiaTheme="minorEastAsia" w:hAnsiTheme="minorHAnsi" w:cstheme="minorBidi"/>
              <w:noProof/>
              <w:sz w:val="22"/>
              <w:szCs w:val="22"/>
              <w:lang w:eastAsia="en-CA"/>
            </w:rPr>
          </w:pPr>
          <w:hyperlink w:anchor="_Toc18500116" w:history="1">
            <w:r w:rsidR="00952588" w:rsidRPr="00E51AA5">
              <w:rPr>
                <w:rStyle w:val="Hyperlink"/>
                <w:rFonts w:ascii="Arial" w:hAnsi="Arial" w:cs="Arial"/>
                <w:b/>
                <w:bCs/>
                <w:noProof/>
                <w:lang w:val="fr-CA"/>
              </w:rPr>
              <w:t>5)</w:t>
            </w:r>
            <w:r w:rsidR="00952588">
              <w:rPr>
                <w:rFonts w:asciiTheme="minorHAnsi" w:eastAsiaTheme="minorEastAsia" w:hAnsiTheme="minorHAnsi" w:cstheme="minorBidi"/>
                <w:noProof/>
                <w:sz w:val="22"/>
                <w:szCs w:val="22"/>
                <w:lang w:eastAsia="en-CA"/>
              </w:rPr>
              <w:tab/>
            </w:r>
            <w:r w:rsidR="00952588" w:rsidRPr="00E51AA5">
              <w:rPr>
                <w:rStyle w:val="Hyperlink"/>
                <w:rFonts w:ascii="Arial" w:hAnsi="Arial" w:cs="Arial"/>
                <w:b/>
                <w:bCs/>
                <w:noProof/>
                <w:lang w:val="fr-CA"/>
              </w:rPr>
              <w:t>Délai de traitement des transferts budgétaires – Norme de service</w:t>
            </w:r>
            <w:r w:rsidR="00952588">
              <w:rPr>
                <w:noProof/>
                <w:webHidden/>
              </w:rPr>
              <w:tab/>
            </w:r>
            <w:r w:rsidR="00952588">
              <w:rPr>
                <w:noProof/>
                <w:webHidden/>
              </w:rPr>
              <w:fldChar w:fldCharType="begin"/>
            </w:r>
            <w:r w:rsidR="00952588">
              <w:rPr>
                <w:noProof/>
                <w:webHidden/>
              </w:rPr>
              <w:instrText xml:space="preserve"> PAGEREF _Toc18500116 \h </w:instrText>
            </w:r>
            <w:r w:rsidR="00952588">
              <w:rPr>
                <w:noProof/>
                <w:webHidden/>
              </w:rPr>
            </w:r>
            <w:r w:rsidR="00952588">
              <w:rPr>
                <w:noProof/>
                <w:webHidden/>
              </w:rPr>
              <w:fldChar w:fldCharType="separate"/>
            </w:r>
            <w:r w:rsidR="00952588">
              <w:rPr>
                <w:noProof/>
                <w:webHidden/>
              </w:rPr>
              <w:t>8</w:t>
            </w:r>
            <w:r w:rsidR="00952588">
              <w:rPr>
                <w:noProof/>
                <w:webHidden/>
              </w:rPr>
              <w:fldChar w:fldCharType="end"/>
            </w:r>
          </w:hyperlink>
        </w:p>
        <w:p w:rsidR="00952588" w:rsidRDefault="003E6353">
          <w:pPr>
            <w:pStyle w:val="TOC1"/>
            <w:tabs>
              <w:tab w:val="right" w:leader="dot" w:pos="8990"/>
            </w:tabs>
            <w:rPr>
              <w:rFonts w:asciiTheme="minorHAnsi" w:eastAsiaTheme="minorEastAsia" w:hAnsiTheme="minorHAnsi" w:cstheme="minorBidi"/>
              <w:noProof/>
              <w:sz w:val="22"/>
              <w:szCs w:val="22"/>
              <w:lang w:eastAsia="en-CA"/>
            </w:rPr>
          </w:pPr>
          <w:hyperlink w:anchor="_Toc18500117" w:history="1">
            <w:r w:rsidR="00952588" w:rsidRPr="00E51AA5">
              <w:rPr>
                <w:rStyle w:val="Hyperlink"/>
                <w:rFonts w:ascii="Arial" w:hAnsi="Arial" w:cs="Arial"/>
                <w:noProof/>
                <w:lang w:val="fr-CA"/>
              </w:rPr>
              <w:t>2. RÔLES ET RESPONSABILITÉS</w:t>
            </w:r>
            <w:r w:rsidR="00952588">
              <w:rPr>
                <w:noProof/>
                <w:webHidden/>
              </w:rPr>
              <w:tab/>
            </w:r>
            <w:r w:rsidR="00952588">
              <w:rPr>
                <w:noProof/>
                <w:webHidden/>
              </w:rPr>
              <w:fldChar w:fldCharType="begin"/>
            </w:r>
            <w:r w:rsidR="00952588">
              <w:rPr>
                <w:noProof/>
                <w:webHidden/>
              </w:rPr>
              <w:instrText xml:space="preserve"> PAGEREF _Toc18500117 \h </w:instrText>
            </w:r>
            <w:r w:rsidR="00952588">
              <w:rPr>
                <w:noProof/>
                <w:webHidden/>
              </w:rPr>
            </w:r>
            <w:r w:rsidR="00952588">
              <w:rPr>
                <w:noProof/>
                <w:webHidden/>
              </w:rPr>
              <w:fldChar w:fldCharType="separate"/>
            </w:r>
            <w:r w:rsidR="00952588">
              <w:rPr>
                <w:noProof/>
                <w:webHidden/>
              </w:rPr>
              <w:t>8</w:t>
            </w:r>
            <w:r w:rsidR="00952588">
              <w:rPr>
                <w:noProof/>
                <w:webHidden/>
              </w:rPr>
              <w:fldChar w:fldCharType="end"/>
            </w:r>
          </w:hyperlink>
        </w:p>
        <w:p w:rsidR="00952588" w:rsidRDefault="003E6353">
          <w:pPr>
            <w:pStyle w:val="TOC2"/>
            <w:tabs>
              <w:tab w:val="right" w:leader="dot" w:pos="8990"/>
            </w:tabs>
            <w:rPr>
              <w:rFonts w:asciiTheme="minorHAnsi" w:eastAsiaTheme="minorEastAsia" w:hAnsiTheme="minorHAnsi" w:cstheme="minorBidi"/>
              <w:noProof/>
              <w:sz w:val="22"/>
              <w:szCs w:val="22"/>
              <w:lang w:eastAsia="en-CA"/>
            </w:rPr>
          </w:pPr>
          <w:hyperlink w:anchor="_Toc18500118" w:history="1">
            <w:r w:rsidR="00952588" w:rsidRPr="00E51AA5">
              <w:rPr>
                <w:rStyle w:val="Hyperlink"/>
                <w:rFonts w:ascii="Arial" w:hAnsi="Arial" w:cs="Arial"/>
                <w:noProof/>
                <w:lang w:val="fr-CA"/>
              </w:rPr>
              <w:t>Gestion des ressources ministérielles (GRM)</w:t>
            </w:r>
            <w:r w:rsidR="00952588">
              <w:rPr>
                <w:noProof/>
                <w:webHidden/>
              </w:rPr>
              <w:tab/>
            </w:r>
            <w:r w:rsidR="00952588">
              <w:rPr>
                <w:noProof/>
                <w:webHidden/>
              </w:rPr>
              <w:fldChar w:fldCharType="begin"/>
            </w:r>
            <w:r w:rsidR="00952588">
              <w:rPr>
                <w:noProof/>
                <w:webHidden/>
              </w:rPr>
              <w:instrText xml:space="preserve"> PAGEREF _Toc18500118 \h </w:instrText>
            </w:r>
            <w:r w:rsidR="00952588">
              <w:rPr>
                <w:noProof/>
                <w:webHidden/>
              </w:rPr>
            </w:r>
            <w:r w:rsidR="00952588">
              <w:rPr>
                <w:noProof/>
                <w:webHidden/>
              </w:rPr>
              <w:fldChar w:fldCharType="separate"/>
            </w:r>
            <w:r w:rsidR="00952588">
              <w:rPr>
                <w:noProof/>
                <w:webHidden/>
              </w:rPr>
              <w:t>8</w:t>
            </w:r>
            <w:r w:rsidR="00952588">
              <w:rPr>
                <w:noProof/>
                <w:webHidden/>
              </w:rPr>
              <w:fldChar w:fldCharType="end"/>
            </w:r>
          </w:hyperlink>
        </w:p>
        <w:p w:rsidR="00952588" w:rsidRDefault="003E6353">
          <w:pPr>
            <w:pStyle w:val="TOC2"/>
            <w:tabs>
              <w:tab w:val="right" w:leader="dot" w:pos="8990"/>
            </w:tabs>
            <w:rPr>
              <w:rFonts w:asciiTheme="minorHAnsi" w:eastAsiaTheme="minorEastAsia" w:hAnsiTheme="minorHAnsi" w:cstheme="minorBidi"/>
              <w:noProof/>
              <w:sz w:val="22"/>
              <w:szCs w:val="22"/>
              <w:lang w:eastAsia="en-CA"/>
            </w:rPr>
          </w:pPr>
          <w:hyperlink w:anchor="_Toc18500119" w:history="1">
            <w:r w:rsidR="00952588" w:rsidRPr="00E51AA5">
              <w:rPr>
                <w:rStyle w:val="Hyperlink"/>
                <w:rFonts w:ascii="Arial" w:hAnsi="Arial" w:cs="Arial"/>
                <w:noProof/>
                <w:lang w:val="fr-CA"/>
              </w:rPr>
              <w:t>Conseillers en gestion financière (CGF) et Directeurs régionaux des finances (DRF)</w:t>
            </w:r>
            <w:r w:rsidR="00952588">
              <w:rPr>
                <w:noProof/>
                <w:webHidden/>
              </w:rPr>
              <w:tab/>
            </w:r>
            <w:r w:rsidR="00952588">
              <w:rPr>
                <w:noProof/>
                <w:webHidden/>
              </w:rPr>
              <w:fldChar w:fldCharType="begin"/>
            </w:r>
            <w:r w:rsidR="00952588">
              <w:rPr>
                <w:noProof/>
                <w:webHidden/>
              </w:rPr>
              <w:instrText xml:space="preserve"> PAGEREF _Toc18500119 \h </w:instrText>
            </w:r>
            <w:r w:rsidR="00952588">
              <w:rPr>
                <w:noProof/>
                <w:webHidden/>
              </w:rPr>
            </w:r>
            <w:r w:rsidR="00952588">
              <w:rPr>
                <w:noProof/>
                <w:webHidden/>
              </w:rPr>
              <w:fldChar w:fldCharType="separate"/>
            </w:r>
            <w:r w:rsidR="00952588">
              <w:rPr>
                <w:noProof/>
                <w:webHidden/>
              </w:rPr>
              <w:t>8</w:t>
            </w:r>
            <w:r w:rsidR="00952588">
              <w:rPr>
                <w:noProof/>
                <w:webHidden/>
              </w:rPr>
              <w:fldChar w:fldCharType="end"/>
            </w:r>
          </w:hyperlink>
        </w:p>
        <w:p w:rsidR="00952588" w:rsidRDefault="003E6353">
          <w:pPr>
            <w:pStyle w:val="TOC1"/>
            <w:tabs>
              <w:tab w:val="right" w:leader="dot" w:pos="8990"/>
            </w:tabs>
            <w:rPr>
              <w:rFonts w:asciiTheme="minorHAnsi" w:eastAsiaTheme="minorEastAsia" w:hAnsiTheme="minorHAnsi" w:cstheme="minorBidi"/>
              <w:noProof/>
              <w:sz w:val="22"/>
              <w:szCs w:val="22"/>
              <w:lang w:eastAsia="en-CA"/>
            </w:rPr>
          </w:pPr>
          <w:hyperlink w:anchor="_Toc18500120" w:history="1">
            <w:r w:rsidR="00952588" w:rsidRPr="00E51AA5">
              <w:rPr>
                <w:rStyle w:val="Hyperlink"/>
                <w:rFonts w:ascii="Arial" w:hAnsi="Arial" w:cs="Arial"/>
                <w:noProof/>
                <w:lang w:val="fr-CA"/>
              </w:rPr>
              <w:t>3. COMMUNICATION</w:t>
            </w:r>
            <w:r w:rsidR="00952588">
              <w:rPr>
                <w:noProof/>
                <w:webHidden/>
              </w:rPr>
              <w:tab/>
            </w:r>
            <w:r w:rsidR="00952588">
              <w:rPr>
                <w:noProof/>
                <w:webHidden/>
              </w:rPr>
              <w:fldChar w:fldCharType="begin"/>
            </w:r>
            <w:r w:rsidR="00952588">
              <w:rPr>
                <w:noProof/>
                <w:webHidden/>
              </w:rPr>
              <w:instrText xml:space="preserve"> PAGEREF _Toc18500120 \h </w:instrText>
            </w:r>
            <w:r w:rsidR="00952588">
              <w:rPr>
                <w:noProof/>
                <w:webHidden/>
              </w:rPr>
            </w:r>
            <w:r w:rsidR="00952588">
              <w:rPr>
                <w:noProof/>
                <w:webHidden/>
              </w:rPr>
              <w:fldChar w:fldCharType="separate"/>
            </w:r>
            <w:r w:rsidR="00952588">
              <w:rPr>
                <w:noProof/>
                <w:webHidden/>
              </w:rPr>
              <w:t>9</w:t>
            </w:r>
            <w:r w:rsidR="00952588">
              <w:rPr>
                <w:noProof/>
                <w:webHidden/>
              </w:rPr>
              <w:fldChar w:fldCharType="end"/>
            </w:r>
          </w:hyperlink>
        </w:p>
        <w:p w:rsidR="00952588" w:rsidRDefault="003E6353">
          <w:pPr>
            <w:pStyle w:val="TOC1"/>
            <w:tabs>
              <w:tab w:val="right" w:leader="dot" w:pos="8990"/>
            </w:tabs>
            <w:rPr>
              <w:rFonts w:asciiTheme="minorHAnsi" w:eastAsiaTheme="minorEastAsia" w:hAnsiTheme="minorHAnsi" w:cstheme="minorBidi"/>
              <w:noProof/>
              <w:sz w:val="22"/>
              <w:szCs w:val="22"/>
              <w:lang w:eastAsia="en-CA"/>
            </w:rPr>
          </w:pPr>
          <w:hyperlink w:anchor="_Toc18500121" w:history="1">
            <w:r w:rsidR="00952588" w:rsidRPr="00E51AA5">
              <w:rPr>
                <w:rStyle w:val="Hyperlink"/>
                <w:rFonts w:ascii="Arial" w:hAnsi="Arial" w:cs="Arial"/>
                <w:noProof/>
                <w:lang w:val="fr-CA"/>
              </w:rPr>
              <w:t>4. NIVEAUX D’APPROBATION</w:t>
            </w:r>
            <w:r w:rsidR="00952588">
              <w:rPr>
                <w:noProof/>
                <w:webHidden/>
              </w:rPr>
              <w:tab/>
            </w:r>
            <w:r w:rsidR="00952588">
              <w:rPr>
                <w:noProof/>
                <w:webHidden/>
              </w:rPr>
              <w:fldChar w:fldCharType="begin"/>
            </w:r>
            <w:r w:rsidR="00952588">
              <w:rPr>
                <w:noProof/>
                <w:webHidden/>
              </w:rPr>
              <w:instrText xml:space="preserve"> PAGEREF _Toc18500121 \h </w:instrText>
            </w:r>
            <w:r w:rsidR="00952588">
              <w:rPr>
                <w:noProof/>
                <w:webHidden/>
              </w:rPr>
            </w:r>
            <w:r w:rsidR="00952588">
              <w:rPr>
                <w:noProof/>
                <w:webHidden/>
              </w:rPr>
              <w:fldChar w:fldCharType="separate"/>
            </w:r>
            <w:r w:rsidR="00952588">
              <w:rPr>
                <w:noProof/>
                <w:webHidden/>
              </w:rPr>
              <w:t>10</w:t>
            </w:r>
            <w:r w:rsidR="00952588">
              <w:rPr>
                <w:noProof/>
                <w:webHidden/>
              </w:rPr>
              <w:fldChar w:fldCharType="end"/>
            </w:r>
          </w:hyperlink>
        </w:p>
        <w:p w:rsidR="00952588" w:rsidRDefault="003E6353">
          <w:pPr>
            <w:pStyle w:val="TOC1"/>
            <w:tabs>
              <w:tab w:val="right" w:leader="dot" w:pos="8990"/>
            </w:tabs>
            <w:rPr>
              <w:rFonts w:asciiTheme="minorHAnsi" w:eastAsiaTheme="minorEastAsia" w:hAnsiTheme="minorHAnsi" w:cstheme="minorBidi"/>
              <w:noProof/>
              <w:sz w:val="22"/>
              <w:szCs w:val="22"/>
              <w:lang w:eastAsia="en-CA"/>
            </w:rPr>
          </w:pPr>
          <w:hyperlink w:anchor="_Toc18500122" w:history="1">
            <w:r w:rsidR="00952588" w:rsidRPr="00E51AA5">
              <w:rPr>
                <w:rStyle w:val="Hyperlink"/>
                <w:rFonts w:ascii="Arial" w:hAnsi="Arial" w:cs="Arial"/>
                <w:noProof/>
                <w:lang w:val="fr-CA"/>
              </w:rPr>
              <w:t>ANNEXE A – Détails des entrées dans FMBB</w:t>
            </w:r>
            <w:r w:rsidR="00952588">
              <w:rPr>
                <w:noProof/>
                <w:webHidden/>
              </w:rPr>
              <w:tab/>
            </w:r>
            <w:r w:rsidR="00952588">
              <w:rPr>
                <w:noProof/>
                <w:webHidden/>
              </w:rPr>
              <w:fldChar w:fldCharType="begin"/>
            </w:r>
            <w:r w:rsidR="00952588">
              <w:rPr>
                <w:noProof/>
                <w:webHidden/>
              </w:rPr>
              <w:instrText xml:space="preserve"> PAGEREF _Toc18500122 \h </w:instrText>
            </w:r>
            <w:r w:rsidR="00952588">
              <w:rPr>
                <w:noProof/>
                <w:webHidden/>
              </w:rPr>
            </w:r>
            <w:r w:rsidR="00952588">
              <w:rPr>
                <w:noProof/>
                <w:webHidden/>
              </w:rPr>
              <w:fldChar w:fldCharType="separate"/>
            </w:r>
            <w:r w:rsidR="00952588">
              <w:rPr>
                <w:noProof/>
                <w:webHidden/>
              </w:rPr>
              <w:t>12</w:t>
            </w:r>
            <w:r w:rsidR="00952588">
              <w:rPr>
                <w:noProof/>
                <w:webHidden/>
              </w:rPr>
              <w:fldChar w:fldCharType="end"/>
            </w:r>
          </w:hyperlink>
        </w:p>
        <w:p w:rsidR="00885DBF" w:rsidRDefault="00885DBF">
          <w:r>
            <w:rPr>
              <w:b/>
              <w:bCs/>
              <w:noProof/>
            </w:rPr>
            <w:fldChar w:fldCharType="end"/>
          </w:r>
        </w:p>
      </w:sdtContent>
    </w:sdt>
    <w:p w:rsidR="00885DBF" w:rsidRDefault="00885DBF" w:rsidP="007D55D6">
      <w:pPr>
        <w:pStyle w:val="Heading1"/>
        <w:spacing w:line="276" w:lineRule="auto"/>
        <w:rPr>
          <w:rFonts w:ascii="Arial" w:hAnsi="Arial" w:cs="Arial"/>
          <w:sz w:val="20"/>
          <w:szCs w:val="20"/>
          <w:lang w:val="fr-CA"/>
        </w:rPr>
      </w:pPr>
    </w:p>
    <w:p w:rsidR="00885DBF" w:rsidRDefault="00885DBF" w:rsidP="007D55D6">
      <w:pPr>
        <w:pStyle w:val="Heading1"/>
        <w:spacing w:line="276" w:lineRule="auto"/>
        <w:rPr>
          <w:rFonts w:ascii="Arial" w:hAnsi="Arial" w:cs="Arial"/>
          <w:sz w:val="20"/>
          <w:szCs w:val="20"/>
          <w:lang w:val="fr-CA"/>
        </w:rPr>
      </w:pPr>
    </w:p>
    <w:p w:rsidR="00885DBF" w:rsidRDefault="00885DBF" w:rsidP="007D55D6">
      <w:pPr>
        <w:pStyle w:val="Heading1"/>
        <w:spacing w:line="276" w:lineRule="auto"/>
        <w:rPr>
          <w:rFonts w:ascii="Arial" w:hAnsi="Arial" w:cs="Arial"/>
          <w:sz w:val="20"/>
          <w:szCs w:val="20"/>
          <w:lang w:val="fr-CA"/>
        </w:rPr>
      </w:pPr>
    </w:p>
    <w:p w:rsidR="00885DBF" w:rsidRDefault="00885DBF" w:rsidP="007D55D6">
      <w:pPr>
        <w:pStyle w:val="Heading1"/>
        <w:spacing w:line="276" w:lineRule="auto"/>
        <w:rPr>
          <w:rFonts w:ascii="Arial" w:hAnsi="Arial" w:cs="Arial"/>
          <w:sz w:val="20"/>
          <w:szCs w:val="20"/>
          <w:lang w:val="fr-CA"/>
        </w:rPr>
      </w:pPr>
    </w:p>
    <w:p w:rsidR="00885DBF" w:rsidRDefault="00885DBF" w:rsidP="00885DBF">
      <w:pPr>
        <w:rPr>
          <w:lang w:val="fr-CA"/>
        </w:rPr>
      </w:pPr>
    </w:p>
    <w:p w:rsidR="00885DBF" w:rsidRDefault="00885DBF" w:rsidP="00885DBF">
      <w:pPr>
        <w:rPr>
          <w:lang w:val="fr-CA"/>
        </w:rPr>
      </w:pPr>
    </w:p>
    <w:p w:rsidR="00885DBF" w:rsidRPr="00885DBF" w:rsidRDefault="00885DBF" w:rsidP="00885DBF">
      <w:pPr>
        <w:rPr>
          <w:lang w:val="fr-CA"/>
        </w:rPr>
      </w:pPr>
    </w:p>
    <w:p w:rsidR="007D55D6" w:rsidRPr="00717A03" w:rsidRDefault="007D55D6" w:rsidP="007D55D6">
      <w:pPr>
        <w:pStyle w:val="Heading1"/>
        <w:spacing w:line="276" w:lineRule="auto"/>
        <w:rPr>
          <w:rFonts w:ascii="Arial" w:hAnsi="Arial" w:cs="Arial"/>
          <w:sz w:val="20"/>
          <w:szCs w:val="20"/>
          <w:lang w:val="fr-CA"/>
        </w:rPr>
      </w:pPr>
      <w:bookmarkStart w:id="0" w:name="_Toc18500107"/>
      <w:r w:rsidRPr="00717A03">
        <w:rPr>
          <w:rFonts w:ascii="Arial" w:hAnsi="Arial" w:cs="Arial"/>
          <w:sz w:val="20"/>
          <w:szCs w:val="20"/>
          <w:lang w:val="fr-CA"/>
        </w:rPr>
        <w:lastRenderedPageBreak/>
        <w:t>C</w:t>
      </w:r>
      <w:r>
        <w:rPr>
          <w:rFonts w:ascii="Arial" w:hAnsi="Arial" w:cs="Arial"/>
          <w:sz w:val="20"/>
          <w:szCs w:val="20"/>
          <w:lang w:val="fr-CA"/>
        </w:rPr>
        <w:t>ONTEXTE</w:t>
      </w:r>
      <w:bookmarkEnd w:id="0"/>
    </w:p>
    <w:p w:rsidR="007D55D6" w:rsidRPr="00717A03" w:rsidRDefault="007D55D6" w:rsidP="007D55D6">
      <w:pPr>
        <w:spacing w:line="276" w:lineRule="auto"/>
        <w:rPr>
          <w:rFonts w:ascii="Arial" w:hAnsi="Arial" w:cs="Arial"/>
          <w:b/>
          <w:sz w:val="20"/>
          <w:szCs w:val="20"/>
          <w:lang w:val="fr-CA"/>
        </w:rPr>
      </w:pPr>
    </w:p>
    <w:p w:rsidR="007D55D6" w:rsidRDefault="007D55D6" w:rsidP="007D55D6">
      <w:pPr>
        <w:spacing w:line="276" w:lineRule="auto"/>
        <w:rPr>
          <w:rFonts w:ascii="Arial" w:hAnsi="Arial" w:cs="Arial"/>
          <w:sz w:val="20"/>
          <w:szCs w:val="20"/>
          <w:lang w:val="fr-CA"/>
        </w:rPr>
      </w:pPr>
      <w:r w:rsidRPr="00717A03">
        <w:rPr>
          <w:rFonts w:ascii="Arial" w:hAnsi="Arial" w:cs="Arial"/>
          <w:sz w:val="20"/>
          <w:szCs w:val="20"/>
          <w:lang w:val="fr-CA"/>
        </w:rPr>
        <w:t xml:space="preserve">Le but du présent document est de décrire le processus de </w:t>
      </w:r>
      <w:r w:rsidR="005B6150">
        <w:rPr>
          <w:rFonts w:ascii="Arial" w:hAnsi="Arial" w:cs="Arial"/>
          <w:sz w:val="20"/>
          <w:szCs w:val="20"/>
          <w:lang w:val="fr-CA"/>
        </w:rPr>
        <w:t>transferts budgétaires</w:t>
      </w:r>
      <w:r w:rsidRPr="00717A03">
        <w:rPr>
          <w:rFonts w:ascii="Arial" w:hAnsi="Arial" w:cs="Arial"/>
          <w:sz w:val="20"/>
          <w:szCs w:val="20"/>
          <w:lang w:val="fr-CA"/>
        </w:rPr>
        <w:t xml:space="preserve"> </w:t>
      </w:r>
      <w:r w:rsidR="007D7E8A">
        <w:rPr>
          <w:rFonts w:ascii="Arial" w:hAnsi="Arial" w:cs="Arial"/>
          <w:sz w:val="20"/>
          <w:szCs w:val="20"/>
          <w:lang w:val="fr-CA"/>
        </w:rPr>
        <w:t xml:space="preserve">dans </w:t>
      </w:r>
      <w:r w:rsidR="007D7E8A" w:rsidRPr="007D7E8A">
        <w:rPr>
          <w:rFonts w:ascii="Arial" w:hAnsi="Arial" w:cs="Arial"/>
          <w:sz w:val="20"/>
          <w:szCs w:val="20"/>
          <w:lang w:val="fr-CA"/>
        </w:rPr>
        <w:t xml:space="preserve">maSGE </w:t>
      </w:r>
      <w:r w:rsidR="007D7E8A">
        <w:rPr>
          <w:rFonts w:ascii="Arial" w:hAnsi="Arial" w:cs="Arial"/>
          <w:sz w:val="20"/>
          <w:szCs w:val="20"/>
          <w:lang w:val="fr-CA"/>
        </w:rPr>
        <w:t xml:space="preserve">(SAP) </w:t>
      </w:r>
      <w:r w:rsidRPr="00717A03">
        <w:rPr>
          <w:rFonts w:ascii="Arial" w:hAnsi="Arial" w:cs="Arial"/>
          <w:sz w:val="20"/>
          <w:szCs w:val="20"/>
          <w:lang w:val="fr-CA"/>
        </w:rPr>
        <w:t>pour les ressources de fonctionnement</w:t>
      </w:r>
      <w:r w:rsidR="005B6150">
        <w:rPr>
          <w:rFonts w:ascii="Arial" w:hAnsi="Arial" w:cs="Arial"/>
          <w:sz w:val="20"/>
          <w:szCs w:val="20"/>
          <w:lang w:val="fr-CA"/>
        </w:rPr>
        <w:t xml:space="preserve"> et</w:t>
      </w:r>
      <w:r w:rsidRPr="00717A03">
        <w:rPr>
          <w:rFonts w:ascii="Arial" w:hAnsi="Arial" w:cs="Arial"/>
          <w:sz w:val="20"/>
          <w:szCs w:val="20"/>
          <w:lang w:val="fr-CA"/>
        </w:rPr>
        <w:t xml:space="preserve"> les fonds de programmes</w:t>
      </w:r>
      <w:r>
        <w:rPr>
          <w:rFonts w:ascii="Arial" w:hAnsi="Arial" w:cs="Arial"/>
          <w:sz w:val="20"/>
          <w:szCs w:val="20"/>
          <w:lang w:val="fr-CA"/>
        </w:rPr>
        <w:t xml:space="preserve"> (S&amp;C)</w:t>
      </w:r>
      <w:r w:rsidR="00110973">
        <w:rPr>
          <w:rFonts w:ascii="Arial" w:hAnsi="Arial" w:cs="Arial"/>
          <w:sz w:val="20"/>
          <w:szCs w:val="20"/>
          <w:lang w:val="fr-CA"/>
        </w:rPr>
        <w:t>. Il présente également</w:t>
      </w:r>
      <w:r>
        <w:rPr>
          <w:rFonts w:ascii="Arial" w:hAnsi="Arial" w:cs="Arial"/>
          <w:sz w:val="20"/>
          <w:szCs w:val="20"/>
          <w:lang w:val="fr-CA"/>
        </w:rPr>
        <w:t xml:space="preserve"> </w:t>
      </w:r>
      <w:r w:rsidRPr="00717A03">
        <w:rPr>
          <w:rFonts w:ascii="Arial" w:hAnsi="Arial" w:cs="Arial"/>
          <w:sz w:val="20"/>
          <w:szCs w:val="20"/>
          <w:lang w:val="fr-CA"/>
        </w:rPr>
        <w:t xml:space="preserve">les rôles et responsabilités des différents groupes concernés </w:t>
      </w:r>
      <w:r w:rsidR="00110973">
        <w:rPr>
          <w:rFonts w:ascii="Arial" w:hAnsi="Arial" w:cs="Arial"/>
          <w:sz w:val="20"/>
          <w:szCs w:val="20"/>
          <w:lang w:val="fr-CA"/>
        </w:rPr>
        <w:t>afin de</w:t>
      </w:r>
      <w:r w:rsidRPr="00717A03">
        <w:rPr>
          <w:rFonts w:ascii="Arial" w:hAnsi="Arial" w:cs="Arial"/>
          <w:sz w:val="20"/>
          <w:szCs w:val="20"/>
          <w:lang w:val="fr-CA"/>
        </w:rPr>
        <w:t xml:space="preserve"> faciliter le processus de gestion des ressources entre les directions générales, les régions et les secteurs d’activité. </w:t>
      </w:r>
    </w:p>
    <w:p w:rsidR="007D55D6" w:rsidRPr="00292308" w:rsidRDefault="007D55D6" w:rsidP="007D55D6">
      <w:pPr>
        <w:spacing w:line="276" w:lineRule="auto"/>
        <w:rPr>
          <w:rFonts w:ascii="Arial" w:hAnsi="Arial" w:cs="Arial"/>
          <w:sz w:val="20"/>
          <w:szCs w:val="20"/>
          <w:lang w:val="fr-CA"/>
        </w:rPr>
      </w:pPr>
    </w:p>
    <w:p w:rsidR="007D55D6" w:rsidRPr="00717A03" w:rsidRDefault="00D71FE5" w:rsidP="007D55D6">
      <w:pPr>
        <w:spacing w:line="276" w:lineRule="auto"/>
        <w:rPr>
          <w:rFonts w:ascii="Arial" w:hAnsi="Arial" w:cs="Arial"/>
          <w:sz w:val="20"/>
          <w:szCs w:val="20"/>
          <w:lang w:val="fr-CA"/>
        </w:rPr>
      </w:pPr>
      <w:r>
        <w:rPr>
          <w:rFonts w:ascii="Arial" w:hAnsi="Arial" w:cs="Arial"/>
          <w:sz w:val="20"/>
          <w:szCs w:val="20"/>
          <w:lang w:val="fr-CA"/>
        </w:rPr>
        <w:t xml:space="preserve">Une fois que le conseil de gestion du portefeuille (CGP) </w:t>
      </w:r>
      <w:r w:rsidR="00157992">
        <w:rPr>
          <w:rFonts w:ascii="Arial" w:hAnsi="Arial" w:cs="Arial"/>
          <w:sz w:val="20"/>
          <w:szCs w:val="20"/>
          <w:lang w:val="fr-CA"/>
        </w:rPr>
        <w:t>a approuvé</w:t>
      </w:r>
      <w:r>
        <w:rPr>
          <w:rFonts w:ascii="Arial" w:hAnsi="Arial" w:cs="Arial"/>
          <w:sz w:val="20"/>
          <w:szCs w:val="20"/>
          <w:lang w:val="fr-CA"/>
        </w:rPr>
        <w:t xml:space="preserve"> </w:t>
      </w:r>
      <w:r w:rsidR="00157992">
        <w:rPr>
          <w:rFonts w:ascii="Arial" w:hAnsi="Arial" w:cs="Arial"/>
          <w:sz w:val="20"/>
          <w:szCs w:val="20"/>
          <w:lang w:val="fr-CA"/>
        </w:rPr>
        <w:t xml:space="preserve">la présentation de </w:t>
      </w:r>
      <w:r>
        <w:rPr>
          <w:rFonts w:ascii="Arial" w:hAnsi="Arial" w:cs="Arial"/>
          <w:sz w:val="20"/>
          <w:szCs w:val="20"/>
          <w:lang w:val="fr-CA"/>
        </w:rPr>
        <w:t>l</w:t>
      </w:r>
      <w:r w:rsidR="007D55D6" w:rsidRPr="00717A03">
        <w:rPr>
          <w:rFonts w:ascii="Arial" w:hAnsi="Arial" w:cs="Arial"/>
          <w:sz w:val="20"/>
          <w:szCs w:val="20"/>
          <w:lang w:val="fr-CA"/>
        </w:rPr>
        <w:t>’allocation budgétaire initiale</w:t>
      </w:r>
      <w:r w:rsidR="00157992">
        <w:rPr>
          <w:rFonts w:ascii="Arial" w:hAnsi="Arial" w:cs="Arial"/>
          <w:sz w:val="20"/>
          <w:szCs w:val="20"/>
          <w:lang w:val="fr-CA"/>
        </w:rPr>
        <w:t>, la g</w:t>
      </w:r>
      <w:r w:rsidR="00157992" w:rsidRPr="00717A03">
        <w:rPr>
          <w:rFonts w:ascii="Arial" w:hAnsi="Arial" w:cs="Arial"/>
          <w:sz w:val="20"/>
          <w:szCs w:val="20"/>
          <w:lang w:val="fr-CA"/>
        </w:rPr>
        <w:t>estion des ressources ministérielles (GRM)</w:t>
      </w:r>
      <w:r w:rsidR="007D55D6" w:rsidRPr="00717A03">
        <w:rPr>
          <w:rFonts w:ascii="Arial" w:hAnsi="Arial" w:cs="Arial"/>
          <w:sz w:val="20"/>
          <w:szCs w:val="20"/>
          <w:lang w:val="fr-CA"/>
        </w:rPr>
        <w:t xml:space="preserve"> </w:t>
      </w:r>
      <w:r w:rsidR="00157992">
        <w:rPr>
          <w:rFonts w:ascii="Arial" w:hAnsi="Arial" w:cs="Arial"/>
          <w:sz w:val="20"/>
          <w:szCs w:val="20"/>
          <w:lang w:val="fr-CA"/>
        </w:rPr>
        <w:t xml:space="preserve">enregistre les données </w:t>
      </w:r>
      <w:r w:rsidR="007D55D6" w:rsidRPr="00717A03">
        <w:rPr>
          <w:rFonts w:ascii="Arial" w:hAnsi="Arial" w:cs="Arial"/>
          <w:sz w:val="20"/>
          <w:szCs w:val="20"/>
          <w:lang w:val="fr-CA"/>
        </w:rPr>
        <w:t>dans maSGE</w:t>
      </w:r>
      <w:r w:rsidR="007D7E8A">
        <w:rPr>
          <w:rFonts w:ascii="Arial" w:hAnsi="Arial" w:cs="Arial"/>
          <w:sz w:val="20"/>
          <w:szCs w:val="20"/>
          <w:lang w:val="fr-CA"/>
        </w:rPr>
        <w:t xml:space="preserve"> (SAP)</w:t>
      </w:r>
      <w:r w:rsidR="007D55D6" w:rsidRPr="00717A03">
        <w:rPr>
          <w:rFonts w:ascii="Arial" w:hAnsi="Arial" w:cs="Arial"/>
          <w:sz w:val="20"/>
          <w:szCs w:val="20"/>
          <w:lang w:val="fr-CA"/>
        </w:rPr>
        <w:t xml:space="preserve"> et</w:t>
      </w:r>
      <w:r w:rsidR="00157992">
        <w:rPr>
          <w:rFonts w:ascii="Arial" w:hAnsi="Arial" w:cs="Arial"/>
          <w:sz w:val="20"/>
          <w:szCs w:val="20"/>
          <w:lang w:val="fr-CA"/>
        </w:rPr>
        <w:t xml:space="preserve"> les extrait afin de générer </w:t>
      </w:r>
      <w:r w:rsidR="007D7E8A">
        <w:rPr>
          <w:rFonts w:ascii="Arial" w:hAnsi="Arial" w:cs="Arial"/>
          <w:sz w:val="20"/>
          <w:szCs w:val="20"/>
          <w:lang w:val="fr-CA"/>
        </w:rPr>
        <w:t xml:space="preserve">deux </w:t>
      </w:r>
      <w:r w:rsidR="007D55D6">
        <w:rPr>
          <w:rFonts w:ascii="Arial" w:hAnsi="Arial" w:cs="Arial"/>
          <w:sz w:val="20"/>
          <w:szCs w:val="20"/>
          <w:lang w:val="fr-CA"/>
        </w:rPr>
        <w:t xml:space="preserve">rapports de </w:t>
      </w:r>
      <w:r w:rsidR="007D55D6" w:rsidRPr="00717A03">
        <w:rPr>
          <w:rFonts w:ascii="Arial" w:hAnsi="Arial" w:cs="Arial"/>
          <w:sz w:val="20"/>
          <w:szCs w:val="20"/>
          <w:lang w:val="fr-CA"/>
        </w:rPr>
        <w:t xml:space="preserve">calcul des budgets de base </w:t>
      </w:r>
      <w:r w:rsidR="007D55D6">
        <w:rPr>
          <w:rFonts w:ascii="Arial" w:hAnsi="Arial" w:cs="Arial"/>
          <w:sz w:val="20"/>
          <w:szCs w:val="20"/>
          <w:lang w:val="fr-CA"/>
        </w:rPr>
        <w:t>(</w:t>
      </w:r>
      <w:r w:rsidR="006C0950">
        <w:rPr>
          <w:rFonts w:ascii="Arial" w:hAnsi="Arial" w:cs="Arial"/>
          <w:sz w:val="20"/>
          <w:szCs w:val="20"/>
          <w:lang w:val="fr-CA"/>
        </w:rPr>
        <w:t xml:space="preserve">Fonctionnement </w:t>
      </w:r>
      <w:r w:rsidR="007D55D6">
        <w:rPr>
          <w:rFonts w:ascii="Arial" w:hAnsi="Arial" w:cs="Arial"/>
          <w:sz w:val="20"/>
          <w:szCs w:val="20"/>
          <w:lang w:val="fr-CA"/>
        </w:rPr>
        <w:t xml:space="preserve">et S&amp;C) </w:t>
      </w:r>
      <w:r w:rsidR="007D55D6" w:rsidRPr="00717A03">
        <w:rPr>
          <w:rFonts w:ascii="Arial" w:hAnsi="Arial" w:cs="Arial"/>
          <w:sz w:val="20"/>
          <w:szCs w:val="20"/>
          <w:lang w:val="fr-CA"/>
        </w:rPr>
        <w:t xml:space="preserve">au début de l’exercice </w:t>
      </w:r>
      <w:r w:rsidR="00157992">
        <w:rPr>
          <w:rFonts w:ascii="Arial" w:hAnsi="Arial" w:cs="Arial"/>
          <w:sz w:val="20"/>
          <w:szCs w:val="20"/>
          <w:lang w:val="fr-CA"/>
        </w:rPr>
        <w:t xml:space="preserve">financier. </w:t>
      </w:r>
      <w:r w:rsidR="007D7E8A">
        <w:rPr>
          <w:rFonts w:ascii="Arial" w:hAnsi="Arial" w:cs="Arial"/>
          <w:sz w:val="20"/>
          <w:szCs w:val="20"/>
          <w:lang w:val="fr-CA"/>
        </w:rPr>
        <w:t xml:space="preserve">Subséquemment, </w:t>
      </w:r>
      <w:r w:rsidR="00FF0DAC">
        <w:rPr>
          <w:rFonts w:ascii="Arial" w:hAnsi="Arial" w:cs="Arial"/>
          <w:sz w:val="20"/>
          <w:szCs w:val="20"/>
          <w:lang w:val="fr-CA"/>
        </w:rPr>
        <w:t>m</w:t>
      </w:r>
      <w:r w:rsidR="007D55D6" w:rsidRPr="00717A03">
        <w:rPr>
          <w:rFonts w:ascii="Arial" w:hAnsi="Arial" w:cs="Arial"/>
          <w:sz w:val="20"/>
          <w:szCs w:val="20"/>
          <w:lang w:val="fr-CA"/>
        </w:rPr>
        <w:t>aSGE</w:t>
      </w:r>
      <w:r w:rsidR="00FF0DAC">
        <w:rPr>
          <w:rFonts w:ascii="Arial" w:hAnsi="Arial" w:cs="Arial"/>
          <w:sz w:val="20"/>
          <w:szCs w:val="20"/>
          <w:lang w:val="fr-CA"/>
        </w:rPr>
        <w:t xml:space="preserve"> (SAP)</w:t>
      </w:r>
      <w:r w:rsidR="007D55D6">
        <w:rPr>
          <w:rFonts w:ascii="Arial" w:hAnsi="Arial" w:cs="Arial"/>
          <w:sz w:val="20"/>
          <w:szCs w:val="20"/>
          <w:lang w:val="fr-CA"/>
        </w:rPr>
        <w:t xml:space="preserve"> et </w:t>
      </w:r>
      <w:r w:rsidR="00157992">
        <w:rPr>
          <w:rFonts w:ascii="Arial" w:hAnsi="Arial" w:cs="Arial"/>
          <w:sz w:val="20"/>
          <w:szCs w:val="20"/>
          <w:lang w:val="fr-CA"/>
        </w:rPr>
        <w:t xml:space="preserve">les </w:t>
      </w:r>
      <w:r w:rsidR="007D55D6">
        <w:rPr>
          <w:rFonts w:ascii="Arial" w:hAnsi="Arial" w:cs="Arial"/>
          <w:sz w:val="20"/>
          <w:szCs w:val="20"/>
          <w:lang w:val="fr-CA"/>
        </w:rPr>
        <w:t xml:space="preserve">rapports de </w:t>
      </w:r>
      <w:r w:rsidR="007D55D6" w:rsidRPr="00717A03">
        <w:rPr>
          <w:rFonts w:ascii="Arial" w:hAnsi="Arial" w:cs="Arial"/>
          <w:sz w:val="20"/>
          <w:szCs w:val="20"/>
          <w:lang w:val="fr-CA"/>
        </w:rPr>
        <w:t xml:space="preserve">calcul des budgets de base sont mis à jour </w:t>
      </w:r>
      <w:r w:rsidR="00157992">
        <w:rPr>
          <w:rFonts w:ascii="Arial" w:hAnsi="Arial" w:cs="Arial"/>
          <w:sz w:val="20"/>
          <w:szCs w:val="20"/>
          <w:lang w:val="fr-CA"/>
        </w:rPr>
        <w:t>mensuellement</w:t>
      </w:r>
      <w:r w:rsidR="007D55D6" w:rsidRPr="00717A03">
        <w:rPr>
          <w:rFonts w:ascii="Arial" w:hAnsi="Arial" w:cs="Arial"/>
          <w:sz w:val="20"/>
          <w:szCs w:val="20"/>
          <w:lang w:val="fr-CA"/>
        </w:rPr>
        <w:t xml:space="preserve"> </w:t>
      </w:r>
      <w:r w:rsidR="00BF14F3">
        <w:rPr>
          <w:rFonts w:ascii="Arial" w:hAnsi="Arial" w:cs="Arial"/>
          <w:sz w:val="20"/>
          <w:szCs w:val="20"/>
          <w:lang w:val="fr-CA"/>
        </w:rPr>
        <w:t>pour</w:t>
      </w:r>
      <w:r w:rsidR="007D55D6" w:rsidRPr="00717A03">
        <w:rPr>
          <w:rFonts w:ascii="Arial" w:hAnsi="Arial" w:cs="Arial"/>
          <w:sz w:val="20"/>
          <w:szCs w:val="20"/>
          <w:lang w:val="fr-CA"/>
        </w:rPr>
        <w:t xml:space="preserve"> refléter les nouvelles décisions en matière de financement, les augmentations/diminutions des niveaux de références, les gels, les réaffectations de fonds et les transferts entre les directions générales, les régions et les secteurs d’activité. </w:t>
      </w:r>
    </w:p>
    <w:p w:rsidR="007D55D6" w:rsidRPr="00214184" w:rsidRDefault="007D55D6" w:rsidP="007D55D6">
      <w:pPr>
        <w:spacing w:line="276" w:lineRule="auto"/>
        <w:rPr>
          <w:rFonts w:ascii="Arial" w:hAnsi="Arial" w:cs="Arial"/>
          <w:sz w:val="20"/>
          <w:szCs w:val="20"/>
          <w:lang w:val="fr-CA"/>
        </w:rPr>
      </w:pPr>
    </w:p>
    <w:p w:rsidR="007D55D6" w:rsidRPr="00292308" w:rsidRDefault="007D55D6" w:rsidP="007D55D6">
      <w:pPr>
        <w:spacing w:line="276" w:lineRule="auto"/>
        <w:rPr>
          <w:rFonts w:ascii="Arial" w:hAnsi="Arial" w:cs="Arial"/>
          <w:sz w:val="20"/>
          <w:szCs w:val="20"/>
          <w:lang w:val="fr-CA"/>
        </w:rPr>
      </w:pPr>
      <w:r>
        <w:rPr>
          <w:rFonts w:ascii="Arial" w:hAnsi="Arial" w:cs="Arial"/>
          <w:sz w:val="20"/>
          <w:szCs w:val="20"/>
          <w:lang w:val="fr-CA"/>
        </w:rPr>
        <w:t>La GRM fournira</w:t>
      </w:r>
      <w:r w:rsidR="007355AD">
        <w:rPr>
          <w:rFonts w:ascii="Arial" w:hAnsi="Arial" w:cs="Arial"/>
          <w:sz w:val="20"/>
          <w:szCs w:val="20"/>
          <w:lang w:val="fr-CA"/>
        </w:rPr>
        <w:t xml:space="preserve"> </w:t>
      </w:r>
      <w:r>
        <w:rPr>
          <w:rFonts w:ascii="Arial" w:hAnsi="Arial" w:cs="Arial"/>
          <w:sz w:val="20"/>
          <w:szCs w:val="20"/>
          <w:lang w:val="fr-CA"/>
        </w:rPr>
        <w:t xml:space="preserve">le rapport </w:t>
      </w:r>
      <w:r w:rsidR="007355AD">
        <w:rPr>
          <w:rFonts w:ascii="Arial" w:hAnsi="Arial" w:cs="Arial"/>
          <w:sz w:val="20"/>
          <w:szCs w:val="20"/>
          <w:lang w:val="fr-CA"/>
        </w:rPr>
        <w:t xml:space="preserve">mensuel </w:t>
      </w:r>
      <w:r>
        <w:rPr>
          <w:rFonts w:ascii="Arial" w:hAnsi="Arial" w:cs="Arial"/>
          <w:sz w:val="20"/>
          <w:szCs w:val="20"/>
          <w:lang w:val="fr-CA"/>
        </w:rPr>
        <w:t xml:space="preserve">de </w:t>
      </w:r>
      <w:r w:rsidRPr="00717A03">
        <w:rPr>
          <w:rFonts w:ascii="Arial" w:hAnsi="Arial" w:cs="Arial"/>
          <w:sz w:val="20"/>
          <w:szCs w:val="20"/>
          <w:lang w:val="fr-CA"/>
        </w:rPr>
        <w:t>calcul des budgets de base</w:t>
      </w:r>
      <w:r w:rsidR="007355AD">
        <w:rPr>
          <w:rFonts w:ascii="Arial" w:hAnsi="Arial" w:cs="Arial"/>
          <w:sz w:val="20"/>
          <w:szCs w:val="20"/>
          <w:lang w:val="fr-CA"/>
        </w:rPr>
        <w:t>,</w:t>
      </w:r>
      <w:r w:rsidRPr="00717A03">
        <w:rPr>
          <w:rFonts w:ascii="Arial" w:hAnsi="Arial" w:cs="Arial"/>
          <w:sz w:val="20"/>
          <w:szCs w:val="20"/>
          <w:lang w:val="fr-CA"/>
        </w:rPr>
        <w:t xml:space="preserve"> </w:t>
      </w:r>
      <w:r w:rsidRPr="0054649F">
        <w:rPr>
          <w:rFonts w:ascii="Arial" w:hAnsi="Arial" w:cs="Arial"/>
          <w:sz w:val="20"/>
          <w:szCs w:val="20"/>
          <w:lang w:val="fr-CA"/>
        </w:rPr>
        <w:t>qui ser</w:t>
      </w:r>
      <w:r>
        <w:rPr>
          <w:rFonts w:ascii="Arial" w:hAnsi="Arial" w:cs="Arial"/>
          <w:sz w:val="20"/>
          <w:szCs w:val="20"/>
          <w:lang w:val="fr-CA"/>
        </w:rPr>
        <w:t xml:space="preserve">a </w:t>
      </w:r>
      <w:r w:rsidRPr="0054649F">
        <w:rPr>
          <w:rFonts w:ascii="Arial" w:hAnsi="Arial" w:cs="Arial"/>
          <w:sz w:val="20"/>
          <w:szCs w:val="20"/>
          <w:lang w:val="fr-CA"/>
        </w:rPr>
        <w:t>extra</w:t>
      </w:r>
      <w:r>
        <w:rPr>
          <w:rFonts w:ascii="Arial" w:hAnsi="Arial" w:cs="Arial"/>
          <w:sz w:val="20"/>
          <w:szCs w:val="20"/>
          <w:lang w:val="fr-CA"/>
        </w:rPr>
        <w:t>it</w:t>
      </w:r>
      <w:r w:rsidRPr="0054649F">
        <w:rPr>
          <w:rFonts w:ascii="Arial" w:hAnsi="Arial" w:cs="Arial"/>
          <w:sz w:val="20"/>
          <w:szCs w:val="20"/>
          <w:lang w:val="fr-CA"/>
        </w:rPr>
        <w:t xml:space="preserve"> de maSGE</w:t>
      </w:r>
      <w:r w:rsidR="007D7E8A">
        <w:rPr>
          <w:rFonts w:ascii="Arial" w:hAnsi="Arial" w:cs="Arial"/>
          <w:sz w:val="20"/>
          <w:szCs w:val="20"/>
          <w:lang w:val="fr-CA"/>
        </w:rPr>
        <w:t xml:space="preserve"> (SAP)</w:t>
      </w:r>
      <w:r w:rsidRPr="0054649F">
        <w:rPr>
          <w:rFonts w:ascii="Arial" w:hAnsi="Arial" w:cs="Arial"/>
          <w:sz w:val="20"/>
          <w:szCs w:val="20"/>
          <w:lang w:val="fr-CA"/>
        </w:rPr>
        <w:t xml:space="preserve"> et r</w:t>
      </w:r>
      <w:r>
        <w:rPr>
          <w:rFonts w:ascii="Arial" w:hAnsi="Arial" w:cs="Arial"/>
          <w:sz w:val="20"/>
          <w:szCs w:val="20"/>
          <w:lang w:val="fr-CA"/>
        </w:rPr>
        <w:t>approché a</w:t>
      </w:r>
      <w:r w:rsidRPr="0054649F">
        <w:rPr>
          <w:rFonts w:ascii="Arial" w:hAnsi="Arial" w:cs="Arial"/>
          <w:sz w:val="20"/>
          <w:szCs w:val="20"/>
          <w:lang w:val="fr-CA"/>
        </w:rPr>
        <w:t>vec le rapport d'affectation de crédits</w:t>
      </w:r>
      <w:r w:rsidR="00330A72">
        <w:rPr>
          <w:rFonts w:ascii="Arial" w:hAnsi="Arial" w:cs="Arial"/>
          <w:sz w:val="20"/>
          <w:szCs w:val="20"/>
          <w:lang w:val="fr-CA"/>
        </w:rPr>
        <w:t xml:space="preserve"> (RAC) </w:t>
      </w:r>
      <w:r w:rsidR="007355AD">
        <w:rPr>
          <w:rFonts w:ascii="Arial" w:hAnsi="Arial" w:cs="Arial"/>
          <w:sz w:val="20"/>
          <w:szCs w:val="20"/>
          <w:lang w:val="fr-CA"/>
        </w:rPr>
        <w:t>et la mise à jour des niveaux de référence annuel (MAJNR)</w:t>
      </w:r>
      <w:r w:rsidRPr="0054649F">
        <w:rPr>
          <w:rFonts w:ascii="Arial" w:hAnsi="Arial" w:cs="Arial"/>
          <w:sz w:val="20"/>
          <w:szCs w:val="20"/>
          <w:lang w:val="fr-CA"/>
        </w:rPr>
        <w:t xml:space="preserve">.  Les CGF </w:t>
      </w:r>
      <w:r>
        <w:rPr>
          <w:rFonts w:ascii="Arial" w:hAnsi="Arial" w:cs="Arial"/>
          <w:sz w:val="20"/>
          <w:szCs w:val="20"/>
          <w:lang w:val="fr-CA"/>
        </w:rPr>
        <w:t>doivent</w:t>
      </w:r>
      <w:r w:rsidRPr="0054649F">
        <w:rPr>
          <w:rFonts w:ascii="Arial" w:hAnsi="Arial" w:cs="Arial"/>
          <w:sz w:val="20"/>
          <w:szCs w:val="20"/>
          <w:lang w:val="fr-CA"/>
        </w:rPr>
        <w:t xml:space="preserve"> </w:t>
      </w:r>
      <w:r w:rsidR="007D7E8A">
        <w:rPr>
          <w:rFonts w:ascii="Arial" w:hAnsi="Arial" w:cs="Arial"/>
          <w:sz w:val="20"/>
          <w:szCs w:val="20"/>
          <w:lang w:val="fr-CA"/>
        </w:rPr>
        <w:t xml:space="preserve">par la suite </w:t>
      </w:r>
      <w:r>
        <w:rPr>
          <w:rFonts w:ascii="Arial" w:hAnsi="Arial" w:cs="Arial"/>
          <w:sz w:val="20"/>
          <w:szCs w:val="20"/>
          <w:lang w:val="fr-CA"/>
        </w:rPr>
        <w:t>rapprocher</w:t>
      </w:r>
      <w:r w:rsidRPr="0054649F">
        <w:rPr>
          <w:rFonts w:ascii="Arial" w:hAnsi="Arial" w:cs="Arial"/>
          <w:sz w:val="20"/>
          <w:szCs w:val="20"/>
          <w:lang w:val="fr-CA"/>
        </w:rPr>
        <w:t xml:space="preserve"> ce rapport avec </w:t>
      </w:r>
      <w:r w:rsidR="007D7E8A" w:rsidRPr="0054649F">
        <w:rPr>
          <w:rFonts w:ascii="Arial" w:hAnsi="Arial" w:cs="Arial"/>
          <w:sz w:val="20"/>
          <w:szCs w:val="20"/>
          <w:lang w:val="fr-CA"/>
        </w:rPr>
        <w:t>le</w:t>
      </w:r>
      <w:r w:rsidR="007D7E8A">
        <w:rPr>
          <w:rFonts w:ascii="Arial" w:hAnsi="Arial" w:cs="Arial"/>
          <w:sz w:val="20"/>
          <w:szCs w:val="20"/>
          <w:lang w:val="fr-CA"/>
        </w:rPr>
        <w:t xml:space="preserve">s activités </w:t>
      </w:r>
      <w:r w:rsidR="007D7E8A" w:rsidRPr="0054649F">
        <w:rPr>
          <w:rFonts w:ascii="Arial" w:hAnsi="Arial" w:cs="Arial"/>
          <w:sz w:val="20"/>
          <w:szCs w:val="20"/>
          <w:lang w:val="fr-CA"/>
        </w:rPr>
        <w:t>budgétaires</w:t>
      </w:r>
      <w:r w:rsidRPr="0054649F">
        <w:rPr>
          <w:rFonts w:ascii="Arial" w:hAnsi="Arial" w:cs="Arial"/>
          <w:sz w:val="20"/>
          <w:szCs w:val="20"/>
          <w:lang w:val="fr-CA"/>
        </w:rPr>
        <w:t xml:space="preserve"> de leur </w:t>
      </w:r>
      <w:r w:rsidR="007D7E8A">
        <w:rPr>
          <w:rFonts w:ascii="Arial" w:hAnsi="Arial" w:cs="Arial"/>
          <w:sz w:val="20"/>
          <w:szCs w:val="20"/>
          <w:lang w:val="fr-CA"/>
        </w:rPr>
        <w:t>direction générale / région</w:t>
      </w:r>
      <w:r w:rsidRPr="0054649F">
        <w:rPr>
          <w:rFonts w:ascii="Arial" w:hAnsi="Arial" w:cs="Arial"/>
          <w:sz w:val="20"/>
          <w:szCs w:val="20"/>
          <w:lang w:val="fr-CA"/>
        </w:rPr>
        <w:t>.  Toute différence devrait être rapportée à la GRM dès que possible. Le rapport est construit en utilisant des tableaux croisés dynamiques</w:t>
      </w:r>
      <w:r>
        <w:rPr>
          <w:rFonts w:ascii="Arial" w:hAnsi="Arial" w:cs="Arial"/>
          <w:sz w:val="20"/>
          <w:szCs w:val="20"/>
          <w:lang w:val="fr-CA"/>
        </w:rPr>
        <w:t xml:space="preserve"> (pivot table</w:t>
      </w:r>
      <w:r w:rsidR="004A6AE6">
        <w:rPr>
          <w:rFonts w:ascii="Arial" w:hAnsi="Arial" w:cs="Arial"/>
          <w:sz w:val="20"/>
          <w:szCs w:val="20"/>
          <w:lang w:val="fr-CA"/>
        </w:rPr>
        <w:t>s</w:t>
      </w:r>
      <w:r>
        <w:rPr>
          <w:rFonts w:ascii="Arial" w:hAnsi="Arial" w:cs="Arial"/>
          <w:sz w:val="20"/>
          <w:szCs w:val="20"/>
          <w:lang w:val="fr-CA"/>
        </w:rPr>
        <w:t>)</w:t>
      </w:r>
      <w:r w:rsidRPr="0054649F">
        <w:rPr>
          <w:rFonts w:ascii="Arial" w:hAnsi="Arial" w:cs="Arial"/>
          <w:sz w:val="20"/>
          <w:szCs w:val="20"/>
          <w:lang w:val="fr-CA"/>
        </w:rPr>
        <w:t xml:space="preserve"> donc il est important</w:t>
      </w:r>
      <w:r w:rsidR="00E71DDC">
        <w:rPr>
          <w:rFonts w:ascii="Arial" w:hAnsi="Arial" w:cs="Arial"/>
          <w:sz w:val="20"/>
          <w:szCs w:val="20"/>
          <w:lang w:val="fr-CA"/>
        </w:rPr>
        <w:t xml:space="preserve">, lors d’enregistrement de transactions dans </w:t>
      </w:r>
      <w:r w:rsidR="007D7E8A" w:rsidRPr="0054649F">
        <w:rPr>
          <w:rFonts w:ascii="Arial" w:hAnsi="Arial" w:cs="Arial"/>
          <w:sz w:val="20"/>
          <w:szCs w:val="20"/>
          <w:lang w:val="fr-CA"/>
        </w:rPr>
        <w:t>maSGE</w:t>
      </w:r>
      <w:r w:rsidR="007D7E8A">
        <w:rPr>
          <w:rFonts w:ascii="Arial" w:hAnsi="Arial" w:cs="Arial"/>
          <w:sz w:val="20"/>
          <w:szCs w:val="20"/>
          <w:lang w:val="fr-CA"/>
        </w:rPr>
        <w:t xml:space="preserve"> (SAP)</w:t>
      </w:r>
      <w:r w:rsidR="00E71DDC">
        <w:rPr>
          <w:rFonts w:ascii="Arial" w:hAnsi="Arial" w:cs="Arial"/>
          <w:sz w:val="20"/>
          <w:szCs w:val="20"/>
          <w:lang w:val="fr-CA"/>
        </w:rPr>
        <w:t xml:space="preserve">, que </w:t>
      </w:r>
      <w:r w:rsidRPr="0054649F">
        <w:rPr>
          <w:rFonts w:ascii="Arial" w:hAnsi="Arial" w:cs="Arial"/>
          <w:sz w:val="20"/>
          <w:szCs w:val="20"/>
          <w:lang w:val="fr-CA"/>
        </w:rPr>
        <w:t xml:space="preserve">les </w:t>
      </w:r>
      <w:r w:rsidR="004A6AE6">
        <w:rPr>
          <w:rFonts w:ascii="Arial" w:hAnsi="Arial" w:cs="Arial"/>
          <w:sz w:val="20"/>
          <w:szCs w:val="20"/>
          <w:lang w:val="fr-CA"/>
        </w:rPr>
        <w:t xml:space="preserve">champs du code de transaction FMBB soient complétés </w:t>
      </w:r>
      <w:r w:rsidR="00E71DDC">
        <w:rPr>
          <w:rFonts w:ascii="Arial" w:hAnsi="Arial" w:cs="Arial"/>
          <w:sz w:val="20"/>
          <w:szCs w:val="20"/>
          <w:lang w:val="fr-CA"/>
        </w:rPr>
        <w:t>en respectant la convention de noms établit par la GRM</w:t>
      </w:r>
      <w:r w:rsidR="00330A72">
        <w:rPr>
          <w:rFonts w:ascii="Arial" w:hAnsi="Arial" w:cs="Arial"/>
          <w:sz w:val="20"/>
          <w:szCs w:val="20"/>
          <w:lang w:val="fr-CA"/>
        </w:rPr>
        <w:t xml:space="preserve"> </w:t>
      </w:r>
      <w:r w:rsidRPr="0054649F">
        <w:rPr>
          <w:rFonts w:ascii="Arial" w:hAnsi="Arial" w:cs="Arial"/>
          <w:sz w:val="20"/>
          <w:szCs w:val="20"/>
          <w:lang w:val="fr-CA"/>
        </w:rPr>
        <w:t xml:space="preserve">– </w:t>
      </w:r>
      <w:r w:rsidRPr="00881D7E">
        <w:rPr>
          <w:rFonts w:ascii="Arial" w:hAnsi="Arial" w:cs="Arial"/>
          <w:b/>
          <w:sz w:val="20"/>
          <w:szCs w:val="20"/>
          <w:lang w:val="fr-CA"/>
        </w:rPr>
        <w:t>Voir annexe A</w:t>
      </w:r>
      <w:r w:rsidRPr="0054649F">
        <w:rPr>
          <w:rFonts w:ascii="Arial" w:hAnsi="Arial" w:cs="Arial"/>
          <w:sz w:val="20"/>
          <w:szCs w:val="20"/>
          <w:lang w:val="fr-CA"/>
        </w:rPr>
        <w:t xml:space="preserve"> (FMBB détail de saisie). C</w:t>
      </w:r>
      <w:r>
        <w:rPr>
          <w:rFonts w:ascii="Arial" w:hAnsi="Arial" w:cs="Arial"/>
          <w:sz w:val="20"/>
          <w:szCs w:val="20"/>
          <w:lang w:val="fr-CA"/>
        </w:rPr>
        <w:t>es procédures</w:t>
      </w:r>
      <w:r w:rsidRPr="0054649F">
        <w:rPr>
          <w:rFonts w:ascii="Arial" w:hAnsi="Arial" w:cs="Arial"/>
          <w:sz w:val="20"/>
          <w:szCs w:val="20"/>
          <w:lang w:val="fr-CA"/>
        </w:rPr>
        <w:t xml:space="preserve"> </w:t>
      </w:r>
      <w:r w:rsidR="00330A72">
        <w:rPr>
          <w:rFonts w:ascii="Arial" w:hAnsi="Arial" w:cs="Arial"/>
          <w:sz w:val="20"/>
          <w:szCs w:val="20"/>
          <w:lang w:val="fr-CA"/>
        </w:rPr>
        <w:t>se trouvent</w:t>
      </w:r>
      <w:r w:rsidRPr="0054649F">
        <w:rPr>
          <w:rFonts w:ascii="Arial" w:hAnsi="Arial" w:cs="Arial"/>
          <w:sz w:val="20"/>
          <w:szCs w:val="20"/>
          <w:lang w:val="fr-CA"/>
        </w:rPr>
        <w:t xml:space="preserve"> sur notre site </w:t>
      </w:r>
      <w:hyperlink r:id="rId12" w:history="1">
        <w:r>
          <w:rPr>
            <w:rStyle w:val="Hyperlink"/>
            <w:rFonts w:ascii="Arial" w:hAnsi="Arial" w:cs="Arial"/>
            <w:sz w:val="20"/>
            <w:szCs w:val="20"/>
            <w:lang w:val="fr-CA"/>
          </w:rPr>
          <w:t>SharePoint</w:t>
        </w:r>
      </w:hyperlink>
      <w:r w:rsidRPr="0054649F">
        <w:rPr>
          <w:rFonts w:ascii="Arial" w:hAnsi="Arial" w:cs="Arial"/>
          <w:sz w:val="20"/>
          <w:szCs w:val="20"/>
          <w:lang w:val="fr-CA"/>
        </w:rPr>
        <w:t xml:space="preserve">.  </w:t>
      </w:r>
    </w:p>
    <w:p w:rsidR="007D55D6" w:rsidRPr="00292308" w:rsidRDefault="007D55D6" w:rsidP="007D55D6">
      <w:pPr>
        <w:spacing w:line="276" w:lineRule="auto"/>
        <w:rPr>
          <w:rFonts w:ascii="Arial" w:hAnsi="Arial" w:cs="Arial"/>
          <w:sz w:val="20"/>
          <w:szCs w:val="20"/>
          <w:lang w:val="fr-CA"/>
        </w:rPr>
      </w:pPr>
    </w:p>
    <w:p w:rsidR="007D55D6" w:rsidRPr="00881D7E" w:rsidRDefault="007D55D6" w:rsidP="007D55D6">
      <w:pPr>
        <w:spacing w:line="276" w:lineRule="auto"/>
        <w:rPr>
          <w:rFonts w:ascii="Arial" w:hAnsi="Arial" w:cs="Arial"/>
          <w:sz w:val="20"/>
          <w:szCs w:val="20"/>
          <w:lang w:val="fr-CA"/>
        </w:rPr>
      </w:pPr>
      <w:r w:rsidRPr="00881D7E">
        <w:rPr>
          <w:rFonts w:ascii="Arial" w:hAnsi="Arial" w:cs="Arial"/>
          <w:sz w:val="20"/>
          <w:szCs w:val="20"/>
          <w:lang w:val="fr-CA"/>
        </w:rPr>
        <w:t xml:space="preserve">Le </w:t>
      </w:r>
      <w:r w:rsidR="00330A72">
        <w:rPr>
          <w:rFonts w:ascii="Arial" w:hAnsi="Arial" w:cs="Arial"/>
          <w:sz w:val="20"/>
          <w:szCs w:val="20"/>
          <w:lang w:val="fr-CA"/>
        </w:rPr>
        <w:t xml:space="preserve">rapport de </w:t>
      </w:r>
      <w:r w:rsidR="00330A72" w:rsidRPr="00717A03">
        <w:rPr>
          <w:rFonts w:ascii="Arial" w:hAnsi="Arial" w:cs="Arial"/>
          <w:sz w:val="20"/>
          <w:szCs w:val="20"/>
          <w:lang w:val="fr-CA"/>
        </w:rPr>
        <w:t>calcul des budgets de base</w:t>
      </w:r>
      <w:r w:rsidR="00330A72" w:rsidRPr="00881D7E" w:rsidDel="00330A72">
        <w:rPr>
          <w:rFonts w:ascii="Arial" w:hAnsi="Arial" w:cs="Arial"/>
          <w:sz w:val="20"/>
          <w:szCs w:val="20"/>
          <w:lang w:val="fr-CA"/>
        </w:rPr>
        <w:t xml:space="preserve"> </w:t>
      </w:r>
      <w:r w:rsidRPr="00881D7E">
        <w:rPr>
          <w:rFonts w:ascii="Arial" w:hAnsi="Arial" w:cs="Arial"/>
          <w:sz w:val="20"/>
          <w:szCs w:val="20"/>
          <w:lang w:val="fr-CA"/>
        </w:rPr>
        <w:t xml:space="preserve">reflète les budgets par direction générale et région </w:t>
      </w:r>
      <w:r w:rsidRPr="00EF05AF">
        <w:rPr>
          <w:rFonts w:ascii="Arial" w:hAnsi="Arial" w:cs="Arial"/>
          <w:sz w:val="20"/>
          <w:szCs w:val="20"/>
          <w:lang w:val="fr-CA"/>
        </w:rPr>
        <w:t>et, dans certains cas, par province</w:t>
      </w:r>
      <w:r w:rsidR="00330A72" w:rsidRPr="00EF05AF">
        <w:rPr>
          <w:rFonts w:ascii="Arial" w:hAnsi="Arial" w:cs="Arial"/>
          <w:sz w:val="20"/>
          <w:szCs w:val="20"/>
          <w:lang w:val="fr-CA"/>
        </w:rPr>
        <w:t xml:space="preserve"> (</w:t>
      </w:r>
      <w:r w:rsidRPr="00EF05AF">
        <w:rPr>
          <w:rFonts w:ascii="Arial" w:hAnsi="Arial" w:cs="Arial"/>
          <w:sz w:val="20"/>
          <w:szCs w:val="20"/>
          <w:lang w:val="fr-CA"/>
        </w:rPr>
        <w:t xml:space="preserve">pour les </w:t>
      </w:r>
      <w:r w:rsidR="00330A72" w:rsidRPr="00EF05AF">
        <w:rPr>
          <w:rFonts w:ascii="Arial" w:hAnsi="Arial" w:cs="Arial"/>
          <w:sz w:val="20"/>
          <w:szCs w:val="20"/>
          <w:lang w:val="fr-CA"/>
        </w:rPr>
        <w:t xml:space="preserve">fonds de </w:t>
      </w:r>
      <w:r w:rsidR="005B6150" w:rsidRPr="00EF05AF">
        <w:rPr>
          <w:rFonts w:ascii="Arial" w:hAnsi="Arial" w:cs="Arial"/>
          <w:sz w:val="20"/>
          <w:szCs w:val="20"/>
          <w:lang w:val="fr-CA"/>
        </w:rPr>
        <w:t>programme-S&amp;C)</w:t>
      </w:r>
      <w:r w:rsidRPr="00110973">
        <w:rPr>
          <w:rFonts w:ascii="Arial" w:hAnsi="Arial" w:cs="Arial"/>
          <w:sz w:val="20"/>
          <w:szCs w:val="20"/>
          <w:lang w:val="fr-CA"/>
        </w:rPr>
        <w:t>.</w:t>
      </w:r>
      <w:r w:rsidRPr="00881D7E">
        <w:rPr>
          <w:rFonts w:ascii="Arial" w:hAnsi="Arial" w:cs="Arial"/>
          <w:sz w:val="20"/>
          <w:szCs w:val="20"/>
          <w:lang w:val="fr-CA"/>
        </w:rPr>
        <w:t xml:space="preserve"> </w:t>
      </w:r>
      <w:r w:rsidR="00330A72">
        <w:rPr>
          <w:rFonts w:ascii="Arial" w:hAnsi="Arial" w:cs="Arial"/>
          <w:sz w:val="20"/>
          <w:szCs w:val="20"/>
          <w:lang w:val="fr-CA"/>
        </w:rPr>
        <w:t>Le rapport inclut également un sommaire sur la gestion de risque</w:t>
      </w:r>
      <w:r w:rsidR="00B86145">
        <w:rPr>
          <w:rFonts w:ascii="Arial" w:hAnsi="Arial" w:cs="Arial"/>
          <w:sz w:val="20"/>
          <w:szCs w:val="20"/>
          <w:lang w:val="fr-CA"/>
        </w:rPr>
        <w:t xml:space="preserve"> pluriannuelle approuvée et allouée</w:t>
      </w:r>
      <w:r w:rsidR="007D7E8A">
        <w:rPr>
          <w:rFonts w:ascii="Arial" w:hAnsi="Arial" w:cs="Arial"/>
          <w:sz w:val="20"/>
          <w:szCs w:val="20"/>
          <w:lang w:val="fr-CA"/>
        </w:rPr>
        <w:t xml:space="preserve"> (lorsque applicable)</w:t>
      </w:r>
      <w:r w:rsidR="00B86145">
        <w:rPr>
          <w:rFonts w:ascii="Arial" w:hAnsi="Arial" w:cs="Arial"/>
          <w:sz w:val="20"/>
          <w:szCs w:val="20"/>
          <w:lang w:val="fr-CA"/>
        </w:rPr>
        <w:t>.</w:t>
      </w:r>
    </w:p>
    <w:p w:rsidR="007D55D6" w:rsidRPr="00881D7E" w:rsidRDefault="007D55D6" w:rsidP="007D55D6">
      <w:pPr>
        <w:pStyle w:val="Heading1"/>
        <w:spacing w:line="276" w:lineRule="auto"/>
        <w:rPr>
          <w:rFonts w:ascii="Arial" w:hAnsi="Arial" w:cs="Arial"/>
          <w:sz w:val="20"/>
          <w:szCs w:val="20"/>
          <w:lang w:val="fr-CA"/>
        </w:rPr>
      </w:pPr>
      <w:bookmarkStart w:id="1" w:name="_Toc18500108"/>
      <w:r w:rsidRPr="00881D7E">
        <w:rPr>
          <w:rFonts w:ascii="Arial" w:hAnsi="Arial" w:cs="Arial"/>
          <w:sz w:val="20"/>
          <w:szCs w:val="20"/>
          <w:lang w:val="fr-CA"/>
        </w:rPr>
        <w:t xml:space="preserve">1. AJUSTEMENTS BUDGÉTAIRES – RESSOURCES DE FONCTIONNEMENT </w:t>
      </w:r>
      <w:r w:rsidRPr="00881D7E">
        <w:rPr>
          <w:rFonts w:ascii="Arial" w:hAnsi="Arial" w:cs="Arial"/>
          <w:sz w:val="20"/>
          <w:szCs w:val="20"/>
          <w:u w:val="single"/>
          <w:lang w:val="fr-CA"/>
        </w:rPr>
        <w:t>ET</w:t>
      </w:r>
      <w:r>
        <w:rPr>
          <w:rFonts w:ascii="Arial" w:hAnsi="Arial" w:cs="Arial"/>
          <w:sz w:val="20"/>
          <w:szCs w:val="20"/>
          <w:lang w:val="fr-CA"/>
        </w:rPr>
        <w:t xml:space="preserve"> LES FONDS DE PROGRAMME</w:t>
      </w:r>
      <w:r w:rsidR="005B6150">
        <w:rPr>
          <w:rFonts w:ascii="Arial" w:hAnsi="Arial" w:cs="Arial"/>
          <w:sz w:val="20"/>
          <w:szCs w:val="20"/>
          <w:lang w:val="fr-CA"/>
        </w:rPr>
        <w:t>-</w:t>
      </w:r>
      <w:r>
        <w:rPr>
          <w:rFonts w:ascii="Arial" w:hAnsi="Arial" w:cs="Arial"/>
          <w:sz w:val="20"/>
          <w:szCs w:val="20"/>
          <w:lang w:val="fr-CA"/>
        </w:rPr>
        <w:t>S&amp;C</w:t>
      </w:r>
      <w:bookmarkEnd w:id="1"/>
    </w:p>
    <w:p w:rsidR="007D55D6" w:rsidRPr="00881D7E" w:rsidRDefault="007D55D6" w:rsidP="007D55D6">
      <w:pPr>
        <w:spacing w:line="276" w:lineRule="auto"/>
        <w:jc w:val="both"/>
        <w:rPr>
          <w:rFonts w:ascii="Arial" w:hAnsi="Arial" w:cs="Arial"/>
          <w:b/>
          <w:bCs/>
          <w:sz w:val="20"/>
          <w:szCs w:val="20"/>
          <w:lang w:val="fr-CA"/>
        </w:rPr>
      </w:pPr>
    </w:p>
    <w:p w:rsidR="00885DBF" w:rsidRDefault="007D55D6" w:rsidP="007D55D6">
      <w:pPr>
        <w:rPr>
          <w:rFonts w:ascii="Arial" w:hAnsi="Arial" w:cs="Arial"/>
          <w:b/>
          <w:bCs/>
          <w:sz w:val="20"/>
          <w:szCs w:val="20"/>
          <w:lang w:val="fr-CA"/>
        </w:rPr>
      </w:pPr>
      <w:r w:rsidRPr="008605E0">
        <w:rPr>
          <w:rFonts w:ascii="Arial" w:hAnsi="Arial" w:cs="Arial"/>
          <w:sz w:val="20"/>
          <w:szCs w:val="20"/>
          <w:lang w:val="fr-CA"/>
        </w:rPr>
        <w:t xml:space="preserve">Les budgets de ressources de fonctionnement et </w:t>
      </w:r>
      <w:r w:rsidR="00B86145">
        <w:rPr>
          <w:rFonts w:ascii="Arial" w:hAnsi="Arial" w:cs="Arial"/>
          <w:sz w:val="20"/>
          <w:szCs w:val="20"/>
          <w:lang w:val="fr-CA"/>
        </w:rPr>
        <w:t xml:space="preserve">de </w:t>
      </w:r>
      <w:r>
        <w:rPr>
          <w:rFonts w:ascii="Arial" w:hAnsi="Arial" w:cs="Arial"/>
          <w:sz w:val="20"/>
          <w:szCs w:val="20"/>
          <w:lang w:val="fr-CA"/>
        </w:rPr>
        <w:t xml:space="preserve">S&amp;C </w:t>
      </w:r>
      <w:r w:rsidRPr="008605E0">
        <w:rPr>
          <w:rFonts w:ascii="Arial" w:hAnsi="Arial" w:cs="Arial"/>
          <w:sz w:val="20"/>
          <w:szCs w:val="20"/>
          <w:lang w:val="fr-CA"/>
        </w:rPr>
        <w:t xml:space="preserve">sont ajustés dans chacune des situations </w:t>
      </w:r>
      <w:r>
        <w:rPr>
          <w:rFonts w:ascii="Arial" w:hAnsi="Arial" w:cs="Arial"/>
          <w:sz w:val="20"/>
          <w:szCs w:val="20"/>
          <w:lang w:val="fr-CA"/>
        </w:rPr>
        <w:t>suivantes</w:t>
      </w:r>
      <w:r w:rsidRPr="008605E0">
        <w:rPr>
          <w:rFonts w:ascii="Arial" w:hAnsi="Arial" w:cs="Arial"/>
          <w:sz w:val="20"/>
          <w:szCs w:val="20"/>
          <w:lang w:val="fr-CA"/>
        </w:rPr>
        <w:t>:</w:t>
      </w:r>
    </w:p>
    <w:p w:rsidR="007D55D6" w:rsidRPr="00EF05AF" w:rsidRDefault="007D55D6" w:rsidP="007D55D6">
      <w:pPr>
        <w:pStyle w:val="Heading2"/>
        <w:spacing w:line="276" w:lineRule="auto"/>
        <w:rPr>
          <w:rFonts w:ascii="Arial" w:hAnsi="Arial" w:cs="Arial"/>
          <w:sz w:val="20"/>
          <w:szCs w:val="20"/>
          <w:lang w:val="fr-CA"/>
        </w:rPr>
      </w:pPr>
      <w:bookmarkStart w:id="2" w:name="_Toc18500109"/>
      <w:r w:rsidRPr="00EF05AF">
        <w:rPr>
          <w:rFonts w:ascii="Arial" w:hAnsi="Arial" w:cs="Arial"/>
          <w:sz w:val="20"/>
          <w:szCs w:val="20"/>
          <w:lang w:val="fr-CA"/>
        </w:rPr>
        <w:t>Augmentation du financement (Supplémentaire)</w:t>
      </w:r>
      <w:bookmarkEnd w:id="2"/>
    </w:p>
    <w:p w:rsidR="007D55D6" w:rsidRPr="00EF05AF" w:rsidRDefault="007D55D6" w:rsidP="007D55D6">
      <w:pPr>
        <w:spacing w:line="276" w:lineRule="auto"/>
        <w:jc w:val="both"/>
        <w:rPr>
          <w:rFonts w:ascii="Arial" w:hAnsi="Arial" w:cs="Arial"/>
          <w:b/>
          <w:bCs/>
          <w:sz w:val="20"/>
          <w:szCs w:val="20"/>
          <w:lang w:val="fr-CA"/>
        </w:rPr>
      </w:pPr>
    </w:p>
    <w:p w:rsidR="00096C52" w:rsidRDefault="00096C52" w:rsidP="00EF05AF">
      <w:pPr>
        <w:spacing w:line="276" w:lineRule="auto"/>
        <w:rPr>
          <w:rFonts w:ascii="Arial" w:hAnsi="Arial" w:cs="Arial"/>
          <w:i/>
          <w:sz w:val="20"/>
          <w:szCs w:val="20"/>
          <w:lang w:val="fr-CA"/>
        </w:rPr>
      </w:pPr>
      <w:r w:rsidRPr="00EF05AF">
        <w:rPr>
          <w:rFonts w:ascii="Arial" w:hAnsi="Arial" w:cs="Arial"/>
          <w:i/>
          <w:sz w:val="20"/>
          <w:szCs w:val="20"/>
          <w:lang w:val="fr-CA"/>
        </w:rPr>
        <w:t>Fonds de fonctionnement réguliers et de S&amp;C</w:t>
      </w:r>
    </w:p>
    <w:p w:rsidR="00096C52" w:rsidRPr="00EF05AF" w:rsidRDefault="00096C52" w:rsidP="00EF05AF">
      <w:pPr>
        <w:pStyle w:val="ListParagraph"/>
        <w:numPr>
          <w:ilvl w:val="0"/>
          <w:numId w:val="2"/>
        </w:numPr>
        <w:spacing w:line="276" w:lineRule="auto"/>
        <w:rPr>
          <w:rFonts w:ascii="Arial" w:hAnsi="Arial" w:cs="Arial"/>
          <w:sz w:val="20"/>
          <w:szCs w:val="20"/>
          <w:lang w:val="fr-CA"/>
        </w:rPr>
      </w:pPr>
      <w:r w:rsidRPr="00EF05AF">
        <w:rPr>
          <w:rFonts w:ascii="Arial" w:hAnsi="Arial" w:cs="Arial"/>
          <w:sz w:val="20"/>
          <w:szCs w:val="20"/>
          <w:lang w:val="fr-CA"/>
        </w:rPr>
        <w:t>Un nouveau financement ou l’augmentation d’un financement existant est normalement approuvé via une présentation au conseil du trésor (CT) ou autre</w:t>
      </w:r>
      <w:r w:rsidR="00DC5668" w:rsidRPr="00EF05AF">
        <w:rPr>
          <w:rFonts w:ascii="Arial" w:hAnsi="Arial" w:cs="Arial"/>
          <w:sz w:val="20"/>
          <w:szCs w:val="20"/>
          <w:lang w:val="fr-CA"/>
        </w:rPr>
        <w:t>s</w:t>
      </w:r>
      <w:r w:rsidRPr="00EF05AF">
        <w:rPr>
          <w:rFonts w:ascii="Arial" w:hAnsi="Arial" w:cs="Arial"/>
          <w:sz w:val="20"/>
          <w:szCs w:val="20"/>
          <w:lang w:val="fr-CA"/>
        </w:rPr>
        <w:t xml:space="preserve"> </w:t>
      </w:r>
      <w:r w:rsidR="00DC5668" w:rsidRPr="00EF05AF">
        <w:rPr>
          <w:rFonts w:ascii="Arial" w:hAnsi="Arial" w:cs="Arial"/>
          <w:sz w:val="20"/>
          <w:szCs w:val="20"/>
          <w:lang w:val="fr-CA"/>
        </w:rPr>
        <w:t>instruments financier.</w:t>
      </w:r>
    </w:p>
    <w:p w:rsidR="00DC5668" w:rsidRPr="00EF05AF" w:rsidRDefault="00DC5668" w:rsidP="00EF05AF">
      <w:pPr>
        <w:pStyle w:val="ListParagraph"/>
        <w:numPr>
          <w:ilvl w:val="0"/>
          <w:numId w:val="2"/>
        </w:numPr>
        <w:spacing w:line="276" w:lineRule="auto"/>
        <w:rPr>
          <w:rFonts w:ascii="Arial" w:hAnsi="Arial" w:cs="Arial"/>
          <w:sz w:val="20"/>
          <w:szCs w:val="20"/>
          <w:lang w:val="fr-CA"/>
        </w:rPr>
      </w:pPr>
      <w:r w:rsidRPr="00EF05AF">
        <w:rPr>
          <w:rFonts w:ascii="Arial" w:hAnsi="Arial" w:cs="Arial"/>
          <w:sz w:val="20"/>
          <w:szCs w:val="20"/>
          <w:lang w:val="fr-CA"/>
        </w:rPr>
        <w:t>La GRM fera l’entrée budgétaire dans maSGE (SAP) conformément au gabarit de distribution fourni par le CGF responsable.</w:t>
      </w:r>
    </w:p>
    <w:p w:rsidR="00DC5668" w:rsidRPr="00EF05AF" w:rsidRDefault="00DC5668" w:rsidP="00EF05AF">
      <w:pPr>
        <w:pStyle w:val="ListParagraph"/>
        <w:numPr>
          <w:ilvl w:val="0"/>
          <w:numId w:val="2"/>
        </w:numPr>
        <w:spacing w:line="276" w:lineRule="auto"/>
        <w:rPr>
          <w:rFonts w:ascii="Arial" w:hAnsi="Arial" w:cs="Arial"/>
          <w:sz w:val="20"/>
          <w:szCs w:val="20"/>
          <w:lang w:val="fr-CA"/>
        </w:rPr>
      </w:pPr>
      <w:r w:rsidRPr="00EF05AF">
        <w:rPr>
          <w:rFonts w:ascii="Arial" w:hAnsi="Arial" w:cs="Arial"/>
          <w:sz w:val="20"/>
          <w:szCs w:val="20"/>
          <w:lang w:val="fr-CA"/>
        </w:rPr>
        <w:t>Le délai de l’allocation budgétaire du nouveau financement dans maSGE (SAP) dépendra de la source de fonds :</w:t>
      </w:r>
    </w:p>
    <w:p w:rsidR="00DC5668" w:rsidRDefault="00DC5668" w:rsidP="00EF05AF">
      <w:pPr>
        <w:pStyle w:val="ListParagraph"/>
        <w:numPr>
          <w:ilvl w:val="1"/>
          <w:numId w:val="2"/>
        </w:numPr>
        <w:spacing w:line="276" w:lineRule="auto"/>
        <w:rPr>
          <w:rFonts w:ascii="Arial" w:hAnsi="Arial" w:cs="Arial"/>
          <w:sz w:val="20"/>
          <w:szCs w:val="20"/>
          <w:lang w:val="fr-CA"/>
        </w:rPr>
      </w:pPr>
      <w:r w:rsidRPr="00EF05AF">
        <w:rPr>
          <w:rFonts w:ascii="Arial" w:hAnsi="Arial" w:cs="Arial"/>
          <w:sz w:val="20"/>
          <w:szCs w:val="20"/>
          <w:lang w:val="fr-CA"/>
        </w:rPr>
        <w:t xml:space="preserve">Pour le financement dont la source </w:t>
      </w:r>
      <w:r w:rsidR="00DE14A8">
        <w:rPr>
          <w:rFonts w:ascii="Arial" w:hAnsi="Arial" w:cs="Arial"/>
          <w:sz w:val="20"/>
          <w:szCs w:val="20"/>
          <w:lang w:val="fr-CA"/>
        </w:rPr>
        <w:t>est</w:t>
      </w:r>
      <w:r w:rsidR="00DE14A8" w:rsidRPr="00DE14A8">
        <w:rPr>
          <w:rFonts w:ascii="Arial" w:hAnsi="Arial" w:cs="Arial"/>
          <w:sz w:val="20"/>
          <w:szCs w:val="20"/>
          <w:lang w:val="fr-CA"/>
        </w:rPr>
        <w:t xml:space="preserve"> le</w:t>
      </w:r>
      <w:r w:rsidR="00DE14A8" w:rsidRPr="00EF05AF">
        <w:rPr>
          <w:rFonts w:ascii="Arial" w:hAnsi="Arial" w:cs="Arial"/>
          <w:sz w:val="20"/>
          <w:szCs w:val="20"/>
          <w:lang w:val="fr-CA"/>
        </w:rPr>
        <w:t xml:space="preserve"> </w:t>
      </w:r>
      <w:r w:rsidR="00DE14A8" w:rsidRPr="00DE14A8">
        <w:rPr>
          <w:rFonts w:ascii="Arial" w:hAnsi="Arial" w:cs="Arial"/>
          <w:b/>
          <w:sz w:val="20"/>
          <w:szCs w:val="20"/>
          <w:lang w:val="fr-CA"/>
        </w:rPr>
        <w:t>fond</w:t>
      </w:r>
      <w:r w:rsidR="00DE14A8" w:rsidRPr="00EF05AF">
        <w:rPr>
          <w:rFonts w:ascii="Arial" w:hAnsi="Arial" w:cs="Arial"/>
          <w:b/>
          <w:sz w:val="20"/>
          <w:szCs w:val="20"/>
          <w:lang w:val="fr-CA"/>
        </w:rPr>
        <w:t xml:space="preserve"> du</w:t>
      </w:r>
      <w:r w:rsidRPr="00EF05AF">
        <w:rPr>
          <w:rFonts w:ascii="Arial" w:hAnsi="Arial" w:cs="Arial"/>
          <w:b/>
          <w:sz w:val="20"/>
          <w:szCs w:val="20"/>
          <w:lang w:val="fr-CA"/>
        </w:rPr>
        <w:t xml:space="preserve"> </w:t>
      </w:r>
      <w:r w:rsidR="00DE14A8" w:rsidRPr="00EF05AF">
        <w:rPr>
          <w:rFonts w:ascii="Arial" w:hAnsi="Arial" w:cs="Arial"/>
          <w:b/>
          <w:sz w:val="20"/>
          <w:szCs w:val="20"/>
          <w:lang w:val="fr-CA"/>
        </w:rPr>
        <w:t>Trésor</w:t>
      </w:r>
      <w:r w:rsidR="00DE14A8" w:rsidRPr="00EF05AF">
        <w:rPr>
          <w:rFonts w:ascii="Arial" w:hAnsi="Arial" w:cs="Arial"/>
          <w:sz w:val="20"/>
          <w:szCs w:val="20"/>
          <w:lang w:val="fr-CA"/>
        </w:rPr>
        <w:t>,</w:t>
      </w:r>
      <w:r w:rsidRPr="00EF05AF">
        <w:rPr>
          <w:rFonts w:ascii="Arial" w:hAnsi="Arial" w:cs="Arial"/>
          <w:sz w:val="20"/>
          <w:szCs w:val="20"/>
          <w:lang w:val="fr-CA"/>
        </w:rPr>
        <w:t xml:space="preserve"> </w:t>
      </w:r>
      <w:r w:rsidR="00DE14A8" w:rsidRPr="00EF05AF">
        <w:rPr>
          <w:rFonts w:ascii="Arial" w:hAnsi="Arial" w:cs="Arial"/>
          <w:sz w:val="20"/>
          <w:szCs w:val="20"/>
          <w:lang w:val="fr-CA"/>
        </w:rPr>
        <w:t xml:space="preserve">la sanction royale doit </w:t>
      </w:r>
      <w:r w:rsidR="00DE14A8">
        <w:rPr>
          <w:rFonts w:ascii="Arial" w:hAnsi="Arial" w:cs="Arial"/>
          <w:sz w:val="20"/>
          <w:szCs w:val="20"/>
          <w:lang w:val="fr-CA"/>
        </w:rPr>
        <w:t>avoir été</w:t>
      </w:r>
      <w:r w:rsidR="00DE14A8" w:rsidRPr="00EF05AF">
        <w:rPr>
          <w:rFonts w:ascii="Arial" w:hAnsi="Arial" w:cs="Arial"/>
          <w:sz w:val="20"/>
          <w:szCs w:val="20"/>
          <w:lang w:val="fr-CA"/>
        </w:rPr>
        <w:t xml:space="preserve"> reçue avant que le budget </w:t>
      </w:r>
      <w:r w:rsidR="00DE14A8">
        <w:rPr>
          <w:rFonts w:ascii="Arial" w:hAnsi="Arial" w:cs="Arial"/>
          <w:sz w:val="20"/>
          <w:szCs w:val="20"/>
          <w:lang w:val="fr-CA"/>
        </w:rPr>
        <w:t>puisse être</w:t>
      </w:r>
      <w:r w:rsidR="00DE14A8" w:rsidRPr="00EF05AF">
        <w:rPr>
          <w:rFonts w:ascii="Arial" w:hAnsi="Arial" w:cs="Arial"/>
          <w:sz w:val="20"/>
          <w:szCs w:val="20"/>
          <w:lang w:val="fr-CA"/>
        </w:rPr>
        <w:t xml:space="preserve"> saisi et alloué dans maSGE (SAP)</w:t>
      </w:r>
      <w:r w:rsidR="00DE14A8">
        <w:rPr>
          <w:rFonts w:ascii="Arial" w:hAnsi="Arial" w:cs="Arial"/>
          <w:sz w:val="20"/>
          <w:szCs w:val="20"/>
          <w:lang w:val="fr-CA"/>
        </w:rPr>
        <w:t>.</w:t>
      </w:r>
    </w:p>
    <w:p w:rsidR="00DE14A8" w:rsidRPr="00DE14A8" w:rsidRDefault="00DE14A8" w:rsidP="00EF05AF">
      <w:pPr>
        <w:pStyle w:val="ListParagraph"/>
        <w:numPr>
          <w:ilvl w:val="1"/>
          <w:numId w:val="2"/>
        </w:numPr>
        <w:spacing w:line="276" w:lineRule="auto"/>
        <w:rPr>
          <w:rFonts w:ascii="Arial" w:hAnsi="Arial" w:cs="Arial"/>
          <w:sz w:val="20"/>
          <w:szCs w:val="20"/>
          <w:lang w:val="fr-CA"/>
        </w:rPr>
      </w:pPr>
      <w:r>
        <w:rPr>
          <w:rFonts w:ascii="Arial" w:hAnsi="Arial" w:cs="Arial"/>
          <w:sz w:val="20"/>
          <w:szCs w:val="20"/>
          <w:lang w:val="fr-CA"/>
        </w:rPr>
        <w:lastRenderedPageBreak/>
        <w:t>Lorsque la source du nouveau financement est</w:t>
      </w:r>
      <w:r w:rsidR="004E607E">
        <w:rPr>
          <w:rFonts w:ascii="Arial" w:hAnsi="Arial" w:cs="Arial"/>
          <w:sz w:val="20"/>
          <w:szCs w:val="20"/>
          <w:lang w:val="fr-CA"/>
        </w:rPr>
        <w:t xml:space="preserve"> le Compte de</w:t>
      </w:r>
      <w:r>
        <w:rPr>
          <w:rFonts w:ascii="Arial" w:hAnsi="Arial" w:cs="Arial"/>
          <w:sz w:val="20"/>
          <w:szCs w:val="20"/>
          <w:lang w:val="fr-CA"/>
        </w:rPr>
        <w:t xml:space="preserve"> </w:t>
      </w:r>
      <w:r w:rsidRPr="00DE14A8">
        <w:rPr>
          <w:rFonts w:ascii="Arial" w:hAnsi="Arial" w:cs="Arial"/>
          <w:sz w:val="20"/>
          <w:szCs w:val="20"/>
          <w:lang w:val="fr-CA"/>
        </w:rPr>
        <w:t>l’</w:t>
      </w:r>
      <w:r w:rsidRPr="00EF05AF">
        <w:rPr>
          <w:rFonts w:ascii="Arial" w:hAnsi="Arial" w:cs="Arial"/>
          <w:b/>
          <w:sz w:val="20"/>
          <w:szCs w:val="20"/>
          <w:lang w:val="fr-CA"/>
        </w:rPr>
        <w:t>Assurance Emploi (AE)</w:t>
      </w:r>
      <w:r>
        <w:rPr>
          <w:rFonts w:ascii="Arial" w:hAnsi="Arial" w:cs="Arial"/>
          <w:sz w:val="20"/>
          <w:szCs w:val="20"/>
          <w:lang w:val="fr-CA"/>
        </w:rPr>
        <w:t xml:space="preserve"> ou le</w:t>
      </w:r>
      <w:r w:rsidR="004E607E">
        <w:rPr>
          <w:rFonts w:ascii="Arial" w:hAnsi="Arial" w:cs="Arial"/>
          <w:sz w:val="20"/>
          <w:szCs w:val="20"/>
          <w:lang w:val="fr-CA"/>
        </w:rPr>
        <w:t xml:space="preserve"> Compte du</w:t>
      </w:r>
      <w:r>
        <w:rPr>
          <w:rFonts w:ascii="Arial" w:hAnsi="Arial" w:cs="Arial"/>
          <w:sz w:val="20"/>
          <w:szCs w:val="20"/>
          <w:lang w:val="fr-CA"/>
        </w:rPr>
        <w:t xml:space="preserve"> </w:t>
      </w:r>
      <w:r w:rsidRPr="00EF05AF">
        <w:rPr>
          <w:rFonts w:ascii="Arial" w:hAnsi="Arial" w:cs="Arial"/>
          <w:b/>
          <w:sz w:val="20"/>
          <w:szCs w:val="20"/>
          <w:lang w:val="fr-CA"/>
        </w:rPr>
        <w:t>Régime de pensions du Canada (RPC)</w:t>
      </w:r>
      <w:r w:rsidR="000C4323">
        <w:rPr>
          <w:rFonts w:ascii="Arial" w:hAnsi="Arial" w:cs="Arial"/>
          <w:sz w:val="20"/>
          <w:szCs w:val="20"/>
          <w:lang w:val="fr-CA"/>
        </w:rPr>
        <w:t xml:space="preserve">, le budget est alloué dans </w:t>
      </w:r>
      <w:r w:rsidR="000C4323" w:rsidRPr="007E3A54">
        <w:rPr>
          <w:rFonts w:ascii="Arial" w:hAnsi="Arial" w:cs="Arial"/>
          <w:sz w:val="20"/>
          <w:szCs w:val="20"/>
          <w:lang w:val="fr-CA"/>
        </w:rPr>
        <w:t>maSGE (SAP)</w:t>
      </w:r>
      <w:r w:rsidR="000C4323">
        <w:rPr>
          <w:rFonts w:ascii="Arial" w:hAnsi="Arial" w:cs="Arial"/>
          <w:sz w:val="20"/>
          <w:szCs w:val="20"/>
          <w:lang w:val="fr-CA"/>
        </w:rPr>
        <w:t xml:space="preserve"> dès que la </w:t>
      </w:r>
      <w:r w:rsidR="000C4323" w:rsidRPr="000C4323">
        <w:rPr>
          <w:rFonts w:ascii="Arial" w:hAnsi="Arial" w:cs="Arial"/>
          <w:sz w:val="20"/>
          <w:szCs w:val="20"/>
          <w:lang w:val="fr-CA"/>
        </w:rPr>
        <w:t>présen</w:t>
      </w:r>
      <w:r w:rsidR="000C4323">
        <w:rPr>
          <w:rFonts w:ascii="Arial" w:hAnsi="Arial" w:cs="Arial"/>
          <w:sz w:val="20"/>
          <w:szCs w:val="20"/>
          <w:lang w:val="fr-CA"/>
        </w:rPr>
        <w:t>tation au conseil du trésor est approuvée.</w:t>
      </w:r>
    </w:p>
    <w:p w:rsidR="007D55D6" w:rsidRDefault="007D55D6" w:rsidP="007D55D6">
      <w:pPr>
        <w:spacing w:line="276" w:lineRule="auto"/>
        <w:ind w:left="360"/>
        <w:rPr>
          <w:rFonts w:ascii="Arial" w:hAnsi="Arial" w:cs="Arial"/>
          <w:sz w:val="20"/>
          <w:szCs w:val="20"/>
          <w:lang w:val="fr-CA"/>
        </w:rPr>
      </w:pPr>
    </w:p>
    <w:p w:rsidR="000C4323" w:rsidRPr="00EF05AF" w:rsidRDefault="000C4323" w:rsidP="007D55D6">
      <w:pPr>
        <w:spacing w:line="276" w:lineRule="auto"/>
        <w:ind w:left="360"/>
        <w:rPr>
          <w:rFonts w:ascii="Arial" w:hAnsi="Arial" w:cs="Arial"/>
          <w:i/>
          <w:sz w:val="20"/>
          <w:szCs w:val="20"/>
          <w:lang w:val="fr-CA"/>
        </w:rPr>
      </w:pPr>
      <w:r w:rsidRPr="00EF05AF">
        <w:rPr>
          <w:rFonts w:ascii="Arial" w:hAnsi="Arial" w:cs="Arial"/>
          <w:i/>
          <w:sz w:val="20"/>
          <w:szCs w:val="20"/>
          <w:lang w:val="fr-CA"/>
        </w:rPr>
        <w:t>Ententes de partenariat de prestation de services (sous LMEDS)</w:t>
      </w:r>
      <w:r>
        <w:rPr>
          <w:rFonts w:ascii="Arial" w:hAnsi="Arial" w:cs="Arial"/>
          <w:i/>
          <w:sz w:val="20"/>
          <w:szCs w:val="20"/>
          <w:lang w:val="fr-CA"/>
        </w:rPr>
        <w:t xml:space="preserve"> – Nouveaux ou renouvellements</w:t>
      </w:r>
    </w:p>
    <w:p w:rsidR="007D55D6" w:rsidRPr="00CF6C9A" w:rsidRDefault="000C4323" w:rsidP="007D55D6">
      <w:pPr>
        <w:numPr>
          <w:ilvl w:val="0"/>
          <w:numId w:val="2"/>
        </w:numPr>
        <w:spacing w:line="276" w:lineRule="auto"/>
        <w:rPr>
          <w:rFonts w:ascii="Arial" w:hAnsi="Arial" w:cs="Arial"/>
          <w:sz w:val="20"/>
          <w:szCs w:val="20"/>
          <w:lang w:val="fr-CA"/>
        </w:rPr>
      </w:pPr>
      <w:r>
        <w:rPr>
          <w:rFonts w:ascii="Arial" w:hAnsi="Arial" w:cs="Arial"/>
          <w:sz w:val="20"/>
          <w:szCs w:val="20"/>
          <w:lang w:val="fr-CA"/>
        </w:rPr>
        <w:t>L</w:t>
      </w:r>
      <w:r w:rsidR="007D55D6">
        <w:rPr>
          <w:rFonts w:ascii="Arial" w:hAnsi="Arial" w:cs="Arial"/>
          <w:sz w:val="20"/>
          <w:szCs w:val="20"/>
          <w:lang w:val="fr-CA"/>
        </w:rPr>
        <w:t xml:space="preserve">e financement </w:t>
      </w:r>
      <w:r>
        <w:rPr>
          <w:rFonts w:ascii="Arial" w:hAnsi="Arial" w:cs="Arial"/>
          <w:sz w:val="20"/>
          <w:szCs w:val="20"/>
          <w:lang w:val="fr-CA"/>
        </w:rPr>
        <w:t xml:space="preserve">sera augmenté par la GRM </w:t>
      </w:r>
      <w:r w:rsidR="007D55D6">
        <w:rPr>
          <w:rFonts w:ascii="Arial" w:hAnsi="Arial" w:cs="Arial"/>
          <w:sz w:val="20"/>
          <w:szCs w:val="20"/>
          <w:lang w:val="fr-CA"/>
        </w:rPr>
        <w:t>dès réception du PE-ENS signé avec un AMG/partenaire externe</w:t>
      </w:r>
      <w:r w:rsidR="00D57AB2">
        <w:rPr>
          <w:rFonts w:ascii="Arial" w:hAnsi="Arial" w:cs="Arial"/>
          <w:sz w:val="20"/>
          <w:szCs w:val="20"/>
          <w:lang w:val="fr-CA"/>
        </w:rPr>
        <w:t xml:space="preserve"> et, </w:t>
      </w:r>
      <w:r w:rsidR="007D55D6">
        <w:rPr>
          <w:rFonts w:ascii="Arial" w:hAnsi="Arial" w:cs="Arial"/>
          <w:sz w:val="20"/>
          <w:szCs w:val="20"/>
          <w:lang w:val="fr-CA"/>
        </w:rPr>
        <w:t>selon l’allocation reçue du CGF responsable du programme. En cas de retard dans la signature d’un accord</w:t>
      </w:r>
      <w:r w:rsidR="00D57AB2">
        <w:rPr>
          <w:rFonts w:ascii="Arial" w:hAnsi="Arial" w:cs="Arial"/>
          <w:sz w:val="20"/>
          <w:szCs w:val="20"/>
          <w:lang w:val="fr-CA"/>
        </w:rPr>
        <w:t>,</w:t>
      </w:r>
      <w:r w:rsidR="007D55D6">
        <w:rPr>
          <w:rFonts w:ascii="Arial" w:hAnsi="Arial" w:cs="Arial"/>
          <w:sz w:val="20"/>
          <w:szCs w:val="20"/>
          <w:lang w:val="fr-CA"/>
        </w:rPr>
        <w:t xml:space="preserve"> la direction générale </w:t>
      </w:r>
      <w:r w:rsidR="00D57AB2">
        <w:rPr>
          <w:rFonts w:ascii="Arial" w:hAnsi="Arial" w:cs="Arial"/>
          <w:sz w:val="20"/>
          <w:szCs w:val="20"/>
          <w:lang w:val="fr-CA"/>
        </w:rPr>
        <w:t xml:space="preserve">responsable du programme </w:t>
      </w:r>
      <w:r w:rsidR="007D55D6">
        <w:rPr>
          <w:rFonts w:ascii="Arial" w:hAnsi="Arial" w:cs="Arial"/>
          <w:sz w:val="20"/>
          <w:szCs w:val="20"/>
          <w:lang w:val="fr-CA"/>
        </w:rPr>
        <w:t>devra couvrir les dépenses liées à la LMDES en utilisant son budget de fonctionnement.</w:t>
      </w:r>
    </w:p>
    <w:p w:rsidR="007D55D6" w:rsidRPr="00CF6C9A" w:rsidRDefault="007D55D6" w:rsidP="007D55D6">
      <w:pPr>
        <w:spacing w:line="276" w:lineRule="auto"/>
        <w:ind w:left="720"/>
        <w:rPr>
          <w:rFonts w:ascii="Arial" w:hAnsi="Arial" w:cs="Arial"/>
          <w:i/>
          <w:sz w:val="16"/>
          <w:szCs w:val="16"/>
          <w:lang w:val="fr-CA"/>
        </w:rPr>
      </w:pPr>
    </w:p>
    <w:p w:rsidR="009E338D" w:rsidRDefault="009E338D" w:rsidP="009E338D">
      <w:pPr>
        <w:pStyle w:val="ListParagraph"/>
        <w:spacing w:line="276" w:lineRule="auto"/>
        <w:ind w:left="284"/>
        <w:rPr>
          <w:rFonts w:ascii="Arial" w:hAnsi="Arial" w:cs="Arial"/>
          <w:i/>
          <w:sz w:val="20"/>
          <w:szCs w:val="20"/>
          <w:lang w:val="fr-CA"/>
        </w:rPr>
      </w:pPr>
      <w:r w:rsidRPr="00EF05AF">
        <w:rPr>
          <w:rFonts w:ascii="Arial" w:hAnsi="Arial" w:cs="Arial"/>
          <w:i/>
          <w:sz w:val="20"/>
          <w:szCs w:val="20"/>
          <w:lang w:val="fr-CA"/>
        </w:rPr>
        <w:t>Financement opérationnel statutaire (me</w:t>
      </w:r>
      <w:r w:rsidRPr="009E338D">
        <w:rPr>
          <w:rFonts w:ascii="Arial" w:hAnsi="Arial" w:cs="Arial"/>
          <w:i/>
          <w:sz w:val="20"/>
          <w:szCs w:val="20"/>
          <w:lang w:val="fr-CA"/>
        </w:rPr>
        <w:t>sures</w:t>
      </w:r>
      <w:r>
        <w:rPr>
          <w:rFonts w:ascii="Arial" w:hAnsi="Arial" w:cs="Arial"/>
          <w:i/>
          <w:sz w:val="20"/>
          <w:szCs w:val="20"/>
          <w:lang w:val="fr-CA"/>
        </w:rPr>
        <w:t xml:space="preserve"> de financement </w:t>
      </w:r>
      <w:r w:rsidRPr="007E3A54">
        <w:rPr>
          <w:rFonts w:ascii="Arial" w:hAnsi="Arial" w:cs="Arial"/>
          <w:i/>
          <w:sz w:val="20"/>
          <w:szCs w:val="20"/>
          <w:lang w:val="fr-CA"/>
        </w:rPr>
        <w:t>d’urgence COVID-19</w:t>
      </w:r>
      <w:r w:rsidRPr="009E338D">
        <w:rPr>
          <w:rFonts w:ascii="Arial" w:hAnsi="Arial" w:cs="Arial"/>
          <w:i/>
          <w:sz w:val="20"/>
          <w:szCs w:val="20"/>
          <w:lang w:val="fr-CA"/>
        </w:rPr>
        <w:t>)</w:t>
      </w:r>
    </w:p>
    <w:p w:rsidR="009E338D" w:rsidRPr="00EF05AF" w:rsidRDefault="009E338D" w:rsidP="00EF05AF">
      <w:pPr>
        <w:pStyle w:val="ListParagraph"/>
        <w:numPr>
          <w:ilvl w:val="0"/>
          <w:numId w:val="2"/>
        </w:numPr>
        <w:spacing w:line="276" w:lineRule="auto"/>
        <w:rPr>
          <w:rFonts w:ascii="Arial" w:hAnsi="Arial" w:cs="Arial"/>
          <w:sz w:val="20"/>
          <w:szCs w:val="20"/>
          <w:lang w:val="fr-CA"/>
        </w:rPr>
      </w:pPr>
      <w:r w:rsidRPr="00EF05AF">
        <w:rPr>
          <w:rFonts w:ascii="Arial" w:hAnsi="Arial" w:cs="Arial"/>
          <w:sz w:val="20"/>
          <w:szCs w:val="20"/>
          <w:lang w:val="fr-CA"/>
        </w:rPr>
        <w:t xml:space="preserve">Les affectations budgétaires pour les nouveaux fonds opérationnels prévus par la loi à la suite de l’annonce de mesures d’urgence COVID-19 sont saisies par la GRM à la réception de la décision de financement officielle et </w:t>
      </w:r>
      <w:r>
        <w:rPr>
          <w:rFonts w:ascii="Arial" w:hAnsi="Arial" w:cs="Arial"/>
          <w:sz w:val="20"/>
          <w:szCs w:val="20"/>
          <w:lang w:val="fr-CA"/>
        </w:rPr>
        <w:t>de l’</w:t>
      </w:r>
      <w:r w:rsidRPr="007E3A54">
        <w:rPr>
          <w:rFonts w:ascii="Arial" w:hAnsi="Arial" w:cs="Arial"/>
          <w:sz w:val="20"/>
          <w:szCs w:val="20"/>
          <w:lang w:val="fr-CA"/>
        </w:rPr>
        <w:t xml:space="preserve">approbation de l’établissement des coûts opérationnels </w:t>
      </w:r>
      <w:r>
        <w:rPr>
          <w:rFonts w:ascii="Arial" w:hAnsi="Arial" w:cs="Arial"/>
          <w:sz w:val="20"/>
          <w:szCs w:val="20"/>
          <w:lang w:val="fr-CA"/>
        </w:rPr>
        <w:t xml:space="preserve">du </w:t>
      </w:r>
      <w:r w:rsidRPr="00EF05AF">
        <w:rPr>
          <w:rFonts w:ascii="Arial" w:hAnsi="Arial" w:cs="Arial"/>
          <w:sz w:val="20"/>
          <w:szCs w:val="20"/>
          <w:lang w:val="fr-CA"/>
        </w:rPr>
        <w:t>ministère des Finances (s’il y a lieu).</w:t>
      </w:r>
    </w:p>
    <w:p w:rsidR="00033DD2" w:rsidRPr="00EF05AF" w:rsidRDefault="00033DD2" w:rsidP="009E338D">
      <w:pPr>
        <w:pStyle w:val="ListParagraph"/>
        <w:spacing w:line="276" w:lineRule="auto"/>
        <w:ind w:left="284"/>
        <w:rPr>
          <w:rFonts w:ascii="Arial" w:hAnsi="Arial" w:cs="Arial"/>
          <w:i/>
          <w:sz w:val="20"/>
          <w:szCs w:val="20"/>
          <w:lang w:val="fr-CA"/>
        </w:rPr>
      </w:pPr>
    </w:p>
    <w:p w:rsidR="009E338D" w:rsidRPr="00EF05AF" w:rsidRDefault="009E338D" w:rsidP="009E338D">
      <w:pPr>
        <w:pStyle w:val="ListParagraph"/>
        <w:spacing w:line="276" w:lineRule="auto"/>
        <w:ind w:left="284"/>
        <w:rPr>
          <w:rFonts w:ascii="Arial" w:hAnsi="Arial" w:cs="Arial"/>
          <w:i/>
          <w:sz w:val="20"/>
          <w:szCs w:val="20"/>
          <w:lang w:val="fr-CA"/>
        </w:rPr>
      </w:pPr>
      <w:r w:rsidRPr="009E338D">
        <w:rPr>
          <w:rFonts w:ascii="Arial" w:hAnsi="Arial" w:cs="Arial"/>
          <w:i/>
          <w:sz w:val="20"/>
          <w:szCs w:val="20"/>
          <w:lang w:val="fr-CA"/>
        </w:rPr>
        <w:t>Le financement de</w:t>
      </w:r>
      <w:r>
        <w:rPr>
          <w:rFonts w:ascii="Arial" w:hAnsi="Arial" w:cs="Arial"/>
          <w:i/>
          <w:sz w:val="20"/>
          <w:szCs w:val="20"/>
          <w:lang w:val="fr-CA"/>
        </w:rPr>
        <w:t>s</w:t>
      </w:r>
      <w:r w:rsidRPr="009E338D">
        <w:rPr>
          <w:rFonts w:ascii="Arial" w:hAnsi="Arial" w:cs="Arial"/>
          <w:i/>
          <w:sz w:val="20"/>
          <w:szCs w:val="20"/>
          <w:lang w:val="fr-CA"/>
        </w:rPr>
        <w:t xml:space="preserve"> négociation</w:t>
      </w:r>
      <w:r>
        <w:rPr>
          <w:rFonts w:ascii="Arial" w:hAnsi="Arial" w:cs="Arial"/>
          <w:i/>
          <w:sz w:val="20"/>
          <w:szCs w:val="20"/>
          <w:lang w:val="fr-CA"/>
        </w:rPr>
        <w:t>s</w:t>
      </w:r>
      <w:r w:rsidRPr="009E338D">
        <w:rPr>
          <w:rFonts w:ascii="Arial" w:hAnsi="Arial" w:cs="Arial"/>
          <w:i/>
          <w:sz w:val="20"/>
          <w:szCs w:val="20"/>
          <w:lang w:val="fr-CA"/>
        </w:rPr>
        <w:t xml:space="preserve"> collective</w:t>
      </w:r>
      <w:r>
        <w:rPr>
          <w:rFonts w:ascii="Arial" w:hAnsi="Arial" w:cs="Arial"/>
          <w:i/>
          <w:sz w:val="20"/>
          <w:szCs w:val="20"/>
          <w:lang w:val="fr-CA"/>
        </w:rPr>
        <w:t>s</w:t>
      </w:r>
    </w:p>
    <w:p w:rsidR="007D55D6" w:rsidRPr="00415BBD" w:rsidRDefault="007D55D6" w:rsidP="007D55D6">
      <w:pPr>
        <w:pStyle w:val="ListParagraph"/>
        <w:numPr>
          <w:ilvl w:val="0"/>
          <w:numId w:val="2"/>
        </w:numPr>
        <w:spacing w:line="276" w:lineRule="auto"/>
        <w:rPr>
          <w:rFonts w:ascii="Arial" w:hAnsi="Arial" w:cs="Arial"/>
          <w:sz w:val="20"/>
          <w:szCs w:val="20"/>
          <w:lang w:val="fr-CA"/>
        </w:rPr>
      </w:pPr>
      <w:r>
        <w:rPr>
          <w:rFonts w:ascii="Arial" w:hAnsi="Arial" w:cs="Arial"/>
          <w:sz w:val="20"/>
          <w:szCs w:val="20"/>
          <w:lang w:val="fr-CA"/>
        </w:rPr>
        <w:t>Lorsque le financement relié aux conventions collectives est reçu</w:t>
      </w:r>
      <w:r w:rsidRPr="00415BBD">
        <w:rPr>
          <w:rFonts w:ascii="Arial" w:hAnsi="Arial" w:cs="Arial"/>
          <w:sz w:val="20"/>
          <w:szCs w:val="20"/>
          <w:lang w:val="fr-CA"/>
        </w:rPr>
        <w:t xml:space="preserve">, </w:t>
      </w:r>
      <w:r>
        <w:rPr>
          <w:rFonts w:ascii="Arial" w:hAnsi="Arial" w:cs="Arial"/>
          <w:sz w:val="20"/>
          <w:szCs w:val="20"/>
          <w:lang w:val="fr-CA"/>
        </w:rPr>
        <w:t xml:space="preserve">la </w:t>
      </w:r>
      <w:r w:rsidRPr="00415BBD">
        <w:rPr>
          <w:rFonts w:ascii="Arial" w:hAnsi="Arial" w:cs="Arial"/>
          <w:sz w:val="20"/>
          <w:szCs w:val="20"/>
          <w:lang w:val="fr-CA"/>
        </w:rPr>
        <w:t xml:space="preserve">GRM est responsable de déterminer l’allocation par direction générale et région </w:t>
      </w:r>
      <w:r>
        <w:rPr>
          <w:rFonts w:ascii="Arial" w:hAnsi="Arial" w:cs="Arial"/>
          <w:sz w:val="20"/>
          <w:szCs w:val="20"/>
          <w:lang w:val="fr-CA"/>
        </w:rPr>
        <w:t>(</w:t>
      </w:r>
      <w:r w:rsidRPr="00415BBD">
        <w:rPr>
          <w:rFonts w:ascii="Arial" w:hAnsi="Arial" w:cs="Arial"/>
          <w:sz w:val="20"/>
          <w:szCs w:val="20"/>
          <w:lang w:val="fr-CA"/>
        </w:rPr>
        <w:t xml:space="preserve">basé sur une extraction </w:t>
      </w:r>
      <w:r>
        <w:rPr>
          <w:rFonts w:ascii="Arial" w:hAnsi="Arial" w:cs="Arial"/>
          <w:sz w:val="20"/>
          <w:szCs w:val="20"/>
          <w:lang w:val="fr-CA"/>
        </w:rPr>
        <w:t xml:space="preserve">des coûts prévisionnels à l’aide </w:t>
      </w:r>
      <w:r w:rsidRPr="00415BBD">
        <w:rPr>
          <w:rFonts w:ascii="Arial" w:hAnsi="Arial" w:cs="Arial"/>
          <w:sz w:val="20"/>
          <w:szCs w:val="20"/>
          <w:lang w:val="fr-CA"/>
        </w:rPr>
        <w:t>de</w:t>
      </w:r>
      <w:r>
        <w:rPr>
          <w:rFonts w:ascii="Arial" w:hAnsi="Arial" w:cs="Arial"/>
          <w:sz w:val="20"/>
          <w:szCs w:val="20"/>
          <w:lang w:val="fr-CA"/>
        </w:rPr>
        <w:t xml:space="preserve"> l’outil des prévision</w:t>
      </w:r>
      <w:r w:rsidR="00033DD2">
        <w:rPr>
          <w:rFonts w:ascii="Arial" w:hAnsi="Arial" w:cs="Arial"/>
          <w:sz w:val="20"/>
          <w:szCs w:val="20"/>
          <w:lang w:val="fr-CA"/>
        </w:rPr>
        <w:t>s</w:t>
      </w:r>
      <w:r>
        <w:rPr>
          <w:rFonts w:ascii="Arial" w:hAnsi="Arial" w:cs="Arial"/>
          <w:sz w:val="20"/>
          <w:szCs w:val="20"/>
          <w:lang w:val="fr-CA"/>
        </w:rPr>
        <w:t xml:space="preserve"> des salaires-OPS) </w:t>
      </w:r>
      <w:r w:rsidRPr="00415BBD">
        <w:rPr>
          <w:rFonts w:ascii="Arial" w:hAnsi="Arial" w:cs="Arial"/>
          <w:sz w:val="20"/>
          <w:szCs w:val="20"/>
          <w:lang w:val="fr-CA"/>
        </w:rPr>
        <w:t>e</w:t>
      </w:r>
      <w:r>
        <w:rPr>
          <w:rFonts w:ascii="Arial" w:hAnsi="Arial" w:cs="Arial"/>
          <w:sz w:val="20"/>
          <w:szCs w:val="20"/>
          <w:lang w:val="fr-CA"/>
        </w:rPr>
        <w:t xml:space="preserve">t </w:t>
      </w:r>
      <w:r w:rsidRPr="00415BBD">
        <w:rPr>
          <w:rFonts w:ascii="Arial" w:hAnsi="Arial" w:cs="Arial"/>
          <w:sz w:val="20"/>
          <w:szCs w:val="20"/>
          <w:lang w:val="fr-CA"/>
        </w:rPr>
        <w:t>par conséquent mettra à jour le niveau de référence ministériel.</w:t>
      </w:r>
    </w:p>
    <w:p w:rsidR="007D55D6" w:rsidRPr="00292308" w:rsidRDefault="007D55D6" w:rsidP="007D55D6">
      <w:pPr>
        <w:pStyle w:val="Heading2"/>
        <w:spacing w:line="276" w:lineRule="auto"/>
        <w:rPr>
          <w:rFonts w:ascii="Arial" w:hAnsi="Arial" w:cs="Arial"/>
          <w:sz w:val="20"/>
          <w:szCs w:val="20"/>
          <w:lang w:val="fr-CA"/>
        </w:rPr>
      </w:pPr>
      <w:bookmarkStart w:id="3" w:name="_Toc18500110"/>
      <w:r w:rsidRPr="00292308">
        <w:rPr>
          <w:rFonts w:ascii="Arial" w:hAnsi="Arial" w:cs="Arial"/>
          <w:sz w:val="20"/>
          <w:szCs w:val="20"/>
          <w:lang w:val="fr-CA"/>
        </w:rPr>
        <w:t>Réduction de financements ou gels (Retour)</w:t>
      </w:r>
      <w:bookmarkEnd w:id="3"/>
    </w:p>
    <w:p w:rsidR="007D55D6" w:rsidRDefault="007D55D6" w:rsidP="007D55D6">
      <w:pPr>
        <w:spacing w:line="276" w:lineRule="auto"/>
        <w:rPr>
          <w:rFonts w:ascii="Arial" w:hAnsi="Arial" w:cs="Arial"/>
          <w:sz w:val="20"/>
          <w:szCs w:val="20"/>
          <w:lang w:val="fr-CA"/>
        </w:rPr>
      </w:pPr>
    </w:p>
    <w:p w:rsidR="007D55D6" w:rsidRPr="00EF05AF" w:rsidRDefault="007D55D6" w:rsidP="00EF05AF">
      <w:pPr>
        <w:pStyle w:val="ListParagraph"/>
        <w:numPr>
          <w:ilvl w:val="0"/>
          <w:numId w:val="9"/>
        </w:numPr>
        <w:spacing w:line="276" w:lineRule="auto"/>
        <w:rPr>
          <w:rFonts w:ascii="Arial" w:hAnsi="Arial" w:cs="Arial"/>
          <w:sz w:val="20"/>
          <w:szCs w:val="20"/>
          <w:lang w:val="fr-CA"/>
        </w:rPr>
      </w:pPr>
      <w:r w:rsidRPr="004B31EB">
        <w:rPr>
          <w:rFonts w:ascii="Arial" w:hAnsi="Arial" w:cs="Arial"/>
          <w:sz w:val="20"/>
          <w:szCs w:val="20"/>
          <w:lang w:val="fr-CA"/>
        </w:rPr>
        <w:t xml:space="preserve">Les réductions de financement ou gels sont confirmés </w:t>
      </w:r>
      <w:r w:rsidR="003A213C">
        <w:rPr>
          <w:rFonts w:ascii="Arial" w:hAnsi="Arial" w:cs="Arial"/>
          <w:sz w:val="20"/>
          <w:szCs w:val="20"/>
          <w:lang w:val="fr-CA"/>
        </w:rPr>
        <w:t xml:space="preserve">via </w:t>
      </w:r>
      <w:r w:rsidRPr="004B31EB">
        <w:rPr>
          <w:rFonts w:ascii="Arial" w:hAnsi="Arial" w:cs="Arial"/>
          <w:sz w:val="20"/>
          <w:szCs w:val="20"/>
          <w:lang w:val="fr-CA"/>
        </w:rPr>
        <w:t xml:space="preserve">une lettre de décision du CT. Une fois </w:t>
      </w:r>
      <w:r w:rsidR="003A213C">
        <w:rPr>
          <w:rFonts w:ascii="Arial" w:hAnsi="Arial" w:cs="Arial"/>
          <w:sz w:val="20"/>
          <w:szCs w:val="20"/>
          <w:lang w:val="fr-CA"/>
        </w:rPr>
        <w:t>confirmé par le SCT</w:t>
      </w:r>
      <w:r w:rsidRPr="004B31EB">
        <w:rPr>
          <w:rFonts w:ascii="Arial" w:hAnsi="Arial" w:cs="Arial"/>
          <w:sz w:val="20"/>
          <w:szCs w:val="20"/>
          <w:lang w:val="fr-CA"/>
        </w:rPr>
        <w:t xml:space="preserve">, la </w:t>
      </w:r>
      <w:r w:rsidR="003A213C">
        <w:rPr>
          <w:rFonts w:ascii="Arial" w:hAnsi="Arial" w:cs="Arial"/>
          <w:sz w:val="20"/>
          <w:szCs w:val="20"/>
          <w:lang w:val="fr-CA"/>
        </w:rPr>
        <w:t xml:space="preserve">réduction ou le gel est saisi par la </w:t>
      </w:r>
      <w:r w:rsidRPr="004B31EB">
        <w:rPr>
          <w:rFonts w:ascii="Arial" w:hAnsi="Arial" w:cs="Arial"/>
          <w:sz w:val="20"/>
          <w:szCs w:val="20"/>
          <w:lang w:val="fr-CA"/>
        </w:rPr>
        <w:t>GRM</w:t>
      </w:r>
      <w:r>
        <w:rPr>
          <w:rFonts w:ascii="Arial" w:hAnsi="Arial" w:cs="Arial"/>
          <w:sz w:val="20"/>
          <w:szCs w:val="20"/>
          <w:lang w:val="fr-CA"/>
        </w:rPr>
        <w:t>.</w:t>
      </w:r>
    </w:p>
    <w:p w:rsidR="007D55D6" w:rsidRDefault="007D55D6" w:rsidP="007D55D6">
      <w:pPr>
        <w:pStyle w:val="Heading2"/>
        <w:spacing w:line="276" w:lineRule="auto"/>
        <w:rPr>
          <w:rFonts w:ascii="Arial" w:hAnsi="Arial" w:cs="Arial"/>
          <w:sz w:val="20"/>
          <w:szCs w:val="20"/>
          <w:lang w:val="en-US"/>
        </w:rPr>
      </w:pPr>
      <w:bookmarkStart w:id="4" w:name="_Toc18500111"/>
      <w:r>
        <w:rPr>
          <w:rFonts w:ascii="Arial" w:hAnsi="Arial" w:cs="Arial"/>
          <w:sz w:val="20"/>
          <w:szCs w:val="20"/>
          <w:lang w:val="en-US"/>
        </w:rPr>
        <w:t>Transactions budgétaires (Transfert</w:t>
      </w:r>
      <w:r w:rsidR="00D4538C">
        <w:rPr>
          <w:rFonts w:ascii="Arial" w:hAnsi="Arial" w:cs="Arial"/>
          <w:sz w:val="20"/>
          <w:szCs w:val="20"/>
          <w:lang w:val="en-US"/>
        </w:rPr>
        <w:t>s</w:t>
      </w:r>
      <w:r>
        <w:rPr>
          <w:rFonts w:ascii="Arial" w:hAnsi="Arial" w:cs="Arial"/>
          <w:sz w:val="20"/>
          <w:szCs w:val="20"/>
          <w:lang w:val="en-US"/>
        </w:rPr>
        <w:t>)</w:t>
      </w:r>
      <w:bookmarkEnd w:id="4"/>
    </w:p>
    <w:p w:rsidR="007D55D6" w:rsidRDefault="007D55D6" w:rsidP="007D55D6">
      <w:pPr>
        <w:spacing w:line="276" w:lineRule="auto"/>
        <w:ind w:left="340"/>
        <w:rPr>
          <w:rFonts w:ascii="Arial" w:hAnsi="Arial" w:cs="Arial"/>
          <w:b/>
          <w:bCs/>
          <w:sz w:val="20"/>
          <w:szCs w:val="20"/>
          <w:lang w:val="en-US"/>
        </w:rPr>
      </w:pPr>
    </w:p>
    <w:p w:rsidR="007D55D6" w:rsidRPr="00292308" w:rsidRDefault="007D55D6" w:rsidP="00DC362A">
      <w:pPr>
        <w:pStyle w:val="ListParagraph"/>
        <w:numPr>
          <w:ilvl w:val="0"/>
          <w:numId w:val="4"/>
        </w:numPr>
        <w:spacing w:line="276" w:lineRule="auto"/>
        <w:ind w:left="426" w:hanging="371"/>
        <w:outlineLvl w:val="2"/>
        <w:rPr>
          <w:rFonts w:ascii="Arial" w:hAnsi="Arial" w:cs="Arial"/>
          <w:b/>
          <w:bCs/>
          <w:sz w:val="20"/>
          <w:szCs w:val="20"/>
          <w:u w:val="single"/>
          <w:lang w:val="fr-CA"/>
        </w:rPr>
      </w:pPr>
      <w:bookmarkStart w:id="5" w:name="_Toc18500112"/>
      <w:r w:rsidRPr="00292308">
        <w:rPr>
          <w:rFonts w:ascii="Arial" w:hAnsi="Arial" w:cs="Arial"/>
          <w:b/>
          <w:bCs/>
          <w:sz w:val="20"/>
          <w:szCs w:val="20"/>
          <w:u w:val="single"/>
          <w:lang w:val="fr-CA"/>
        </w:rPr>
        <w:t>Transferts budgétaires entre les centre</w:t>
      </w:r>
      <w:r w:rsidR="0002257C">
        <w:rPr>
          <w:rFonts w:ascii="Arial" w:hAnsi="Arial" w:cs="Arial"/>
          <w:b/>
          <w:bCs/>
          <w:sz w:val="20"/>
          <w:szCs w:val="20"/>
          <w:u w:val="single"/>
          <w:lang w:val="fr-CA"/>
        </w:rPr>
        <w:t>s</w:t>
      </w:r>
      <w:r>
        <w:rPr>
          <w:rFonts w:ascii="Arial" w:hAnsi="Arial" w:cs="Arial"/>
          <w:b/>
          <w:bCs/>
          <w:sz w:val="20"/>
          <w:szCs w:val="20"/>
          <w:u w:val="single"/>
          <w:lang w:val="fr-CA"/>
        </w:rPr>
        <w:t xml:space="preserve"> financiers</w:t>
      </w:r>
      <w:bookmarkEnd w:id="5"/>
    </w:p>
    <w:p w:rsidR="007D55D6" w:rsidRPr="00292308" w:rsidRDefault="007D55D6" w:rsidP="007D55D6">
      <w:pPr>
        <w:spacing w:line="276" w:lineRule="auto"/>
        <w:ind w:left="340"/>
        <w:rPr>
          <w:rFonts w:ascii="Arial" w:hAnsi="Arial" w:cs="Arial"/>
          <w:b/>
          <w:bCs/>
          <w:sz w:val="20"/>
          <w:szCs w:val="20"/>
          <w:lang w:val="fr-CA"/>
        </w:rPr>
      </w:pPr>
    </w:p>
    <w:p w:rsidR="007D55D6" w:rsidRPr="00292308" w:rsidRDefault="007D55D6" w:rsidP="00DC362A">
      <w:pPr>
        <w:numPr>
          <w:ilvl w:val="2"/>
          <w:numId w:val="1"/>
        </w:numPr>
        <w:tabs>
          <w:tab w:val="clear" w:pos="1456"/>
        </w:tabs>
        <w:spacing w:line="276" w:lineRule="auto"/>
        <w:ind w:left="709" w:hanging="425"/>
        <w:rPr>
          <w:rFonts w:ascii="Arial" w:hAnsi="Arial" w:cs="Arial"/>
          <w:b/>
          <w:bCs/>
          <w:sz w:val="20"/>
          <w:szCs w:val="20"/>
          <w:lang w:val="fr-CA"/>
        </w:rPr>
      </w:pPr>
      <w:r w:rsidRPr="00292308">
        <w:rPr>
          <w:rFonts w:ascii="Arial" w:hAnsi="Arial" w:cs="Arial"/>
          <w:b/>
          <w:bCs/>
          <w:sz w:val="20"/>
          <w:szCs w:val="20"/>
          <w:lang w:val="fr-CA"/>
        </w:rPr>
        <w:t>Transferts entre Directions générales de l’AC et/ou régions au niveau 2:</w:t>
      </w:r>
    </w:p>
    <w:p w:rsidR="007D55D6" w:rsidRPr="00292308" w:rsidRDefault="007D55D6" w:rsidP="007D55D6">
      <w:pPr>
        <w:spacing w:line="276" w:lineRule="auto"/>
        <w:ind w:left="540"/>
        <w:rPr>
          <w:rFonts w:ascii="Arial" w:hAnsi="Arial" w:cs="Arial"/>
          <w:sz w:val="20"/>
          <w:szCs w:val="20"/>
          <w:lang w:val="fr-CA"/>
        </w:rPr>
      </w:pPr>
    </w:p>
    <w:p w:rsidR="007D55D6" w:rsidRPr="003A7A10" w:rsidRDefault="007D55D6" w:rsidP="00EF05AF">
      <w:pPr>
        <w:pStyle w:val="ListParagraph"/>
        <w:spacing w:line="276" w:lineRule="auto"/>
        <w:ind w:left="284"/>
        <w:rPr>
          <w:rFonts w:ascii="Arial" w:hAnsi="Arial" w:cs="Arial"/>
          <w:sz w:val="20"/>
          <w:szCs w:val="20"/>
          <w:lang w:val="fr-CA"/>
        </w:rPr>
      </w:pPr>
      <w:r>
        <w:rPr>
          <w:rFonts w:ascii="Arial" w:hAnsi="Arial" w:cs="Arial"/>
          <w:sz w:val="20"/>
          <w:szCs w:val="20"/>
          <w:lang w:val="fr-CA"/>
        </w:rPr>
        <w:t>Autant l’</w:t>
      </w:r>
      <w:r w:rsidRPr="003A7A10">
        <w:rPr>
          <w:rFonts w:ascii="Arial" w:hAnsi="Arial" w:cs="Arial"/>
          <w:sz w:val="20"/>
          <w:szCs w:val="20"/>
          <w:lang w:val="fr-CA"/>
        </w:rPr>
        <w:t>organisation</w:t>
      </w:r>
      <w:r>
        <w:rPr>
          <w:rFonts w:ascii="Arial" w:hAnsi="Arial" w:cs="Arial"/>
          <w:sz w:val="20"/>
          <w:szCs w:val="20"/>
          <w:lang w:val="fr-CA"/>
        </w:rPr>
        <w:t xml:space="preserve"> </w:t>
      </w:r>
      <w:r w:rsidRPr="003A7A10">
        <w:rPr>
          <w:rFonts w:ascii="Arial" w:hAnsi="Arial" w:cs="Arial"/>
          <w:sz w:val="20"/>
          <w:szCs w:val="20"/>
          <w:lang w:val="fr-CA"/>
        </w:rPr>
        <w:t xml:space="preserve">qui transfère les fonds </w:t>
      </w:r>
      <w:r>
        <w:rPr>
          <w:rFonts w:ascii="Arial" w:hAnsi="Arial" w:cs="Arial"/>
          <w:sz w:val="20"/>
          <w:szCs w:val="20"/>
          <w:lang w:val="fr-CA"/>
        </w:rPr>
        <w:t>que</w:t>
      </w:r>
      <w:r w:rsidRPr="003A7A10">
        <w:rPr>
          <w:rFonts w:ascii="Arial" w:hAnsi="Arial" w:cs="Arial"/>
          <w:sz w:val="20"/>
          <w:szCs w:val="20"/>
          <w:lang w:val="fr-CA"/>
        </w:rPr>
        <w:t xml:space="preserve"> celle qui les reçoit doit </w:t>
      </w:r>
      <w:r w:rsidR="00470426">
        <w:rPr>
          <w:rFonts w:ascii="Arial" w:hAnsi="Arial" w:cs="Arial"/>
          <w:sz w:val="20"/>
          <w:szCs w:val="20"/>
          <w:lang w:val="fr-CA"/>
        </w:rPr>
        <w:t>obtenir l’</w:t>
      </w:r>
      <w:r>
        <w:rPr>
          <w:rFonts w:ascii="Arial" w:hAnsi="Arial" w:cs="Arial"/>
          <w:sz w:val="20"/>
          <w:szCs w:val="20"/>
          <w:lang w:val="fr-CA"/>
        </w:rPr>
        <w:t>approbation de leur SMA soit</w:t>
      </w:r>
      <w:r w:rsidRPr="003A7A10">
        <w:rPr>
          <w:rFonts w:ascii="Arial" w:hAnsi="Arial" w:cs="Arial"/>
          <w:sz w:val="20"/>
          <w:szCs w:val="20"/>
          <w:lang w:val="fr-CA"/>
        </w:rPr>
        <w:t xml:space="preserve"> </w:t>
      </w:r>
      <w:r>
        <w:rPr>
          <w:rFonts w:ascii="Arial" w:hAnsi="Arial" w:cs="Arial"/>
          <w:sz w:val="20"/>
          <w:szCs w:val="20"/>
          <w:lang w:val="fr-CA"/>
        </w:rPr>
        <w:t xml:space="preserve">via l’exercice de prévision, d’un protocole d’entente ou d’un courriel </w:t>
      </w:r>
      <w:r w:rsidRPr="003A7A10">
        <w:rPr>
          <w:rFonts w:ascii="Arial" w:hAnsi="Arial" w:cs="Arial"/>
          <w:sz w:val="20"/>
          <w:szCs w:val="20"/>
          <w:lang w:val="fr-CA"/>
        </w:rPr>
        <w:t xml:space="preserve">(voir section 4 pour les </w:t>
      </w:r>
      <w:r>
        <w:rPr>
          <w:rFonts w:ascii="Arial" w:hAnsi="Arial" w:cs="Arial"/>
          <w:sz w:val="20"/>
          <w:szCs w:val="20"/>
          <w:lang w:val="fr-CA"/>
        </w:rPr>
        <w:t>approbations requises).</w:t>
      </w:r>
      <w:r w:rsidR="00033DD2">
        <w:rPr>
          <w:rFonts w:ascii="Arial" w:hAnsi="Arial" w:cs="Arial"/>
          <w:sz w:val="20"/>
          <w:szCs w:val="20"/>
          <w:lang w:val="fr-CA"/>
        </w:rPr>
        <w:t xml:space="preserve"> </w:t>
      </w:r>
      <w:r>
        <w:rPr>
          <w:rFonts w:ascii="Arial" w:hAnsi="Arial" w:cs="Arial"/>
          <w:sz w:val="20"/>
          <w:szCs w:val="20"/>
          <w:lang w:val="fr-CA"/>
        </w:rPr>
        <w:t xml:space="preserve">Les pièces justificatives </w:t>
      </w:r>
      <w:r w:rsidRPr="003A7A10">
        <w:rPr>
          <w:rFonts w:ascii="Arial" w:hAnsi="Arial" w:cs="Arial"/>
          <w:sz w:val="20"/>
          <w:szCs w:val="20"/>
          <w:lang w:val="fr-CA"/>
        </w:rPr>
        <w:t>doi</w:t>
      </w:r>
      <w:r>
        <w:rPr>
          <w:rFonts w:ascii="Arial" w:hAnsi="Arial" w:cs="Arial"/>
          <w:sz w:val="20"/>
          <w:szCs w:val="20"/>
          <w:lang w:val="fr-CA"/>
        </w:rPr>
        <w:t>vent</w:t>
      </w:r>
      <w:r w:rsidRPr="003A7A10">
        <w:rPr>
          <w:rFonts w:ascii="Arial" w:hAnsi="Arial" w:cs="Arial"/>
          <w:sz w:val="20"/>
          <w:szCs w:val="20"/>
          <w:lang w:val="fr-CA"/>
        </w:rPr>
        <w:t xml:space="preserve"> être annexé</w:t>
      </w:r>
      <w:r>
        <w:rPr>
          <w:rFonts w:ascii="Arial" w:hAnsi="Arial" w:cs="Arial"/>
          <w:sz w:val="20"/>
          <w:szCs w:val="20"/>
          <w:lang w:val="fr-CA"/>
        </w:rPr>
        <w:t>es</w:t>
      </w:r>
      <w:r w:rsidRPr="003A7A10">
        <w:rPr>
          <w:rFonts w:ascii="Arial" w:hAnsi="Arial" w:cs="Arial"/>
          <w:sz w:val="20"/>
          <w:szCs w:val="20"/>
          <w:lang w:val="fr-CA"/>
        </w:rPr>
        <w:t xml:space="preserve"> au document du transfert budgétaire saisi dans maSGE.  Le transfert doit être soumis à </w:t>
      </w:r>
      <w:r>
        <w:rPr>
          <w:rFonts w:ascii="Arial" w:hAnsi="Arial" w:cs="Arial"/>
          <w:sz w:val="20"/>
          <w:szCs w:val="20"/>
          <w:lang w:val="fr-CA"/>
        </w:rPr>
        <w:t xml:space="preserve">la </w:t>
      </w:r>
      <w:r w:rsidRPr="003A7A10">
        <w:rPr>
          <w:rFonts w:ascii="Arial" w:hAnsi="Arial" w:cs="Arial"/>
          <w:sz w:val="20"/>
          <w:szCs w:val="20"/>
          <w:lang w:val="fr-CA"/>
        </w:rPr>
        <w:t xml:space="preserve">GRM par </w:t>
      </w:r>
      <w:r w:rsidR="00BE50F5" w:rsidRPr="00BE50F5">
        <w:rPr>
          <w:rFonts w:ascii="Arial" w:hAnsi="Arial" w:cs="Arial"/>
          <w:sz w:val="20"/>
          <w:szCs w:val="20"/>
          <w:lang w:val="fr-CA"/>
        </w:rPr>
        <w:t xml:space="preserve">l’entremise du système d’acheminement des opérations </w:t>
      </w:r>
      <w:r w:rsidR="00E31C90">
        <w:rPr>
          <w:rFonts w:ascii="Arial" w:hAnsi="Arial" w:cs="Arial"/>
          <w:sz w:val="20"/>
          <w:szCs w:val="20"/>
          <w:lang w:val="fr-CA"/>
        </w:rPr>
        <w:t>(workflow)</w:t>
      </w:r>
      <w:r w:rsidR="00BE50F5">
        <w:rPr>
          <w:rFonts w:ascii="Arial" w:hAnsi="Arial" w:cs="Arial"/>
          <w:sz w:val="20"/>
          <w:szCs w:val="20"/>
          <w:lang w:val="fr-CA"/>
        </w:rPr>
        <w:t xml:space="preserve"> </w:t>
      </w:r>
      <w:r w:rsidRPr="003A7A10">
        <w:rPr>
          <w:rFonts w:ascii="Arial" w:hAnsi="Arial" w:cs="Arial"/>
          <w:sz w:val="20"/>
          <w:szCs w:val="20"/>
          <w:lang w:val="fr-CA"/>
        </w:rPr>
        <w:t>pour approbation</w:t>
      </w:r>
      <w:r>
        <w:rPr>
          <w:rFonts w:ascii="Arial" w:hAnsi="Arial" w:cs="Arial"/>
          <w:sz w:val="20"/>
          <w:szCs w:val="20"/>
          <w:lang w:val="fr-CA"/>
        </w:rPr>
        <w:t xml:space="preserve"> et enregistrement dans maSGE</w:t>
      </w:r>
      <w:r w:rsidRPr="003A7A10">
        <w:rPr>
          <w:rFonts w:ascii="Arial" w:hAnsi="Arial" w:cs="Arial"/>
          <w:sz w:val="20"/>
          <w:szCs w:val="20"/>
          <w:lang w:val="fr-CA"/>
        </w:rPr>
        <w:t>.</w:t>
      </w:r>
    </w:p>
    <w:p w:rsidR="007D55D6" w:rsidRPr="00292308" w:rsidRDefault="007D55D6" w:rsidP="007D55D6">
      <w:pPr>
        <w:spacing w:line="276" w:lineRule="auto"/>
        <w:ind w:left="540"/>
        <w:rPr>
          <w:rFonts w:ascii="Arial" w:hAnsi="Arial" w:cs="Arial"/>
          <w:sz w:val="20"/>
          <w:szCs w:val="20"/>
          <w:lang w:val="fr-CA"/>
        </w:rPr>
      </w:pPr>
    </w:p>
    <w:p w:rsidR="007D55D6" w:rsidRPr="00D57F01" w:rsidRDefault="007D55D6" w:rsidP="00DC362A">
      <w:pPr>
        <w:numPr>
          <w:ilvl w:val="2"/>
          <w:numId w:val="1"/>
        </w:numPr>
        <w:tabs>
          <w:tab w:val="clear" w:pos="1456"/>
        </w:tabs>
        <w:spacing w:line="276" w:lineRule="auto"/>
        <w:ind w:left="709" w:hanging="425"/>
        <w:rPr>
          <w:rFonts w:ascii="Arial" w:hAnsi="Arial" w:cs="Arial"/>
          <w:b/>
          <w:bCs/>
          <w:sz w:val="20"/>
          <w:szCs w:val="20"/>
          <w:lang w:val="fr-CA"/>
        </w:rPr>
      </w:pPr>
      <w:r w:rsidRPr="008E4D4D">
        <w:rPr>
          <w:rFonts w:ascii="Arial" w:hAnsi="Arial" w:cs="Arial"/>
          <w:b/>
          <w:bCs/>
          <w:sz w:val="20"/>
          <w:szCs w:val="20"/>
          <w:lang w:val="fr-CA"/>
        </w:rPr>
        <w:t>Transferts aux/des réserves:</w:t>
      </w:r>
    </w:p>
    <w:p w:rsidR="007D55D6" w:rsidRDefault="007D55D6" w:rsidP="007D55D6">
      <w:pPr>
        <w:pStyle w:val="ListParagraph"/>
        <w:spacing w:line="276" w:lineRule="auto"/>
        <w:rPr>
          <w:rFonts w:ascii="Arial" w:hAnsi="Arial" w:cs="Arial"/>
          <w:sz w:val="20"/>
          <w:szCs w:val="20"/>
          <w:lang w:val="fr-CA"/>
        </w:rPr>
      </w:pPr>
    </w:p>
    <w:p w:rsidR="00DC362A" w:rsidRDefault="00DC362A" w:rsidP="00DC362A">
      <w:pPr>
        <w:pStyle w:val="ListParagraph"/>
        <w:spacing w:line="276" w:lineRule="auto"/>
        <w:ind w:left="284"/>
        <w:rPr>
          <w:rFonts w:ascii="Arial" w:hAnsi="Arial" w:cs="Arial"/>
          <w:sz w:val="20"/>
          <w:szCs w:val="20"/>
          <w:lang w:val="fr-CA"/>
        </w:rPr>
      </w:pPr>
      <w:r>
        <w:rPr>
          <w:rFonts w:ascii="Arial" w:hAnsi="Arial" w:cs="Arial"/>
          <w:sz w:val="20"/>
          <w:szCs w:val="20"/>
          <w:lang w:val="fr-CA"/>
        </w:rPr>
        <w:t>L</w:t>
      </w:r>
      <w:r w:rsidRPr="004B31EB">
        <w:rPr>
          <w:rFonts w:ascii="Arial" w:hAnsi="Arial" w:cs="Arial"/>
          <w:sz w:val="20"/>
          <w:szCs w:val="20"/>
          <w:lang w:val="fr-CA"/>
        </w:rPr>
        <w:t>a GRM est responsable de maintenir les réserves ministérielles</w:t>
      </w:r>
      <w:r>
        <w:rPr>
          <w:rFonts w:ascii="Arial" w:hAnsi="Arial" w:cs="Arial"/>
          <w:sz w:val="20"/>
          <w:szCs w:val="20"/>
          <w:lang w:val="fr-CA"/>
        </w:rPr>
        <w:t>.</w:t>
      </w:r>
    </w:p>
    <w:p w:rsidR="00DC362A" w:rsidRDefault="00DC362A" w:rsidP="007D55D6">
      <w:pPr>
        <w:pStyle w:val="ListParagraph"/>
        <w:spacing w:line="276" w:lineRule="auto"/>
        <w:rPr>
          <w:rFonts w:ascii="Arial" w:hAnsi="Arial" w:cs="Arial"/>
          <w:sz w:val="20"/>
          <w:szCs w:val="20"/>
          <w:lang w:val="fr-CA"/>
        </w:rPr>
      </w:pPr>
    </w:p>
    <w:p w:rsidR="00DC362A" w:rsidRDefault="00DC362A" w:rsidP="00826AF3">
      <w:pPr>
        <w:pStyle w:val="ListParagraph"/>
        <w:spacing w:line="276" w:lineRule="auto"/>
        <w:ind w:left="426"/>
        <w:rPr>
          <w:rFonts w:ascii="Arial" w:hAnsi="Arial" w:cs="Arial"/>
          <w:i/>
          <w:sz w:val="20"/>
          <w:szCs w:val="20"/>
          <w:lang w:val="fr-CA"/>
        </w:rPr>
      </w:pPr>
      <w:r w:rsidRPr="00EF05AF">
        <w:rPr>
          <w:rFonts w:ascii="Arial" w:hAnsi="Arial" w:cs="Arial"/>
          <w:i/>
          <w:sz w:val="20"/>
          <w:szCs w:val="20"/>
          <w:lang w:val="fr-CA"/>
        </w:rPr>
        <w:t>Fonds de fonctionnement réguliers</w:t>
      </w:r>
      <w:r>
        <w:rPr>
          <w:rFonts w:ascii="Arial" w:hAnsi="Arial" w:cs="Arial"/>
          <w:i/>
          <w:sz w:val="20"/>
          <w:szCs w:val="20"/>
          <w:lang w:val="fr-CA"/>
        </w:rPr>
        <w:t xml:space="preserve"> (incluant les réserves de projets)</w:t>
      </w:r>
    </w:p>
    <w:p w:rsidR="00DC362A" w:rsidRDefault="00617AE7" w:rsidP="00EF05AF">
      <w:pPr>
        <w:pStyle w:val="ListParagraph"/>
        <w:numPr>
          <w:ilvl w:val="0"/>
          <w:numId w:val="12"/>
        </w:numPr>
        <w:spacing w:line="276" w:lineRule="auto"/>
        <w:ind w:left="1134"/>
        <w:rPr>
          <w:rFonts w:ascii="Arial" w:hAnsi="Arial" w:cs="Arial"/>
          <w:sz w:val="20"/>
          <w:szCs w:val="20"/>
          <w:lang w:val="fr-CA"/>
        </w:rPr>
      </w:pPr>
      <w:r>
        <w:rPr>
          <w:rFonts w:ascii="Arial" w:hAnsi="Arial" w:cs="Arial"/>
          <w:sz w:val="20"/>
          <w:szCs w:val="20"/>
          <w:lang w:val="fr-CA"/>
        </w:rPr>
        <w:t>La majorité des</w:t>
      </w:r>
      <w:r w:rsidRPr="00617AE7">
        <w:rPr>
          <w:rFonts w:ascii="Arial" w:hAnsi="Arial" w:cs="Arial"/>
          <w:sz w:val="20"/>
          <w:szCs w:val="20"/>
          <w:lang w:val="fr-CA"/>
        </w:rPr>
        <w:t xml:space="preserve"> transferts inclus le rapatriement des surplus et le finance</w:t>
      </w:r>
      <w:r>
        <w:rPr>
          <w:rFonts w:ascii="Arial" w:hAnsi="Arial" w:cs="Arial"/>
          <w:sz w:val="20"/>
          <w:szCs w:val="20"/>
          <w:lang w:val="fr-CA"/>
        </w:rPr>
        <w:t>ment des pressions financières suite aux exercices</w:t>
      </w:r>
      <w:r w:rsidRPr="00617AE7">
        <w:rPr>
          <w:rFonts w:ascii="Arial" w:hAnsi="Arial" w:cs="Arial"/>
          <w:sz w:val="20"/>
          <w:szCs w:val="20"/>
          <w:lang w:val="fr-CA"/>
        </w:rPr>
        <w:t xml:space="preserve"> de prévisions et décisions du Conseil de gestion du portefeuille (CGP). La GRM préparera l’entrée dans maSGE</w:t>
      </w:r>
      <w:r>
        <w:rPr>
          <w:rFonts w:ascii="Arial" w:hAnsi="Arial" w:cs="Arial"/>
          <w:sz w:val="20"/>
          <w:szCs w:val="20"/>
          <w:lang w:val="fr-CA"/>
        </w:rPr>
        <w:t xml:space="preserve"> (SAP)</w:t>
      </w:r>
      <w:r w:rsidRPr="00617AE7">
        <w:rPr>
          <w:rFonts w:ascii="Arial" w:hAnsi="Arial" w:cs="Arial"/>
          <w:sz w:val="20"/>
          <w:szCs w:val="20"/>
          <w:lang w:val="fr-CA"/>
        </w:rPr>
        <w:t xml:space="preserve">, </w:t>
      </w:r>
      <w:r w:rsidRPr="00617AE7">
        <w:rPr>
          <w:rFonts w:ascii="Arial" w:hAnsi="Arial" w:cs="Arial"/>
          <w:sz w:val="20"/>
          <w:szCs w:val="20"/>
          <w:lang w:val="fr-CA"/>
        </w:rPr>
        <w:lastRenderedPageBreak/>
        <w:t>s’assurant que les approbations requises sont obtenues</w:t>
      </w:r>
      <w:r w:rsidR="00471111" w:rsidRPr="00EF05AF">
        <w:rPr>
          <w:rFonts w:ascii="Arial" w:hAnsi="Arial" w:cs="Arial"/>
          <w:sz w:val="20"/>
          <w:szCs w:val="20"/>
          <w:u w:val="single"/>
          <w:lang w:val="fr-CA"/>
        </w:rPr>
        <w:t>. Tous les surplus rapatriables</w:t>
      </w:r>
      <w:r w:rsidRPr="00EF05AF">
        <w:rPr>
          <w:rFonts w:ascii="Arial" w:hAnsi="Arial" w:cs="Arial"/>
          <w:sz w:val="20"/>
          <w:szCs w:val="20"/>
          <w:u w:val="single"/>
          <w:lang w:val="fr-CA"/>
        </w:rPr>
        <w:t xml:space="preserve"> identifiés au cours d’une période de prévision doivent être montés au niveau de la direction générale, par le CGF, afin de pouvoir effectuer les rapatriements immédiatement après l’approbation des prévisions ministérielles.</w:t>
      </w:r>
      <w:r w:rsidRPr="00617AE7">
        <w:rPr>
          <w:rFonts w:ascii="Arial" w:hAnsi="Arial" w:cs="Arial"/>
          <w:sz w:val="20"/>
          <w:szCs w:val="20"/>
          <w:lang w:val="fr-CA"/>
        </w:rPr>
        <w:t xml:space="preserve"> Les annexes de prévisions serviront d’approbation de la transaction du rapatriement de la p</w:t>
      </w:r>
      <w:r>
        <w:rPr>
          <w:rFonts w:ascii="Arial" w:hAnsi="Arial" w:cs="Arial"/>
          <w:sz w:val="20"/>
          <w:szCs w:val="20"/>
          <w:lang w:val="fr-CA"/>
        </w:rPr>
        <w:t>art du CGF et du SMA</w:t>
      </w:r>
      <w:r w:rsidRPr="00617AE7">
        <w:rPr>
          <w:rFonts w:ascii="Arial" w:hAnsi="Arial" w:cs="Arial"/>
          <w:sz w:val="20"/>
          <w:szCs w:val="20"/>
          <w:lang w:val="fr-CA"/>
        </w:rPr>
        <w:t>.</w:t>
      </w:r>
    </w:p>
    <w:p w:rsidR="007E1430" w:rsidRDefault="007E1430" w:rsidP="00EF05AF">
      <w:pPr>
        <w:pStyle w:val="ListParagraph"/>
        <w:spacing w:line="276" w:lineRule="auto"/>
        <w:ind w:left="1134"/>
        <w:rPr>
          <w:rFonts w:ascii="Arial" w:hAnsi="Arial" w:cs="Arial"/>
          <w:sz w:val="20"/>
          <w:szCs w:val="20"/>
          <w:lang w:val="fr-CA"/>
        </w:rPr>
      </w:pPr>
    </w:p>
    <w:p w:rsidR="00617AE7" w:rsidRPr="00DC362A" w:rsidRDefault="00617AE7" w:rsidP="00EF05AF">
      <w:pPr>
        <w:pStyle w:val="ListParagraph"/>
        <w:numPr>
          <w:ilvl w:val="0"/>
          <w:numId w:val="12"/>
        </w:numPr>
        <w:spacing w:line="276" w:lineRule="auto"/>
        <w:ind w:left="1134"/>
        <w:rPr>
          <w:rFonts w:ascii="Arial" w:hAnsi="Arial" w:cs="Arial"/>
          <w:sz w:val="20"/>
          <w:szCs w:val="20"/>
          <w:lang w:val="fr-CA"/>
        </w:rPr>
      </w:pPr>
      <w:r>
        <w:rPr>
          <w:rFonts w:ascii="Arial" w:hAnsi="Arial" w:cs="Arial"/>
          <w:sz w:val="20"/>
          <w:szCs w:val="20"/>
          <w:lang w:val="fr-CA"/>
        </w:rPr>
        <w:t xml:space="preserve">Les transferts des réserves de projets nécessitent l’approbation du gestionnaire de projet </w:t>
      </w:r>
      <w:r w:rsidR="007E1430">
        <w:rPr>
          <w:rFonts w:ascii="Arial" w:hAnsi="Arial" w:cs="Arial"/>
          <w:sz w:val="20"/>
          <w:szCs w:val="20"/>
          <w:lang w:val="fr-CA"/>
        </w:rPr>
        <w:t>seulement.</w:t>
      </w:r>
      <w:r w:rsidR="00720EFA">
        <w:rPr>
          <w:rFonts w:ascii="Arial" w:hAnsi="Arial" w:cs="Arial"/>
          <w:sz w:val="20"/>
          <w:szCs w:val="20"/>
          <w:lang w:val="fr-CA"/>
        </w:rPr>
        <w:t xml:space="preserve"> </w:t>
      </w:r>
      <w:r w:rsidR="002054C3">
        <w:rPr>
          <w:rFonts w:ascii="Arial" w:hAnsi="Arial" w:cs="Arial"/>
          <w:sz w:val="20"/>
          <w:szCs w:val="20"/>
          <w:lang w:val="fr-CA"/>
        </w:rPr>
        <w:t>Les rapatriements des surplus déclarés pour les initiatives de projets via les exercices de prévision ou à la fin de l’exercice financier ne nécessitent pas l’approbation du gestionnaire de projet.</w:t>
      </w:r>
    </w:p>
    <w:p w:rsidR="007D55D6" w:rsidRDefault="007D55D6" w:rsidP="00EF05AF">
      <w:pPr>
        <w:spacing w:line="276" w:lineRule="auto"/>
        <w:ind w:left="360"/>
        <w:rPr>
          <w:rFonts w:ascii="Arial" w:hAnsi="Arial" w:cs="Arial"/>
          <w:sz w:val="20"/>
          <w:szCs w:val="20"/>
          <w:lang w:val="fr-CA"/>
        </w:rPr>
      </w:pPr>
    </w:p>
    <w:p w:rsidR="007E1430" w:rsidRPr="00EF05AF" w:rsidRDefault="007E1430" w:rsidP="00EF05AF">
      <w:pPr>
        <w:spacing w:line="276" w:lineRule="auto"/>
        <w:ind w:left="426"/>
        <w:rPr>
          <w:rFonts w:ascii="Arial" w:hAnsi="Arial" w:cs="Arial"/>
          <w:i/>
          <w:sz w:val="20"/>
          <w:szCs w:val="20"/>
          <w:lang w:val="fr-CA"/>
        </w:rPr>
      </w:pPr>
      <w:r w:rsidRPr="00EF05AF">
        <w:rPr>
          <w:rFonts w:ascii="Arial" w:hAnsi="Arial" w:cs="Arial"/>
          <w:i/>
          <w:sz w:val="20"/>
          <w:szCs w:val="20"/>
          <w:lang w:val="fr-CA"/>
        </w:rPr>
        <w:t>Fonds de programme (S&amp;C)</w:t>
      </w:r>
    </w:p>
    <w:p w:rsidR="007D55D6" w:rsidRPr="004B31EB" w:rsidRDefault="007D55D6" w:rsidP="00EF05AF">
      <w:pPr>
        <w:pStyle w:val="ListParagraph"/>
        <w:spacing w:line="276" w:lineRule="auto"/>
        <w:rPr>
          <w:rFonts w:ascii="Arial" w:hAnsi="Arial" w:cs="Arial"/>
          <w:sz w:val="20"/>
          <w:szCs w:val="20"/>
          <w:lang w:val="fr-CA"/>
        </w:rPr>
      </w:pPr>
      <w:r w:rsidRPr="004B31EB">
        <w:rPr>
          <w:rFonts w:ascii="Arial" w:hAnsi="Arial" w:cs="Arial"/>
          <w:sz w:val="20"/>
          <w:szCs w:val="20"/>
          <w:lang w:val="fr-CA"/>
        </w:rPr>
        <w:t>Les transferts de fonds de programme inclu</w:t>
      </w:r>
      <w:r w:rsidR="00797435">
        <w:rPr>
          <w:rFonts w:ascii="Arial" w:hAnsi="Arial" w:cs="Arial"/>
          <w:sz w:val="20"/>
          <w:szCs w:val="20"/>
          <w:lang w:val="fr-CA"/>
        </w:rPr>
        <w:t>ent</w:t>
      </w:r>
      <w:r w:rsidRPr="004B31EB">
        <w:rPr>
          <w:rFonts w:ascii="Arial" w:hAnsi="Arial" w:cs="Arial"/>
          <w:sz w:val="20"/>
          <w:szCs w:val="20"/>
          <w:lang w:val="fr-CA"/>
        </w:rPr>
        <w:t xml:space="preserve"> le rapatriement des surplus lié</w:t>
      </w:r>
      <w:r w:rsidR="00797435">
        <w:rPr>
          <w:rFonts w:ascii="Arial" w:hAnsi="Arial" w:cs="Arial"/>
          <w:sz w:val="20"/>
          <w:szCs w:val="20"/>
          <w:lang w:val="fr-CA"/>
        </w:rPr>
        <w:t>s</w:t>
      </w:r>
      <w:r w:rsidRPr="004B31EB">
        <w:rPr>
          <w:rFonts w:ascii="Arial" w:hAnsi="Arial" w:cs="Arial"/>
          <w:sz w:val="20"/>
          <w:szCs w:val="20"/>
          <w:lang w:val="fr-CA"/>
        </w:rPr>
        <w:t xml:space="preserve"> aux </w:t>
      </w:r>
      <w:r>
        <w:rPr>
          <w:rFonts w:ascii="Arial" w:hAnsi="Arial" w:cs="Arial"/>
          <w:sz w:val="20"/>
          <w:szCs w:val="20"/>
          <w:lang w:val="fr-CA"/>
        </w:rPr>
        <w:t>reports</w:t>
      </w:r>
      <w:r w:rsidRPr="004B31EB">
        <w:rPr>
          <w:rFonts w:ascii="Arial" w:hAnsi="Arial" w:cs="Arial"/>
          <w:sz w:val="20"/>
          <w:szCs w:val="20"/>
          <w:lang w:val="fr-CA"/>
        </w:rPr>
        <w:t xml:space="preserve"> des fonds approuvés et </w:t>
      </w:r>
      <w:r w:rsidR="00797435">
        <w:rPr>
          <w:rFonts w:ascii="Arial" w:hAnsi="Arial" w:cs="Arial"/>
          <w:sz w:val="20"/>
          <w:szCs w:val="20"/>
          <w:lang w:val="fr-CA"/>
        </w:rPr>
        <w:t>au</w:t>
      </w:r>
      <w:r w:rsidR="00797435" w:rsidRPr="004B31EB">
        <w:rPr>
          <w:rFonts w:ascii="Arial" w:hAnsi="Arial" w:cs="Arial"/>
          <w:sz w:val="20"/>
          <w:szCs w:val="20"/>
          <w:lang w:val="fr-CA"/>
        </w:rPr>
        <w:t xml:space="preserve"> </w:t>
      </w:r>
      <w:r w:rsidRPr="004B31EB">
        <w:rPr>
          <w:rFonts w:ascii="Arial" w:hAnsi="Arial" w:cs="Arial"/>
          <w:sz w:val="20"/>
          <w:szCs w:val="20"/>
          <w:lang w:val="fr-CA"/>
        </w:rPr>
        <w:t xml:space="preserve">financement </w:t>
      </w:r>
      <w:r w:rsidR="00797435">
        <w:rPr>
          <w:rFonts w:ascii="Arial" w:hAnsi="Arial" w:cs="Arial"/>
          <w:sz w:val="20"/>
          <w:szCs w:val="20"/>
          <w:lang w:val="fr-CA"/>
        </w:rPr>
        <w:t>pour rembourser les fonds alloués par une gestion de risque sans source de fonds</w:t>
      </w:r>
      <w:r w:rsidRPr="004B31EB">
        <w:rPr>
          <w:rFonts w:ascii="Arial" w:hAnsi="Arial" w:cs="Arial"/>
          <w:sz w:val="20"/>
          <w:szCs w:val="20"/>
          <w:lang w:val="fr-CA"/>
        </w:rPr>
        <w:t>.</w:t>
      </w:r>
      <w:r w:rsidR="00797435">
        <w:rPr>
          <w:rFonts w:ascii="Arial" w:hAnsi="Arial" w:cs="Arial"/>
          <w:sz w:val="20"/>
          <w:szCs w:val="20"/>
          <w:lang w:val="fr-CA"/>
        </w:rPr>
        <w:t xml:space="preserve"> </w:t>
      </w:r>
      <w:r w:rsidRPr="004B31EB">
        <w:rPr>
          <w:rFonts w:ascii="Arial" w:hAnsi="Arial" w:cs="Arial"/>
          <w:sz w:val="20"/>
          <w:szCs w:val="20"/>
          <w:lang w:val="fr-CA"/>
        </w:rPr>
        <w:t>La GRM préparera l’entrée dans maSGE</w:t>
      </w:r>
      <w:r w:rsidR="007E1430">
        <w:rPr>
          <w:rFonts w:ascii="Arial" w:hAnsi="Arial" w:cs="Arial"/>
          <w:sz w:val="20"/>
          <w:szCs w:val="20"/>
          <w:lang w:val="fr-CA"/>
        </w:rPr>
        <w:t xml:space="preserve"> (SAP)</w:t>
      </w:r>
      <w:r w:rsidRPr="004B31EB">
        <w:rPr>
          <w:rFonts w:ascii="Arial" w:hAnsi="Arial" w:cs="Arial"/>
          <w:sz w:val="20"/>
          <w:szCs w:val="20"/>
          <w:lang w:val="fr-CA"/>
        </w:rPr>
        <w:t>, s’assurant que les approbations requises sont obtenues.</w:t>
      </w:r>
    </w:p>
    <w:p w:rsidR="007D55D6" w:rsidRPr="00D63ABE" w:rsidRDefault="007D55D6" w:rsidP="007D55D6">
      <w:pPr>
        <w:spacing w:line="276" w:lineRule="auto"/>
        <w:ind w:left="540"/>
        <w:rPr>
          <w:rFonts w:ascii="Arial" w:hAnsi="Arial" w:cs="Arial"/>
          <w:sz w:val="20"/>
          <w:szCs w:val="20"/>
          <w:lang w:val="fr-CA"/>
        </w:rPr>
      </w:pPr>
    </w:p>
    <w:p w:rsidR="007D55D6" w:rsidRPr="003A7A10" w:rsidRDefault="007D55D6" w:rsidP="007D55D6">
      <w:pPr>
        <w:spacing w:line="276" w:lineRule="auto"/>
        <w:ind w:left="851"/>
        <w:rPr>
          <w:rFonts w:ascii="Arial" w:hAnsi="Arial" w:cs="Arial"/>
          <w:b/>
          <w:sz w:val="20"/>
          <w:szCs w:val="20"/>
          <w:lang w:val="fr-CA"/>
        </w:rPr>
      </w:pPr>
    </w:p>
    <w:p w:rsidR="00826AF3" w:rsidRPr="00826AF3" w:rsidRDefault="007D55D6" w:rsidP="00826AF3">
      <w:pPr>
        <w:numPr>
          <w:ilvl w:val="2"/>
          <w:numId w:val="1"/>
        </w:numPr>
        <w:tabs>
          <w:tab w:val="clear" w:pos="1456"/>
          <w:tab w:val="num" w:pos="851"/>
        </w:tabs>
        <w:spacing w:line="276" w:lineRule="auto"/>
        <w:ind w:left="709" w:hanging="425"/>
        <w:rPr>
          <w:rFonts w:ascii="Arial" w:hAnsi="Arial" w:cs="Arial"/>
          <w:b/>
          <w:sz w:val="20"/>
          <w:szCs w:val="20"/>
          <w:lang w:val="fr-CA"/>
        </w:rPr>
      </w:pPr>
      <w:r w:rsidRPr="003A7A10">
        <w:rPr>
          <w:rFonts w:ascii="Arial" w:hAnsi="Arial" w:cs="Arial"/>
          <w:b/>
          <w:bCs/>
          <w:sz w:val="20"/>
          <w:szCs w:val="20"/>
          <w:lang w:val="fr-CA"/>
        </w:rPr>
        <w:t xml:space="preserve">Transferts à l’intérieur d’un même centre financier au niveau 3 et plus </w:t>
      </w:r>
    </w:p>
    <w:p w:rsidR="007D55D6" w:rsidRPr="003A7A10" w:rsidRDefault="007D55D6" w:rsidP="00EF05AF">
      <w:pPr>
        <w:spacing w:line="276" w:lineRule="auto"/>
        <w:ind w:left="709"/>
        <w:rPr>
          <w:rFonts w:ascii="Arial" w:hAnsi="Arial" w:cs="Arial"/>
          <w:b/>
          <w:sz w:val="20"/>
          <w:szCs w:val="20"/>
          <w:lang w:val="fr-CA"/>
        </w:rPr>
      </w:pPr>
    </w:p>
    <w:p w:rsidR="007D55D6" w:rsidRPr="00EF05AF" w:rsidRDefault="00826AF3" w:rsidP="00EF05AF">
      <w:pPr>
        <w:spacing w:line="276" w:lineRule="auto"/>
        <w:ind w:left="426"/>
        <w:rPr>
          <w:rFonts w:ascii="Arial" w:hAnsi="Arial" w:cs="Arial"/>
          <w:i/>
          <w:sz w:val="20"/>
          <w:szCs w:val="20"/>
          <w:lang w:val="fr-CA"/>
        </w:rPr>
      </w:pPr>
      <w:r w:rsidRPr="00EF05AF">
        <w:rPr>
          <w:rFonts w:ascii="Arial" w:hAnsi="Arial" w:cs="Arial"/>
          <w:i/>
          <w:sz w:val="20"/>
          <w:szCs w:val="20"/>
          <w:lang w:val="fr-CA"/>
        </w:rPr>
        <w:t>Fonds de fonctionnement réguliers (incluant les réserves de projets)</w:t>
      </w:r>
    </w:p>
    <w:p w:rsidR="007D55D6" w:rsidRDefault="007D55D6" w:rsidP="00EF05AF">
      <w:pPr>
        <w:pStyle w:val="ListParagraph"/>
        <w:spacing w:line="276" w:lineRule="auto"/>
        <w:rPr>
          <w:rFonts w:ascii="Arial" w:hAnsi="Arial" w:cs="Arial"/>
          <w:sz w:val="20"/>
          <w:szCs w:val="20"/>
          <w:lang w:val="fr-CA"/>
        </w:rPr>
      </w:pPr>
      <w:r w:rsidRPr="004B31EB">
        <w:rPr>
          <w:rFonts w:ascii="Arial" w:hAnsi="Arial" w:cs="Arial"/>
          <w:sz w:val="20"/>
          <w:szCs w:val="20"/>
          <w:lang w:val="fr-CA"/>
        </w:rPr>
        <w:t>Les CGF et les Services de gestion de la direction générale (SGDG) s</w:t>
      </w:r>
      <w:r>
        <w:rPr>
          <w:rFonts w:ascii="Arial" w:hAnsi="Arial" w:cs="Arial"/>
          <w:sz w:val="20"/>
          <w:szCs w:val="20"/>
          <w:lang w:val="fr-CA"/>
        </w:rPr>
        <w:t>ont</w:t>
      </w:r>
      <w:r w:rsidRPr="004B31EB">
        <w:rPr>
          <w:rFonts w:ascii="Arial" w:hAnsi="Arial" w:cs="Arial"/>
          <w:sz w:val="20"/>
          <w:szCs w:val="20"/>
          <w:lang w:val="fr-CA"/>
        </w:rPr>
        <w:t xml:space="preserve"> autorisés à bouger leur budget du plus haut au plus bas</w:t>
      </w:r>
      <w:r>
        <w:rPr>
          <w:rFonts w:ascii="Arial" w:hAnsi="Arial" w:cs="Arial"/>
          <w:sz w:val="20"/>
          <w:szCs w:val="20"/>
          <w:lang w:val="fr-CA"/>
        </w:rPr>
        <w:t xml:space="preserve"> </w:t>
      </w:r>
      <w:r w:rsidRPr="004B31EB">
        <w:rPr>
          <w:rFonts w:ascii="Arial" w:hAnsi="Arial" w:cs="Arial"/>
          <w:sz w:val="20"/>
          <w:szCs w:val="20"/>
          <w:lang w:val="fr-CA"/>
        </w:rPr>
        <w:t xml:space="preserve">niveau, </w:t>
      </w:r>
      <w:r>
        <w:rPr>
          <w:rFonts w:ascii="Arial" w:hAnsi="Arial" w:cs="Arial"/>
          <w:sz w:val="20"/>
          <w:szCs w:val="20"/>
          <w:lang w:val="fr-CA"/>
        </w:rPr>
        <w:t>à effectuer des transferts</w:t>
      </w:r>
      <w:r w:rsidRPr="004B31EB">
        <w:rPr>
          <w:rFonts w:ascii="Arial" w:hAnsi="Arial" w:cs="Arial"/>
          <w:sz w:val="20"/>
          <w:szCs w:val="20"/>
          <w:lang w:val="fr-CA"/>
        </w:rPr>
        <w:t xml:space="preserve"> à l’intérieur du même fonds, d</w:t>
      </w:r>
      <w:r>
        <w:rPr>
          <w:rFonts w:ascii="Arial" w:hAnsi="Arial" w:cs="Arial"/>
          <w:sz w:val="20"/>
          <w:szCs w:val="20"/>
          <w:lang w:val="fr-CA"/>
        </w:rPr>
        <w:t xml:space="preserve">’un </w:t>
      </w:r>
      <w:r w:rsidRPr="004B31EB">
        <w:rPr>
          <w:rFonts w:ascii="Arial" w:hAnsi="Arial" w:cs="Arial"/>
          <w:sz w:val="20"/>
          <w:szCs w:val="20"/>
          <w:lang w:val="fr-CA"/>
        </w:rPr>
        <w:t xml:space="preserve">même groupe de comptes budgétaires, à </w:t>
      </w:r>
      <w:r w:rsidR="00720EFA">
        <w:rPr>
          <w:rFonts w:ascii="Arial" w:hAnsi="Arial" w:cs="Arial"/>
          <w:sz w:val="20"/>
          <w:szCs w:val="20"/>
          <w:lang w:val="fr-CA"/>
        </w:rPr>
        <w:t>entre les</w:t>
      </w:r>
      <w:r w:rsidRPr="004B31EB">
        <w:rPr>
          <w:rFonts w:ascii="Arial" w:hAnsi="Arial" w:cs="Arial"/>
          <w:sz w:val="20"/>
          <w:szCs w:val="20"/>
          <w:lang w:val="fr-CA"/>
        </w:rPr>
        <w:t xml:space="preserve"> domaines fonctionnels </w:t>
      </w:r>
      <w:r w:rsidR="00720EFA">
        <w:rPr>
          <w:rFonts w:ascii="Arial" w:hAnsi="Arial" w:cs="Arial"/>
          <w:sz w:val="20"/>
          <w:szCs w:val="20"/>
          <w:lang w:val="fr-CA"/>
        </w:rPr>
        <w:t>(au sein du même secteur d’activité pour les régions)</w:t>
      </w:r>
      <w:r w:rsidR="00D4538C">
        <w:rPr>
          <w:rFonts w:ascii="Arial" w:hAnsi="Arial" w:cs="Arial"/>
          <w:sz w:val="20"/>
          <w:szCs w:val="20"/>
          <w:lang w:val="fr-CA"/>
        </w:rPr>
        <w:t>.</w:t>
      </w:r>
    </w:p>
    <w:p w:rsidR="00826AF3" w:rsidRDefault="00826AF3" w:rsidP="00EF05AF">
      <w:pPr>
        <w:spacing w:line="276" w:lineRule="auto"/>
        <w:rPr>
          <w:rFonts w:ascii="Arial" w:hAnsi="Arial" w:cs="Arial"/>
          <w:sz w:val="20"/>
          <w:szCs w:val="20"/>
          <w:lang w:val="fr-CA"/>
        </w:rPr>
      </w:pPr>
    </w:p>
    <w:p w:rsidR="007D55D6" w:rsidRDefault="00826AF3" w:rsidP="00EF05AF">
      <w:pPr>
        <w:spacing w:line="276" w:lineRule="auto"/>
        <w:ind w:left="426"/>
        <w:rPr>
          <w:rFonts w:ascii="Arial" w:hAnsi="Arial" w:cs="Arial"/>
          <w:b/>
          <w:sz w:val="20"/>
          <w:szCs w:val="20"/>
          <w:lang w:val="fr-CA"/>
        </w:rPr>
      </w:pPr>
      <w:r w:rsidRPr="00EF05AF">
        <w:rPr>
          <w:rFonts w:ascii="Arial" w:hAnsi="Arial" w:cs="Arial"/>
          <w:i/>
          <w:sz w:val="20"/>
          <w:szCs w:val="20"/>
          <w:lang w:val="fr-CA"/>
        </w:rPr>
        <w:t>Fonds de programme (S&amp;C)</w:t>
      </w:r>
    </w:p>
    <w:p w:rsidR="007D55D6" w:rsidRPr="003A7A10" w:rsidRDefault="007D55D6" w:rsidP="00EF05AF">
      <w:pPr>
        <w:pStyle w:val="ListParagraph"/>
        <w:spacing w:line="276" w:lineRule="auto"/>
        <w:rPr>
          <w:rFonts w:ascii="Arial" w:hAnsi="Arial" w:cs="Arial"/>
          <w:b/>
          <w:sz w:val="20"/>
          <w:szCs w:val="20"/>
          <w:lang w:val="fr-CA"/>
        </w:rPr>
      </w:pPr>
      <w:r w:rsidRPr="003A7A10">
        <w:rPr>
          <w:rFonts w:ascii="Arial" w:hAnsi="Arial" w:cs="Arial"/>
          <w:sz w:val="20"/>
          <w:szCs w:val="20"/>
          <w:lang w:val="fr-CA"/>
        </w:rPr>
        <w:t xml:space="preserve">La région </w:t>
      </w:r>
      <w:r>
        <w:rPr>
          <w:rFonts w:ascii="Arial" w:hAnsi="Arial" w:cs="Arial"/>
          <w:sz w:val="20"/>
          <w:szCs w:val="20"/>
          <w:lang w:val="fr-CA"/>
        </w:rPr>
        <w:t xml:space="preserve">souhaitant </w:t>
      </w:r>
      <w:r w:rsidRPr="003A7A10">
        <w:rPr>
          <w:rFonts w:ascii="Arial" w:hAnsi="Arial" w:cs="Arial"/>
          <w:sz w:val="20"/>
          <w:szCs w:val="20"/>
          <w:lang w:val="fr-CA"/>
        </w:rPr>
        <w:t xml:space="preserve">transférer des fonds entre les provinces à l’intérieure de </w:t>
      </w:r>
      <w:r>
        <w:rPr>
          <w:rFonts w:ascii="Arial" w:hAnsi="Arial" w:cs="Arial"/>
          <w:sz w:val="20"/>
          <w:szCs w:val="20"/>
          <w:lang w:val="fr-CA"/>
        </w:rPr>
        <w:t>la</w:t>
      </w:r>
      <w:r w:rsidRPr="003A7A10">
        <w:rPr>
          <w:rFonts w:ascii="Arial" w:hAnsi="Arial" w:cs="Arial"/>
          <w:sz w:val="20"/>
          <w:szCs w:val="20"/>
          <w:lang w:val="fr-CA"/>
        </w:rPr>
        <w:t xml:space="preserve"> même région (Centre financier – niveau 2) et </w:t>
      </w:r>
      <w:r>
        <w:rPr>
          <w:rFonts w:ascii="Arial" w:hAnsi="Arial" w:cs="Arial"/>
          <w:sz w:val="20"/>
          <w:szCs w:val="20"/>
          <w:lang w:val="fr-CA"/>
        </w:rPr>
        <w:t>du</w:t>
      </w:r>
      <w:r w:rsidRPr="003A7A10">
        <w:rPr>
          <w:rFonts w:ascii="Arial" w:hAnsi="Arial" w:cs="Arial"/>
          <w:sz w:val="20"/>
          <w:szCs w:val="20"/>
          <w:lang w:val="fr-CA"/>
        </w:rPr>
        <w:t xml:space="preserve"> même programme doit s’assurer d’obtenir le niveau d’approbation approprié (SMA de la Direction Générale des Opérations de Programme (DGOP) pour les projets de la DGOP – voir section 4). Le CGF de la DGOP et le directeur régional des finances (DRF) </w:t>
      </w:r>
      <w:r>
        <w:rPr>
          <w:rFonts w:ascii="Arial" w:hAnsi="Arial" w:cs="Arial"/>
          <w:sz w:val="20"/>
          <w:szCs w:val="20"/>
          <w:lang w:val="fr-CA"/>
        </w:rPr>
        <w:t>sont</w:t>
      </w:r>
      <w:r w:rsidRPr="003A7A10">
        <w:rPr>
          <w:rFonts w:ascii="Arial" w:hAnsi="Arial" w:cs="Arial"/>
          <w:sz w:val="20"/>
          <w:szCs w:val="20"/>
          <w:lang w:val="fr-CA"/>
        </w:rPr>
        <w:t xml:space="preserve"> responsables d’obtenir tous les approbations nécessaires et par la suite le CGF de la DGOP pourra </w:t>
      </w:r>
      <w:r>
        <w:rPr>
          <w:rFonts w:ascii="Arial" w:hAnsi="Arial" w:cs="Arial"/>
          <w:sz w:val="20"/>
          <w:szCs w:val="20"/>
          <w:lang w:val="fr-CA"/>
        </w:rPr>
        <w:t>enregistrer</w:t>
      </w:r>
      <w:r w:rsidRPr="003A7A10">
        <w:rPr>
          <w:rFonts w:ascii="Arial" w:hAnsi="Arial" w:cs="Arial"/>
          <w:sz w:val="20"/>
          <w:szCs w:val="20"/>
          <w:lang w:val="fr-CA"/>
        </w:rPr>
        <w:t xml:space="preserve"> le transfert dans maSGE.</w:t>
      </w:r>
    </w:p>
    <w:p w:rsidR="007D55D6" w:rsidRPr="00027498" w:rsidRDefault="007D55D6" w:rsidP="007D55D6">
      <w:pPr>
        <w:spacing w:line="276" w:lineRule="auto"/>
        <w:ind w:left="540"/>
        <w:rPr>
          <w:rFonts w:ascii="Arial" w:hAnsi="Arial" w:cs="Arial"/>
          <w:sz w:val="20"/>
          <w:szCs w:val="20"/>
          <w:lang w:val="fr-CA"/>
        </w:rPr>
      </w:pPr>
      <w:r w:rsidRPr="00027498">
        <w:rPr>
          <w:rFonts w:ascii="Arial" w:hAnsi="Arial" w:cs="Arial"/>
          <w:sz w:val="20"/>
          <w:szCs w:val="20"/>
          <w:lang w:val="fr-CA"/>
        </w:rPr>
        <w:t xml:space="preserve"> </w:t>
      </w:r>
    </w:p>
    <w:p w:rsidR="007D55D6" w:rsidRPr="00027498" w:rsidRDefault="007D55D6" w:rsidP="007D55D6">
      <w:pPr>
        <w:pStyle w:val="ListParagraph"/>
        <w:spacing w:line="276" w:lineRule="auto"/>
        <w:ind w:left="1080"/>
        <w:rPr>
          <w:rFonts w:ascii="Arial" w:hAnsi="Arial" w:cs="Arial"/>
          <w:b/>
          <w:bCs/>
          <w:sz w:val="20"/>
          <w:szCs w:val="20"/>
          <w:u w:val="single"/>
          <w:lang w:val="fr-CA"/>
        </w:rPr>
      </w:pPr>
    </w:p>
    <w:p w:rsidR="007D55D6" w:rsidRPr="00D63ABE" w:rsidRDefault="007D55D6" w:rsidP="00826AF3">
      <w:pPr>
        <w:pStyle w:val="ListParagraph"/>
        <w:numPr>
          <w:ilvl w:val="0"/>
          <w:numId w:val="4"/>
        </w:numPr>
        <w:spacing w:line="276" w:lineRule="auto"/>
        <w:ind w:left="426"/>
        <w:outlineLvl w:val="2"/>
        <w:rPr>
          <w:rFonts w:ascii="Arial" w:hAnsi="Arial" w:cs="Arial"/>
          <w:b/>
          <w:bCs/>
          <w:sz w:val="20"/>
          <w:szCs w:val="20"/>
          <w:u w:val="single"/>
          <w:lang w:val="fr-CA"/>
        </w:rPr>
      </w:pPr>
      <w:bookmarkStart w:id="6" w:name="_Toc18500113"/>
      <w:r w:rsidRPr="00D63ABE">
        <w:rPr>
          <w:rFonts w:ascii="Arial" w:hAnsi="Arial" w:cs="Arial"/>
          <w:b/>
          <w:bCs/>
          <w:sz w:val="20"/>
          <w:szCs w:val="20"/>
          <w:u w:val="single"/>
          <w:lang w:val="fr-CA"/>
        </w:rPr>
        <w:t>Transfe</w:t>
      </w:r>
      <w:r>
        <w:rPr>
          <w:rFonts w:ascii="Arial" w:hAnsi="Arial" w:cs="Arial"/>
          <w:b/>
          <w:bCs/>
          <w:sz w:val="20"/>
          <w:szCs w:val="20"/>
          <w:u w:val="single"/>
          <w:lang w:val="fr-CA"/>
        </w:rPr>
        <w:t xml:space="preserve">rts </w:t>
      </w:r>
      <w:r w:rsidRPr="00D63ABE">
        <w:rPr>
          <w:rFonts w:ascii="Arial" w:hAnsi="Arial" w:cs="Arial"/>
          <w:b/>
          <w:bCs/>
          <w:sz w:val="20"/>
          <w:szCs w:val="20"/>
          <w:u w:val="single"/>
          <w:lang w:val="fr-CA"/>
        </w:rPr>
        <w:t>budgétaires pour les fonds de fonctionnement entre le</w:t>
      </w:r>
      <w:r>
        <w:rPr>
          <w:rFonts w:ascii="Arial" w:hAnsi="Arial" w:cs="Arial"/>
          <w:b/>
          <w:bCs/>
          <w:sz w:val="20"/>
          <w:szCs w:val="20"/>
          <w:u w:val="single"/>
          <w:lang w:val="fr-CA"/>
        </w:rPr>
        <w:t>s</w:t>
      </w:r>
      <w:r w:rsidRPr="00D63ABE">
        <w:rPr>
          <w:rFonts w:ascii="Arial" w:hAnsi="Arial" w:cs="Arial"/>
          <w:b/>
          <w:bCs/>
          <w:sz w:val="20"/>
          <w:szCs w:val="20"/>
          <w:u w:val="single"/>
          <w:lang w:val="fr-CA"/>
        </w:rPr>
        <w:t xml:space="preserve"> fonds</w:t>
      </w:r>
      <w:bookmarkEnd w:id="6"/>
    </w:p>
    <w:p w:rsidR="007D55D6" w:rsidRPr="00D63ABE" w:rsidRDefault="007D55D6" w:rsidP="007D55D6">
      <w:pPr>
        <w:pStyle w:val="ListParagraph"/>
        <w:spacing w:line="276" w:lineRule="auto"/>
        <w:ind w:left="927"/>
        <w:jc w:val="both"/>
        <w:rPr>
          <w:rFonts w:ascii="Arial" w:hAnsi="Arial" w:cs="Arial"/>
          <w:b/>
          <w:bCs/>
          <w:sz w:val="20"/>
          <w:szCs w:val="20"/>
          <w:u w:val="single"/>
          <w:lang w:val="fr-CA"/>
        </w:rPr>
      </w:pPr>
    </w:p>
    <w:p w:rsidR="00425883" w:rsidRDefault="007D55D6" w:rsidP="00826AF3">
      <w:pPr>
        <w:pStyle w:val="ListParagraph"/>
        <w:spacing w:line="276" w:lineRule="auto"/>
        <w:ind w:left="426"/>
        <w:rPr>
          <w:rFonts w:ascii="Arial" w:hAnsi="Arial" w:cs="Arial"/>
          <w:sz w:val="20"/>
          <w:szCs w:val="20"/>
          <w:lang w:val="fr-CA"/>
        </w:rPr>
      </w:pPr>
      <w:r w:rsidRPr="006C0950">
        <w:rPr>
          <w:rFonts w:ascii="Arial" w:hAnsi="Arial" w:cs="Arial"/>
          <w:sz w:val="20"/>
          <w:szCs w:val="20"/>
          <w:lang w:val="fr-CA"/>
        </w:rPr>
        <w:t>Tou</w:t>
      </w:r>
      <w:r w:rsidR="00797435" w:rsidRPr="006C0950">
        <w:rPr>
          <w:rFonts w:ascii="Arial" w:hAnsi="Arial" w:cs="Arial"/>
          <w:sz w:val="20"/>
          <w:szCs w:val="20"/>
          <w:lang w:val="fr-CA"/>
        </w:rPr>
        <w:t xml:space="preserve">t </w:t>
      </w:r>
      <w:r w:rsidRPr="006C0950">
        <w:rPr>
          <w:rFonts w:ascii="Arial" w:hAnsi="Arial" w:cs="Arial"/>
          <w:sz w:val="20"/>
          <w:szCs w:val="20"/>
          <w:lang w:val="fr-CA"/>
        </w:rPr>
        <w:t>transfert entre fonds doit être initié</w:t>
      </w:r>
      <w:r w:rsidRPr="00425883">
        <w:rPr>
          <w:rFonts w:ascii="Arial" w:hAnsi="Arial" w:cs="Arial"/>
          <w:sz w:val="20"/>
          <w:szCs w:val="20"/>
          <w:lang w:val="fr-CA"/>
        </w:rPr>
        <w:t xml:space="preserve"> </w:t>
      </w:r>
      <w:r w:rsidR="00797435" w:rsidRPr="00425883">
        <w:rPr>
          <w:rFonts w:ascii="Arial" w:hAnsi="Arial" w:cs="Arial"/>
          <w:sz w:val="20"/>
          <w:szCs w:val="20"/>
          <w:lang w:val="fr-CA"/>
        </w:rPr>
        <w:t xml:space="preserve">par le </w:t>
      </w:r>
      <w:r w:rsidRPr="00425883">
        <w:rPr>
          <w:rFonts w:ascii="Arial" w:hAnsi="Arial" w:cs="Arial"/>
          <w:sz w:val="20"/>
          <w:szCs w:val="20"/>
          <w:lang w:val="fr-CA"/>
        </w:rPr>
        <w:t xml:space="preserve">CGF </w:t>
      </w:r>
      <w:r w:rsidR="00797435" w:rsidRPr="00425883">
        <w:rPr>
          <w:rFonts w:ascii="Arial" w:hAnsi="Arial" w:cs="Arial"/>
          <w:sz w:val="20"/>
          <w:szCs w:val="20"/>
          <w:lang w:val="fr-CA"/>
        </w:rPr>
        <w:t xml:space="preserve">afin de </w:t>
      </w:r>
      <w:r w:rsidRPr="00425883">
        <w:rPr>
          <w:rFonts w:ascii="Arial" w:hAnsi="Arial" w:cs="Arial"/>
          <w:sz w:val="20"/>
          <w:szCs w:val="20"/>
          <w:lang w:val="fr-CA"/>
        </w:rPr>
        <w:t>s’assurer que l</w:t>
      </w:r>
      <w:r w:rsidR="00797435" w:rsidRPr="00425883">
        <w:rPr>
          <w:rFonts w:ascii="Arial" w:hAnsi="Arial" w:cs="Arial"/>
          <w:sz w:val="20"/>
          <w:szCs w:val="20"/>
          <w:lang w:val="fr-CA"/>
        </w:rPr>
        <w:t>es</w:t>
      </w:r>
      <w:r w:rsidRPr="00425883">
        <w:rPr>
          <w:rFonts w:ascii="Arial" w:hAnsi="Arial" w:cs="Arial"/>
          <w:sz w:val="20"/>
          <w:szCs w:val="20"/>
          <w:lang w:val="fr-CA"/>
        </w:rPr>
        <w:t xml:space="preserve"> demande</w:t>
      </w:r>
      <w:r w:rsidR="00797435" w:rsidRPr="00425883">
        <w:rPr>
          <w:rFonts w:ascii="Arial" w:hAnsi="Arial" w:cs="Arial"/>
          <w:sz w:val="20"/>
          <w:szCs w:val="20"/>
          <w:lang w:val="fr-CA"/>
        </w:rPr>
        <w:t>s sont</w:t>
      </w:r>
      <w:r w:rsidRPr="00425883">
        <w:rPr>
          <w:rFonts w:ascii="Arial" w:hAnsi="Arial" w:cs="Arial"/>
          <w:sz w:val="20"/>
          <w:szCs w:val="20"/>
          <w:lang w:val="fr-CA"/>
        </w:rPr>
        <w:t xml:space="preserve"> basée</w:t>
      </w:r>
      <w:r w:rsidR="00797435" w:rsidRPr="00425883">
        <w:rPr>
          <w:rFonts w:ascii="Arial" w:hAnsi="Arial" w:cs="Arial"/>
          <w:sz w:val="20"/>
          <w:szCs w:val="20"/>
          <w:lang w:val="fr-CA"/>
        </w:rPr>
        <w:t>s</w:t>
      </w:r>
      <w:r w:rsidRPr="00425883">
        <w:rPr>
          <w:rFonts w:ascii="Arial" w:hAnsi="Arial" w:cs="Arial"/>
          <w:sz w:val="20"/>
          <w:szCs w:val="20"/>
          <w:lang w:val="fr-CA"/>
        </w:rPr>
        <w:t xml:space="preserve"> sur les besoins </w:t>
      </w:r>
      <w:r w:rsidR="00797435" w:rsidRPr="00425883">
        <w:rPr>
          <w:rFonts w:ascii="Arial" w:hAnsi="Arial" w:cs="Arial"/>
          <w:sz w:val="20"/>
          <w:szCs w:val="20"/>
          <w:lang w:val="fr-CA"/>
        </w:rPr>
        <w:t xml:space="preserve">en ressources </w:t>
      </w:r>
      <w:r w:rsidRPr="00425883">
        <w:rPr>
          <w:rFonts w:ascii="Arial" w:hAnsi="Arial" w:cs="Arial"/>
          <w:sz w:val="20"/>
          <w:szCs w:val="20"/>
          <w:lang w:val="fr-CA"/>
        </w:rPr>
        <w:t xml:space="preserve">de la direction générale. La demande </w:t>
      </w:r>
      <w:r w:rsidR="00826AF3">
        <w:rPr>
          <w:rFonts w:ascii="Arial" w:hAnsi="Arial" w:cs="Arial"/>
          <w:sz w:val="20"/>
          <w:szCs w:val="20"/>
          <w:lang w:val="fr-CA"/>
        </w:rPr>
        <w:t>doit être</w:t>
      </w:r>
      <w:r w:rsidR="00826AF3" w:rsidRPr="00425883">
        <w:rPr>
          <w:rFonts w:ascii="Arial" w:hAnsi="Arial" w:cs="Arial"/>
          <w:sz w:val="20"/>
          <w:szCs w:val="20"/>
          <w:lang w:val="fr-CA"/>
        </w:rPr>
        <w:t xml:space="preserve"> </w:t>
      </w:r>
      <w:r w:rsidRPr="00425883">
        <w:rPr>
          <w:rFonts w:ascii="Arial" w:hAnsi="Arial" w:cs="Arial"/>
          <w:sz w:val="20"/>
          <w:szCs w:val="20"/>
          <w:lang w:val="fr-CA"/>
        </w:rPr>
        <w:t xml:space="preserve">envoyée à </w:t>
      </w:r>
      <w:r w:rsidR="00826AF3">
        <w:rPr>
          <w:rFonts w:ascii="Arial" w:hAnsi="Arial" w:cs="Arial"/>
          <w:sz w:val="20"/>
          <w:szCs w:val="20"/>
          <w:lang w:val="fr-CA"/>
        </w:rPr>
        <w:t xml:space="preserve">la </w:t>
      </w:r>
      <w:r w:rsidRPr="00425883">
        <w:rPr>
          <w:rFonts w:ascii="Arial" w:hAnsi="Arial" w:cs="Arial"/>
          <w:sz w:val="20"/>
          <w:szCs w:val="20"/>
          <w:lang w:val="fr-CA"/>
        </w:rPr>
        <w:t>GRM</w:t>
      </w:r>
      <w:r w:rsidR="00797435" w:rsidRPr="00425883">
        <w:rPr>
          <w:rFonts w:ascii="Arial" w:hAnsi="Arial" w:cs="Arial"/>
          <w:sz w:val="20"/>
          <w:szCs w:val="20"/>
          <w:lang w:val="fr-CA"/>
        </w:rPr>
        <w:t xml:space="preserve">, </w:t>
      </w:r>
      <w:r w:rsidRPr="00425883">
        <w:rPr>
          <w:rFonts w:ascii="Arial" w:hAnsi="Arial" w:cs="Arial"/>
          <w:sz w:val="20"/>
          <w:szCs w:val="20"/>
          <w:lang w:val="fr-CA"/>
        </w:rPr>
        <w:t>par le processus d</w:t>
      </w:r>
      <w:r w:rsidR="00797435" w:rsidRPr="00425883">
        <w:rPr>
          <w:rFonts w:ascii="Arial" w:hAnsi="Arial" w:cs="Arial"/>
          <w:sz w:val="20"/>
          <w:szCs w:val="20"/>
          <w:lang w:val="fr-CA"/>
        </w:rPr>
        <w:t>u</w:t>
      </w:r>
      <w:r w:rsidRPr="00425883">
        <w:rPr>
          <w:rFonts w:ascii="Arial" w:hAnsi="Arial" w:cs="Arial"/>
          <w:sz w:val="20"/>
          <w:szCs w:val="20"/>
          <w:lang w:val="fr-CA"/>
        </w:rPr>
        <w:t xml:space="preserve"> « workflow »</w:t>
      </w:r>
      <w:r w:rsidR="00797435" w:rsidRPr="00425883">
        <w:rPr>
          <w:rFonts w:ascii="Arial" w:hAnsi="Arial" w:cs="Arial"/>
          <w:sz w:val="20"/>
          <w:szCs w:val="20"/>
          <w:lang w:val="fr-CA"/>
        </w:rPr>
        <w:t>,</w:t>
      </w:r>
      <w:r w:rsidRPr="00425883">
        <w:rPr>
          <w:rFonts w:ascii="Arial" w:hAnsi="Arial" w:cs="Arial"/>
          <w:sz w:val="20"/>
          <w:szCs w:val="20"/>
          <w:lang w:val="fr-CA"/>
        </w:rPr>
        <w:t xml:space="preserve"> pour approbation</w:t>
      </w:r>
      <w:r w:rsidRPr="00720EFA">
        <w:rPr>
          <w:rFonts w:ascii="Arial" w:hAnsi="Arial" w:cs="Arial"/>
          <w:sz w:val="20"/>
          <w:szCs w:val="20"/>
          <w:lang w:val="fr-CA"/>
        </w:rPr>
        <w:t xml:space="preserve">. </w:t>
      </w:r>
      <w:r w:rsidR="00826AF3" w:rsidRPr="00720EFA">
        <w:rPr>
          <w:rFonts w:ascii="Arial" w:hAnsi="Arial" w:cs="Arial"/>
          <w:sz w:val="20"/>
          <w:szCs w:val="20"/>
          <w:lang w:val="fr-CA"/>
        </w:rPr>
        <w:t>L</w:t>
      </w:r>
      <w:r w:rsidRPr="00720EFA">
        <w:rPr>
          <w:rFonts w:ascii="Arial" w:hAnsi="Arial" w:cs="Arial"/>
          <w:sz w:val="20"/>
          <w:szCs w:val="20"/>
          <w:lang w:val="fr-CA"/>
        </w:rPr>
        <w:t>’approbation du SMA est requise</w:t>
      </w:r>
      <w:r w:rsidR="00826AF3" w:rsidRPr="00720EFA">
        <w:rPr>
          <w:rFonts w:ascii="Arial" w:hAnsi="Arial" w:cs="Arial"/>
          <w:sz w:val="20"/>
          <w:szCs w:val="20"/>
          <w:lang w:val="fr-CA"/>
        </w:rPr>
        <w:t xml:space="preserve"> à l’exception des transferts pour le </w:t>
      </w:r>
      <w:r w:rsidR="00E31C90" w:rsidRPr="00720EFA">
        <w:rPr>
          <w:rFonts w:ascii="Arial" w:hAnsi="Arial" w:cs="Arial"/>
          <w:sz w:val="20"/>
          <w:szCs w:val="20"/>
          <w:lang w:val="fr-CA"/>
        </w:rPr>
        <w:t>FIA</w:t>
      </w:r>
      <w:r w:rsidR="00826AF3" w:rsidRPr="00720EFA">
        <w:rPr>
          <w:rFonts w:ascii="Arial" w:hAnsi="Arial" w:cs="Arial"/>
          <w:sz w:val="20"/>
          <w:szCs w:val="20"/>
          <w:lang w:val="fr-CA"/>
        </w:rPr>
        <w:t xml:space="preserve"> (B011)</w:t>
      </w:r>
      <w:r w:rsidR="00720EFA">
        <w:rPr>
          <w:rFonts w:ascii="Arial" w:hAnsi="Arial" w:cs="Arial"/>
          <w:sz w:val="20"/>
          <w:szCs w:val="20"/>
          <w:lang w:val="fr-CA"/>
        </w:rPr>
        <w:t xml:space="preserve"> qui ne nécessitent pas l’approbation de la GRM.</w:t>
      </w:r>
    </w:p>
    <w:p w:rsidR="007D55D6" w:rsidRPr="006C0950" w:rsidRDefault="007D55D6" w:rsidP="002125E1">
      <w:pPr>
        <w:pStyle w:val="ListParagraph"/>
        <w:spacing w:line="276" w:lineRule="auto"/>
        <w:ind w:left="900"/>
        <w:rPr>
          <w:rFonts w:ascii="Arial" w:hAnsi="Arial" w:cs="Arial"/>
          <w:sz w:val="20"/>
          <w:szCs w:val="20"/>
          <w:lang w:val="fr-CA"/>
        </w:rPr>
      </w:pPr>
    </w:p>
    <w:p w:rsidR="007D55D6" w:rsidRPr="00D63ABE" w:rsidRDefault="007D55D6" w:rsidP="007D55D6">
      <w:pPr>
        <w:spacing w:line="276" w:lineRule="auto"/>
        <w:jc w:val="both"/>
        <w:rPr>
          <w:rFonts w:ascii="Arial" w:hAnsi="Arial" w:cs="Arial"/>
          <w:b/>
          <w:bCs/>
          <w:sz w:val="20"/>
          <w:szCs w:val="20"/>
          <w:u w:val="single"/>
          <w:lang w:val="fr-CA"/>
        </w:rPr>
      </w:pPr>
    </w:p>
    <w:p w:rsidR="007D55D6" w:rsidRPr="00E50875" w:rsidRDefault="007D55D6" w:rsidP="00826AF3">
      <w:pPr>
        <w:pStyle w:val="ListParagraph"/>
        <w:numPr>
          <w:ilvl w:val="0"/>
          <w:numId w:val="4"/>
        </w:numPr>
        <w:ind w:left="426"/>
        <w:outlineLvl w:val="2"/>
        <w:rPr>
          <w:rFonts w:ascii="Arial" w:hAnsi="Arial" w:cs="Arial"/>
          <w:b/>
          <w:bCs/>
          <w:sz w:val="20"/>
          <w:szCs w:val="20"/>
          <w:u w:val="single"/>
          <w:lang w:val="fr-CA"/>
        </w:rPr>
      </w:pPr>
      <w:bookmarkStart w:id="7" w:name="_Toc18500114"/>
      <w:r>
        <w:rPr>
          <w:rFonts w:ascii="Arial" w:hAnsi="Arial" w:cs="Arial"/>
          <w:b/>
          <w:bCs/>
          <w:sz w:val="20"/>
          <w:szCs w:val="20"/>
          <w:u w:val="single"/>
          <w:lang w:val="fr-CA"/>
        </w:rPr>
        <w:t>Tr</w:t>
      </w:r>
      <w:r w:rsidRPr="00E50875">
        <w:rPr>
          <w:rFonts w:ascii="Arial" w:hAnsi="Arial" w:cs="Arial"/>
          <w:b/>
          <w:bCs/>
          <w:sz w:val="20"/>
          <w:szCs w:val="20"/>
          <w:u w:val="single"/>
          <w:lang w:val="fr-CA"/>
        </w:rPr>
        <w:t>ansferts budgétaires des fonds de fonctionnement entre les groupes de comptes budgétaires (Personnel/F&amp;E)</w:t>
      </w:r>
      <w:bookmarkEnd w:id="7"/>
    </w:p>
    <w:p w:rsidR="007D55D6" w:rsidRDefault="007D55D6" w:rsidP="007D55D6">
      <w:pPr>
        <w:rPr>
          <w:rFonts w:ascii="Arial" w:hAnsi="Arial" w:cs="Arial"/>
          <w:sz w:val="20"/>
          <w:szCs w:val="20"/>
          <w:lang w:val="fr-CA"/>
        </w:rPr>
      </w:pPr>
    </w:p>
    <w:p w:rsidR="007D55D6" w:rsidRPr="00EF05AF" w:rsidRDefault="007D55D6" w:rsidP="00EF05AF">
      <w:pPr>
        <w:pStyle w:val="ListParagraph"/>
        <w:numPr>
          <w:ilvl w:val="0"/>
          <w:numId w:val="7"/>
        </w:numPr>
        <w:rPr>
          <w:rFonts w:ascii="Arial" w:hAnsi="Arial" w:cs="Arial"/>
          <w:sz w:val="20"/>
          <w:szCs w:val="20"/>
          <w:lang w:val="fr-CA"/>
        </w:rPr>
      </w:pPr>
      <w:r w:rsidRPr="003A7A10">
        <w:rPr>
          <w:rFonts w:ascii="Arial" w:hAnsi="Arial" w:cs="Arial"/>
          <w:sz w:val="20"/>
          <w:szCs w:val="20"/>
          <w:lang w:val="fr-CA"/>
        </w:rPr>
        <w:lastRenderedPageBreak/>
        <w:t xml:space="preserve">Tout transfert entre Personnel et Frais et entretien (F&amp;E) nécessite une entrée budgétaire dans maSGE.  Le coût du transfert </w:t>
      </w:r>
      <w:r w:rsidR="00B95334">
        <w:rPr>
          <w:rFonts w:ascii="Arial" w:hAnsi="Arial" w:cs="Arial"/>
          <w:sz w:val="20"/>
          <w:szCs w:val="20"/>
          <w:lang w:val="fr-CA"/>
        </w:rPr>
        <w:t xml:space="preserve">(27%) </w:t>
      </w:r>
      <w:r w:rsidRPr="003A7A10">
        <w:rPr>
          <w:rFonts w:ascii="Arial" w:hAnsi="Arial" w:cs="Arial"/>
          <w:sz w:val="20"/>
          <w:szCs w:val="20"/>
          <w:lang w:val="fr-CA"/>
        </w:rPr>
        <w:t>sera calculé automatiquement par le système basé sur le montant transféré.</w:t>
      </w:r>
    </w:p>
    <w:p w:rsidR="007D55D6" w:rsidRPr="00C80D90" w:rsidRDefault="007D55D6" w:rsidP="007D55D6">
      <w:pPr>
        <w:spacing w:line="276" w:lineRule="auto"/>
        <w:ind w:left="1004"/>
        <w:jc w:val="both"/>
        <w:rPr>
          <w:rFonts w:ascii="Arial" w:hAnsi="Arial" w:cs="Arial"/>
          <w:sz w:val="20"/>
          <w:szCs w:val="20"/>
          <w:lang w:val="fr-C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167"/>
      </w:tblGrid>
      <w:tr w:rsidR="007D55D6" w:rsidRPr="006548CA" w:rsidTr="000A1CCE">
        <w:tc>
          <w:tcPr>
            <w:tcW w:w="4680" w:type="dxa"/>
            <w:shd w:val="clear" w:color="auto" w:fill="auto"/>
          </w:tcPr>
          <w:p w:rsidR="007D55D6" w:rsidRPr="006548CA" w:rsidRDefault="007D55D6" w:rsidP="000A1CCE">
            <w:pPr>
              <w:spacing w:line="276" w:lineRule="auto"/>
              <w:jc w:val="center"/>
              <w:rPr>
                <w:rFonts w:ascii="Arial" w:hAnsi="Arial" w:cs="Arial"/>
                <w:b/>
                <w:sz w:val="20"/>
                <w:szCs w:val="20"/>
                <w:lang w:val="en-US"/>
              </w:rPr>
            </w:pPr>
            <w:r w:rsidRPr="006548CA">
              <w:rPr>
                <w:rFonts w:ascii="Arial" w:hAnsi="Arial" w:cs="Arial"/>
                <w:b/>
                <w:sz w:val="20"/>
                <w:szCs w:val="20"/>
                <w:lang w:val="en-US"/>
              </w:rPr>
              <w:t xml:space="preserve">Type </w:t>
            </w:r>
            <w:r>
              <w:rPr>
                <w:rFonts w:ascii="Arial" w:hAnsi="Arial" w:cs="Arial"/>
                <w:b/>
                <w:sz w:val="20"/>
                <w:szCs w:val="20"/>
                <w:lang w:val="en-US"/>
              </w:rPr>
              <w:t>de transfert</w:t>
            </w:r>
            <w:r w:rsidR="00B95334">
              <w:rPr>
                <w:rFonts w:ascii="Arial" w:hAnsi="Arial" w:cs="Arial"/>
                <w:b/>
                <w:sz w:val="20"/>
                <w:szCs w:val="20"/>
                <w:lang w:val="en-US"/>
              </w:rPr>
              <w:t xml:space="preserve"> (budget type)</w:t>
            </w:r>
          </w:p>
        </w:tc>
        <w:tc>
          <w:tcPr>
            <w:tcW w:w="4680" w:type="dxa"/>
            <w:shd w:val="clear" w:color="auto" w:fill="auto"/>
          </w:tcPr>
          <w:p w:rsidR="007D55D6" w:rsidRPr="006548CA" w:rsidRDefault="007D55D6" w:rsidP="000A1CCE">
            <w:pPr>
              <w:spacing w:line="276" w:lineRule="auto"/>
              <w:jc w:val="center"/>
              <w:rPr>
                <w:rFonts w:ascii="Arial" w:hAnsi="Arial" w:cs="Arial"/>
                <w:b/>
                <w:sz w:val="20"/>
                <w:szCs w:val="20"/>
                <w:lang w:val="en-US"/>
              </w:rPr>
            </w:pPr>
            <w:r>
              <w:rPr>
                <w:rFonts w:ascii="Arial" w:hAnsi="Arial" w:cs="Arial"/>
                <w:b/>
                <w:sz w:val="20"/>
                <w:szCs w:val="20"/>
                <w:lang w:val="en-US"/>
              </w:rPr>
              <w:t xml:space="preserve"> Calcul du système</w:t>
            </w:r>
          </w:p>
        </w:tc>
      </w:tr>
      <w:tr w:rsidR="007D55D6" w:rsidRPr="006548CA" w:rsidTr="000A1CCE">
        <w:tc>
          <w:tcPr>
            <w:tcW w:w="4680" w:type="dxa"/>
            <w:shd w:val="clear" w:color="auto" w:fill="auto"/>
          </w:tcPr>
          <w:p w:rsidR="007D55D6" w:rsidRPr="000A1CCE" w:rsidRDefault="007D55D6" w:rsidP="000A1CCE">
            <w:pPr>
              <w:spacing w:line="276" w:lineRule="auto"/>
              <w:jc w:val="both"/>
              <w:rPr>
                <w:rFonts w:ascii="Arial" w:hAnsi="Arial" w:cs="Arial"/>
                <w:sz w:val="20"/>
                <w:szCs w:val="20"/>
                <w:lang w:val="fr-CA"/>
              </w:rPr>
            </w:pPr>
            <w:r w:rsidRPr="000A1CCE">
              <w:rPr>
                <w:rFonts w:ascii="Arial" w:hAnsi="Arial" w:cs="Arial"/>
                <w:sz w:val="20"/>
                <w:szCs w:val="20"/>
                <w:lang w:val="fr-CA"/>
              </w:rPr>
              <w:t xml:space="preserve">De Personnel à F&amp;E, </w:t>
            </w:r>
            <w:r w:rsidR="000D5BDF">
              <w:rPr>
                <w:rFonts w:ascii="Arial" w:hAnsi="Arial" w:cs="Arial"/>
                <w:sz w:val="20"/>
                <w:szCs w:val="20"/>
                <w:lang w:val="fr-CA"/>
              </w:rPr>
              <w:t>(</w:t>
            </w:r>
            <w:r w:rsidRPr="000A1CCE">
              <w:rPr>
                <w:rFonts w:ascii="Arial" w:hAnsi="Arial" w:cs="Arial"/>
                <w:sz w:val="20"/>
                <w:szCs w:val="20"/>
                <w:lang w:val="fr-CA"/>
              </w:rPr>
              <w:t>ROB3</w:t>
            </w:r>
            <w:r w:rsidR="000D5BDF">
              <w:rPr>
                <w:rFonts w:ascii="Arial" w:hAnsi="Arial" w:cs="Arial"/>
                <w:sz w:val="20"/>
                <w:szCs w:val="20"/>
                <w:lang w:val="fr-CA"/>
              </w:rPr>
              <w:t>)</w:t>
            </w:r>
          </w:p>
        </w:tc>
        <w:tc>
          <w:tcPr>
            <w:tcW w:w="4680" w:type="dxa"/>
            <w:shd w:val="clear" w:color="auto" w:fill="auto"/>
          </w:tcPr>
          <w:p w:rsidR="007D55D6" w:rsidRPr="000A1CCE" w:rsidRDefault="007D55D6" w:rsidP="000A1CCE">
            <w:pPr>
              <w:spacing w:line="276" w:lineRule="auto"/>
              <w:rPr>
                <w:rFonts w:ascii="Arial" w:hAnsi="Arial" w:cs="Arial"/>
                <w:sz w:val="20"/>
                <w:szCs w:val="20"/>
                <w:lang w:val="en-US"/>
              </w:rPr>
            </w:pPr>
            <w:r w:rsidRPr="000A1CCE">
              <w:rPr>
                <w:rFonts w:ascii="Arial" w:hAnsi="Arial" w:cs="Arial"/>
                <w:sz w:val="20"/>
                <w:szCs w:val="20"/>
                <w:lang w:val="en-US"/>
              </w:rPr>
              <w:t>Personnel x 1,27</w:t>
            </w:r>
          </w:p>
        </w:tc>
      </w:tr>
      <w:tr w:rsidR="007D55D6" w:rsidRPr="006548CA" w:rsidTr="000A1CCE">
        <w:tc>
          <w:tcPr>
            <w:tcW w:w="4680" w:type="dxa"/>
            <w:shd w:val="clear" w:color="auto" w:fill="auto"/>
          </w:tcPr>
          <w:p w:rsidR="007D55D6" w:rsidRPr="000A1CCE" w:rsidRDefault="007D55D6" w:rsidP="000A1CCE">
            <w:pPr>
              <w:spacing w:line="276" w:lineRule="auto"/>
              <w:jc w:val="both"/>
              <w:rPr>
                <w:rFonts w:ascii="Arial" w:hAnsi="Arial" w:cs="Arial"/>
                <w:sz w:val="20"/>
                <w:szCs w:val="20"/>
                <w:lang w:val="fr-CA"/>
              </w:rPr>
            </w:pPr>
            <w:r w:rsidRPr="000A1CCE">
              <w:rPr>
                <w:rFonts w:ascii="Arial" w:hAnsi="Arial" w:cs="Arial"/>
                <w:sz w:val="20"/>
                <w:szCs w:val="20"/>
                <w:lang w:val="fr-CA"/>
              </w:rPr>
              <w:t xml:space="preserve">De F&amp;E à Personnel, </w:t>
            </w:r>
            <w:r w:rsidR="000D5BDF">
              <w:rPr>
                <w:rFonts w:ascii="Arial" w:hAnsi="Arial" w:cs="Arial"/>
                <w:sz w:val="20"/>
                <w:szCs w:val="20"/>
                <w:lang w:val="fr-CA"/>
              </w:rPr>
              <w:t>(</w:t>
            </w:r>
            <w:r w:rsidRPr="000A1CCE">
              <w:rPr>
                <w:rFonts w:ascii="Arial" w:hAnsi="Arial" w:cs="Arial"/>
                <w:sz w:val="20"/>
                <w:szCs w:val="20"/>
                <w:lang w:val="fr-CA"/>
              </w:rPr>
              <w:t>ROB4</w:t>
            </w:r>
            <w:r w:rsidR="000D5BDF">
              <w:rPr>
                <w:rFonts w:ascii="Arial" w:hAnsi="Arial" w:cs="Arial"/>
                <w:sz w:val="20"/>
                <w:szCs w:val="20"/>
                <w:lang w:val="fr-CA"/>
              </w:rPr>
              <w:t>)</w:t>
            </w:r>
          </w:p>
        </w:tc>
        <w:tc>
          <w:tcPr>
            <w:tcW w:w="4680" w:type="dxa"/>
            <w:shd w:val="clear" w:color="auto" w:fill="auto"/>
          </w:tcPr>
          <w:p w:rsidR="007D55D6" w:rsidRPr="000A1CCE" w:rsidRDefault="007D55D6" w:rsidP="000A1CCE">
            <w:pPr>
              <w:spacing w:line="276" w:lineRule="auto"/>
              <w:rPr>
                <w:rFonts w:ascii="Arial" w:hAnsi="Arial" w:cs="Arial"/>
                <w:sz w:val="20"/>
                <w:szCs w:val="20"/>
                <w:lang w:val="en-US"/>
              </w:rPr>
            </w:pPr>
            <w:r w:rsidRPr="000A1CCE">
              <w:rPr>
                <w:rFonts w:ascii="Arial" w:hAnsi="Arial" w:cs="Arial"/>
                <w:sz w:val="20"/>
                <w:szCs w:val="20"/>
                <w:lang w:val="en-US"/>
              </w:rPr>
              <w:t>F&amp;E / 1,27</w:t>
            </w:r>
          </w:p>
        </w:tc>
      </w:tr>
    </w:tbl>
    <w:p w:rsidR="007D55D6" w:rsidRDefault="007D55D6" w:rsidP="007D55D6">
      <w:pPr>
        <w:spacing w:line="276" w:lineRule="auto"/>
        <w:jc w:val="both"/>
        <w:rPr>
          <w:rFonts w:ascii="Arial" w:hAnsi="Arial" w:cs="Arial"/>
          <w:color w:val="FF0000"/>
          <w:sz w:val="20"/>
          <w:szCs w:val="20"/>
          <w:lang w:val="en-US"/>
        </w:rPr>
      </w:pPr>
    </w:p>
    <w:p w:rsidR="00E31C90" w:rsidRPr="00EF05AF" w:rsidRDefault="00B95334" w:rsidP="007D55D6">
      <w:pPr>
        <w:spacing w:line="276" w:lineRule="auto"/>
        <w:jc w:val="both"/>
        <w:rPr>
          <w:rFonts w:ascii="Arial" w:hAnsi="Arial" w:cs="Arial"/>
          <w:sz w:val="20"/>
          <w:szCs w:val="20"/>
          <w:lang w:val="en-US"/>
        </w:rPr>
      </w:pPr>
      <w:r w:rsidRPr="00EF05AF">
        <w:rPr>
          <w:rFonts w:ascii="Arial" w:hAnsi="Arial" w:cs="Arial"/>
          <w:sz w:val="20"/>
          <w:szCs w:val="20"/>
          <w:lang w:val="en-US"/>
        </w:rPr>
        <w:t>Notez que:</w:t>
      </w:r>
    </w:p>
    <w:p w:rsidR="00E31C90" w:rsidRPr="00EF05AF" w:rsidRDefault="00E31C90" w:rsidP="007D55D6">
      <w:pPr>
        <w:spacing w:line="276" w:lineRule="auto"/>
        <w:jc w:val="both"/>
        <w:rPr>
          <w:rFonts w:ascii="Arial" w:hAnsi="Arial" w:cs="Arial"/>
          <w:sz w:val="20"/>
          <w:szCs w:val="20"/>
          <w:lang w:val="en-US"/>
        </w:rPr>
      </w:pPr>
    </w:p>
    <w:p w:rsidR="00B95334" w:rsidRPr="00EF05AF" w:rsidRDefault="00B95334" w:rsidP="00EF05AF">
      <w:pPr>
        <w:pStyle w:val="ListParagraph"/>
        <w:numPr>
          <w:ilvl w:val="0"/>
          <w:numId w:val="13"/>
        </w:numPr>
        <w:spacing w:line="276" w:lineRule="auto"/>
        <w:jc w:val="both"/>
        <w:rPr>
          <w:rFonts w:ascii="Arial" w:hAnsi="Arial" w:cs="Arial"/>
          <w:sz w:val="20"/>
          <w:szCs w:val="20"/>
          <w:lang w:val="fr-CA"/>
        </w:rPr>
      </w:pPr>
      <w:r w:rsidRPr="00EF05AF">
        <w:rPr>
          <w:rFonts w:ascii="Arial" w:hAnsi="Arial" w:cs="Arial"/>
          <w:sz w:val="20"/>
          <w:szCs w:val="20"/>
          <w:lang w:val="fr-CA"/>
        </w:rPr>
        <w:t xml:space="preserve">Dans tous les cas et en tout temps, un transfert de F&amp;E à Personnel (fonds réguliers, </w:t>
      </w:r>
      <w:r w:rsidR="000B1272" w:rsidRPr="00EF05AF">
        <w:rPr>
          <w:rFonts w:ascii="Arial" w:hAnsi="Arial" w:cs="Arial"/>
          <w:sz w:val="20"/>
          <w:szCs w:val="20"/>
          <w:lang w:val="fr-CA"/>
        </w:rPr>
        <w:t>affectations contrôlées séparément</w:t>
      </w:r>
      <w:r w:rsidRPr="00EF05AF">
        <w:rPr>
          <w:rFonts w:ascii="Arial" w:hAnsi="Arial" w:cs="Arial"/>
          <w:sz w:val="20"/>
          <w:szCs w:val="20"/>
          <w:lang w:val="fr-CA"/>
        </w:rPr>
        <w:t>, LMDES) doit comprendre le coût de transfert.</w:t>
      </w:r>
    </w:p>
    <w:p w:rsidR="00E31C90" w:rsidRPr="00EF05AF" w:rsidRDefault="00E31C90" w:rsidP="00EF05AF">
      <w:pPr>
        <w:pStyle w:val="ListParagraph"/>
        <w:spacing w:line="276" w:lineRule="auto"/>
        <w:jc w:val="both"/>
        <w:rPr>
          <w:rFonts w:ascii="Arial" w:hAnsi="Arial" w:cs="Arial"/>
          <w:sz w:val="20"/>
          <w:szCs w:val="20"/>
          <w:lang w:val="fr-CA"/>
        </w:rPr>
      </w:pPr>
    </w:p>
    <w:p w:rsidR="005A1CE0" w:rsidRPr="00EF05AF" w:rsidRDefault="005A1CE0" w:rsidP="00EF05AF">
      <w:pPr>
        <w:pStyle w:val="ListParagraph"/>
        <w:numPr>
          <w:ilvl w:val="0"/>
          <w:numId w:val="13"/>
        </w:numPr>
        <w:spacing w:line="276" w:lineRule="auto"/>
        <w:jc w:val="both"/>
        <w:rPr>
          <w:rFonts w:ascii="Arial" w:hAnsi="Arial" w:cs="Arial"/>
          <w:sz w:val="20"/>
          <w:szCs w:val="20"/>
          <w:lang w:val="fr-CA"/>
        </w:rPr>
      </w:pPr>
      <w:r w:rsidRPr="00EF05AF">
        <w:rPr>
          <w:rFonts w:ascii="Arial" w:hAnsi="Arial" w:cs="Arial"/>
          <w:sz w:val="20"/>
          <w:szCs w:val="20"/>
          <w:lang w:val="fr-CA"/>
        </w:rPr>
        <w:t>Transferts de Personnel à F&amp;E :</w:t>
      </w:r>
      <w:r w:rsidR="003931A5" w:rsidRPr="00EF05AF">
        <w:rPr>
          <w:rFonts w:ascii="Arial" w:hAnsi="Arial" w:cs="Arial"/>
          <w:sz w:val="20"/>
          <w:szCs w:val="20"/>
          <w:lang w:val="fr-CA"/>
        </w:rPr>
        <w:t xml:space="preserve"> </w:t>
      </w:r>
    </w:p>
    <w:p w:rsidR="00E31C90" w:rsidRPr="00EF05AF" w:rsidRDefault="00E31C90" w:rsidP="00E31C90">
      <w:pPr>
        <w:spacing w:line="276" w:lineRule="auto"/>
        <w:jc w:val="both"/>
        <w:rPr>
          <w:rFonts w:ascii="Arial" w:hAnsi="Arial" w:cs="Arial"/>
          <w:sz w:val="20"/>
          <w:szCs w:val="20"/>
          <w:lang w:val="fr-CA"/>
        </w:rPr>
      </w:pPr>
    </w:p>
    <w:p w:rsidR="005A1CE0" w:rsidRPr="00EF05AF" w:rsidRDefault="005A1CE0" w:rsidP="00EF05AF">
      <w:pPr>
        <w:pStyle w:val="ListParagraph"/>
        <w:numPr>
          <w:ilvl w:val="1"/>
          <w:numId w:val="13"/>
        </w:numPr>
        <w:spacing w:line="276" w:lineRule="auto"/>
        <w:jc w:val="both"/>
        <w:rPr>
          <w:rFonts w:ascii="Arial" w:hAnsi="Arial" w:cs="Arial"/>
          <w:sz w:val="20"/>
          <w:szCs w:val="20"/>
          <w:lang w:val="fr-CA"/>
        </w:rPr>
      </w:pPr>
      <w:r w:rsidRPr="00EF05AF">
        <w:rPr>
          <w:rFonts w:ascii="Arial" w:hAnsi="Arial" w:cs="Arial"/>
          <w:sz w:val="20"/>
          <w:szCs w:val="20"/>
          <w:lang w:val="fr-CA"/>
        </w:rPr>
        <w:t xml:space="preserve">Budgets de fonctionnement régulier : </w:t>
      </w:r>
      <w:r w:rsidR="003931A5" w:rsidRPr="00EF05AF">
        <w:rPr>
          <w:rFonts w:ascii="Arial" w:hAnsi="Arial" w:cs="Arial"/>
          <w:sz w:val="20"/>
          <w:szCs w:val="20"/>
          <w:lang w:val="fr-CA"/>
        </w:rPr>
        <w:t xml:space="preserve">le gain de la RASE est accordée jusqu’à la P10 selon la situation financière du ministère autrement, il s’agit d’un transfert </w:t>
      </w:r>
      <w:r w:rsidR="00C85A45" w:rsidRPr="00EF05AF">
        <w:rPr>
          <w:rFonts w:ascii="Arial" w:hAnsi="Arial" w:cs="Arial"/>
          <w:sz w:val="20"/>
          <w:szCs w:val="20"/>
          <w:lang w:val="fr-CA"/>
        </w:rPr>
        <w:t xml:space="preserve">un </w:t>
      </w:r>
      <w:r w:rsidR="00857D0C" w:rsidRPr="00EF05AF">
        <w:rPr>
          <w:rFonts w:ascii="Arial" w:hAnsi="Arial" w:cs="Arial"/>
          <w:sz w:val="20"/>
          <w:szCs w:val="20"/>
          <w:lang w:val="fr-CA"/>
        </w:rPr>
        <w:t xml:space="preserve">pour </w:t>
      </w:r>
      <w:r w:rsidR="00C85A45" w:rsidRPr="00EF05AF">
        <w:rPr>
          <w:rFonts w:ascii="Arial" w:hAnsi="Arial" w:cs="Arial"/>
          <w:sz w:val="20"/>
          <w:szCs w:val="20"/>
          <w:lang w:val="fr-CA"/>
        </w:rPr>
        <w:t>un</w:t>
      </w:r>
      <w:r w:rsidR="003931A5" w:rsidRPr="00EF05AF">
        <w:rPr>
          <w:rFonts w:ascii="Arial" w:hAnsi="Arial" w:cs="Arial"/>
          <w:sz w:val="20"/>
          <w:szCs w:val="20"/>
          <w:lang w:val="fr-CA"/>
        </w:rPr>
        <w:t xml:space="preserve">. </w:t>
      </w:r>
      <w:r w:rsidR="003931A5" w:rsidRPr="00EF05AF">
        <w:rPr>
          <w:rFonts w:ascii="Arial" w:hAnsi="Arial" w:cs="Arial"/>
          <w:b/>
          <w:sz w:val="20"/>
          <w:szCs w:val="20"/>
          <w:lang w:val="fr-CA"/>
        </w:rPr>
        <w:t xml:space="preserve">Le 27 % sera accordée si le </w:t>
      </w:r>
      <w:r w:rsidR="00857D0C" w:rsidRPr="00EF05AF">
        <w:rPr>
          <w:rFonts w:ascii="Arial" w:hAnsi="Arial" w:cs="Arial"/>
          <w:b/>
          <w:sz w:val="20"/>
          <w:szCs w:val="20"/>
          <w:lang w:val="fr-CA"/>
        </w:rPr>
        <w:t>ABF</w:t>
      </w:r>
      <w:r w:rsidR="003931A5" w:rsidRPr="00EF05AF">
        <w:rPr>
          <w:rFonts w:ascii="Arial" w:hAnsi="Arial" w:cs="Arial"/>
          <w:b/>
          <w:sz w:val="20"/>
          <w:szCs w:val="20"/>
          <w:lang w:val="fr-CA"/>
        </w:rPr>
        <w:t xml:space="preserve"> est inclus dans les prévisions de P10</w:t>
      </w:r>
      <w:r w:rsidR="003931A5" w:rsidRPr="00EF05AF">
        <w:rPr>
          <w:rFonts w:ascii="Arial" w:hAnsi="Arial" w:cs="Arial"/>
          <w:sz w:val="20"/>
          <w:szCs w:val="20"/>
          <w:lang w:val="fr-CA"/>
        </w:rPr>
        <w:t>.</w:t>
      </w:r>
    </w:p>
    <w:p w:rsidR="00E31C90" w:rsidRPr="00EF05AF" w:rsidRDefault="00E31C90" w:rsidP="00EF05AF">
      <w:pPr>
        <w:pStyle w:val="ListParagraph"/>
        <w:spacing w:line="276" w:lineRule="auto"/>
        <w:ind w:left="1440"/>
        <w:jc w:val="both"/>
        <w:rPr>
          <w:rFonts w:ascii="Arial" w:hAnsi="Arial" w:cs="Arial"/>
          <w:sz w:val="20"/>
          <w:szCs w:val="20"/>
          <w:lang w:val="fr-CA"/>
        </w:rPr>
      </w:pPr>
    </w:p>
    <w:p w:rsidR="00E31C90" w:rsidRPr="00EF05AF" w:rsidRDefault="00E31C90" w:rsidP="00E31C90">
      <w:pPr>
        <w:spacing w:line="276" w:lineRule="auto"/>
        <w:jc w:val="both"/>
        <w:rPr>
          <w:rFonts w:ascii="Arial" w:hAnsi="Arial" w:cs="Arial"/>
          <w:sz w:val="20"/>
          <w:szCs w:val="20"/>
          <w:highlight w:val="yellow"/>
          <w:lang w:val="fr-CA"/>
        </w:rPr>
      </w:pPr>
    </w:p>
    <w:p w:rsidR="00B95334" w:rsidRPr="00EF05AF" w:rsidRDefault="00720EFA" w:rsidP="00EF05AF">
      <w:pPr>
        <w:rPr>
          <w:rFonts w:ascii="Arial" w:hAnsi="Arial" w:cs="Arial"/>
          <w:b/>
          <w:sz w:val="20"/>
          <w:szCs w:val="20"/>
          <w:lang w:val="fr-CA"/>
        </w:rPr>
      </w:pPr>
      <w:r w:rsidRPr="00EF05AF">
        <w:rPr>
          <w:rFonts w:ascii="Arial" w:hAnsi="Arial" w:cs="Arial"/>
          <w:sz w:val="20"/>
          <w:szCs w:val="20"/>
          <w:lang w:val="fr-CA"/>
        </w:rPr>
        <w:t>De façon générale, a</w:t>
      </w:r>
      <w:r w:rsidR="00ED54E0" w:rsidRPr="00EF05AF">
        <w:rPr>
          <w:rFonts w:ascii="Arial" w:hAnsi="Arial" w:cs="Arial"/>
          <w:sz w:val="20"/>
          <w:szCs w:val="20"/>
          <w:lang w:val="fr-CA"/>
        </w:rPr>
        <w:t>ucun transfert entre Personnel et F&amp;E n’est permis pour les LMDES, les revenus nets (CRN) et les affectations contrôlées séparément.  Si un tel transfert est nécessaire, le CGF doit contacter le CGF responsable du programme pour coordonner ce dernier.  Le CGF responsable du programme soumettra une demande par courriel à la boîte budgétaire générique de la GRM pour que celui-ci actionne le transfert dans maSGE (si applicable).</w:t>
      </w:r>
      <w:r w:rsidRPr="00EF05AF">
        <w:rPr>
          <w:rFonts w:ascii="Arial" w:hAnsi="Arial" w:cs="Arial"/>
          <w:sz w:val="20"/>
          <w:szCs w:val="20"/>
          <w:lang w:val="fr-CA"/>
        </w:rPr>
        <w:t xml:space="preserve"> </w:t>
      </w:r>
      <w:r w:rsidRPr="00EF05AF">
        <w:rPr>
          <w:rFonts w:ascii="Arial" w:hAnsi="Arial" w:cs="Arial"/>
          <w:b/>
          <w:sz w:val="20"/>
          <w:szCs w:val="20"/>
          <w:lang w:val="fr-CA"/>
        </w:rPr>
        <w:t>Ce type de transferts est toujours un pour un.</w:t>
      </w:r>
    </w:p>
    <w:p w:rsidR="00E31C90" w:rsidRPr="00EF05AF" w:rsidRDefault="00E31C90" w:rsidP="00EF05AF">
      <w:pPr>
        <w:pStyle w:val="ListParagraph"/>
        <w:ind w:left="2160"/>
        <w:rPr>
          <w:rFonts w:ascii="Arial" w:hAnsi="Arial" w:cs="Arial"/>
          <w:color w:val="FF0000"/>
          <w:sz w:val="20"/>
          <w:szCs w:val="20"/>
          <w:lang w:val="fr-CA"/>
        </w:rPr>
      </w:pPr>
    </w:p>
    <w:p w:rsidR="007D55D6" w:rsidRDefault="00471111" w:rsidP="00BE50F5">
      <w:pPr>
        <w:pStyle w:val="ListParagraph"/>
        <w:numPr>
          <w:ilvl w:val="0"/>
          <w:numId w:val="8"/>
        </w:numPr>
        <w:spacing w:line="276" w:lineRule="auto"/>
        <w:rPr>
          <w:rFonts w:ascii="Arial" w:hAnsi="Arial" w:cs="Arial"/>
          <w:sz w:val="20"/>
          <w:szCs w:val="20"/>
          <w:lang w:val="fr-CA"/>
        </w:rPr>
      </w:pPr>
      <w:r w:rsidRPr="00E31C90">
        <w:rPr>
          <w:rFonts w:ascii="Arial" w:hAnsi="Arial" w:cs="Arial"/>
          <w:sz w:val="20"/>
          <w:szCs w:val="20"/>
          <w:lang w:val="fr-CA"/>
        </w:rPr>
        <w:t>Tou</w:t>
      </w:r>
      <w:r>
        <w:rPr>
          <w:rFonts w:ascii="Arial" w:hAnsi="Arial" w:cs="Arial"/>
          <w:sz w:val="20"/>
          <w:szCs w:val="20"/>
          <w:lang w:val="fr-CA"/>
        </w:rPr>
        <w:t>s</w:t>
      </w:r>
      <w:r w:rsidR="00E31C90">
        <w:rPr>
          <w:rFonts w:ascii="Arial" w:hAnsi="Arial" w:cs="Arial"/>
          <w:sz w:val="20"/>
          <w:szCs w:val="20"/>
          <w:lang w:val="fr-CA"/>
        </w:rPr>
        <w:t xml:space="preserve"> les</w:t>
      </w:r>
      <w:r w:rsidR="00E31C90" w:rsidRPr="00E31C90">
        <w:rPr>
          <w:rFonts w:ascii="Arial" w:hAnsi="Arial" w:cs="Arial"/>
          <w:sz w:val="20"/>
          <w:szCs w:val="20"/>
          <w:lang w:val="fr-CA"/>
        </w:rPr>
        <w:t xml:space="preserve"> transfert</w:t>
      </w:r>
      <w:r w:rsidR="00E31C90">
        <w:rPr>
          <w:rFonts w:ascii="Arial" w:hAnsi="Arial" w:cs="Arial"/>
          <w:sz w:val="20"/>
          <w:szCs w:val="20"/>
          <w:lang w:val="fr-CA"/>
        </w:rPr>
        <w:t>s</w:t>
      </w:r>
      <w:r w:rsidR="00E31C90" w:rsidRPr="00E31C90">
        <w:rPr>
          <w:rFonts w:ascii="Arial" w:hAnsi="Arial" w:cs="Arial"/>
          <w:sz w:val="20"/>
          <w:szCs w:val="20"/>
          <w:lang w:val="fr-CA"/>
        </w:rPr>
        <w:t xml:space="preserve"> entre Personnel et </w:t>
      </w:r>
      <w:r w:rsidR="00E31C90">
        <w:rPr>
          <w:rFonts w:ascii="Arial" w:hAnsi="Arial" w:cs="Arial"/>
          <w:sz w:val="20"/>
          <w:szCs w:val="20"/>
          <w:lang w:val="fr-CA"/>
        </w:rPr>
        <w:t>F&amp;E</w:t>
      </w:r>
      <w:r>
        <w:rPr>
          <w:rFonts w:ascii="Arial" w:hAnsi="Arial" w:cs="Arial"/>
          <w:sz w:val="20"/>
          <w:szCs w:val="20"/>
          <w:lang w:val="fr-CA"/>
        </w:rPr>
        <w:t xml:space="preserve"> </w:t>
      </w:r>
      <w:r w:rsidR="00E31C90">
        <w:rPr>
          <w:rFonts w:ascii="Arial" w:hAnsi="Arial" w:cs="Arial"/>
          <w:sz w:val="20"/>
          <w:szCs w:val="20"/>
          <w:lang w:val="fr-CA"/>
        </w:rPr>
        <w:t>doivent</w:t>
      </w:r>
      <w:r w:rsidR="00E31C90" w:rsidRPr="003A7A10">
        <w:rPr>
          <w:rFonts w:ascii="Arial" w:hAnsi="Arial" w:cs="Arial"/>
          <w:sz w:val="20"/>
          <w:szCs w:val="20"/>
          <w:lang w:val="fr-CA"/>
        </w:rPr>
        <w:t xml:space="preserve"> </w:t>
      </w:r>
      <w:r w:rsidR="007D55D6" w:rsidRPr="003A7A10">
        <w:rPr>
          <w:rFonts w:ascii="Arial" w:hAnsi="Arial" w:cs="Arial"/>
          <w:sz w:val="20"/>
          <w:szCs w:val="20"/>
          <w:lang w:val="fr-CA"/>
        </w:rPr>
        <w:t xml:space="preserve">être initiés par les CGF pour s’assurer que la demande est basée sur les besoins </w:t>
      </w:r>
      <w:r w:rsidR="00E15140" w:rsidRPr="0000778D">
        <w:rPr>
          <w:rFonts w:ascii="Arial" w:hAnsi="Arial" w:cs="Arial"/>
          <w:sz w:val="20"/>
          <w:szCs w:val="20"/>
          <w:lang w:val="fr-CA"/>
        </w:rPr>
        <w:t xml:space="preserve">en ressources </w:t>
      </w:r>
      <w:r w:rsidR="007D55D6" w:rsidRPr="003A7A10">
        <w:rPr>
          <w:rFonts w:ascii="Arial" w:hAnsi="Arial" w:cs="Arial"/>
          <w:sz w:val="20"/>
          <w:szCs w:val="20"/>
          <w:lang w:val="fr-CA"/>
        </w:rPr>
        <w:t xml:space="preserve">de la direction générale. La demande sera envoyée à </w:t>
      </w:r>
      <w:r w:rsidR="007D55D6">
        <w:rPr>
          <w:rFonts w:ascii="Arial" w:hAnsi="Arial" w:cs="Arial"/>
          <w:sz w:val="20"/>
          <w:szCs w:val="20"/>
          <w:lang w:val="fr-CA"/>
        </w:rPr>
        <w:t xml:space="preserve">la </w:t>
      </w:r>
      <w:r w:rsidR="007D55D6" w:rsidRPr="003A7A10">
        <w:rPr>
          <w:rFonts w:ascii="Arial" w:hAnsi="Arial" w:cs="Arial"/>
          <w:sz w:val="20"/>
          <w:szCs w:val="20"/>
          <w:lang w:val="fr-CA"/>
        </w:rPr>
        <w:t>GRM pour approbation</w:t>
      </w:r>
      <w:r w:rsidR="00BE50F5">
        <w:rPr>
          <w:rFonts w:ascii="Arial" w:hAnsi="Arial" w:cs="Arial"/>
          <w:sz w:val="20"/>
          <w:szCs w:val="20"/>
          <w:lang w:val="fr-CA"/>
        </w:rPr>
        <w:t xml:space="preserve"> par</w:t>
      </w:r>
      <w:r w:rsidR="007D55D6" w:rsidRPr="003A7A10">
        <w:rPr>
          <w:rFonts w:ascii="Arial" w:hAnsi="Arial" w:cs="Arial"/>
          <w:sz w:val="20"/>
          <w:szCs w:val="20"/>
          <w:lang w:val="fr-CA"/>
        </w:rPr>
        <w:t xml:space="preserve"> </w:t>
      </w:r>
      <w:r w:rsidR="00BE50F5" w:rsidRPr="00BE50F5">
        <w:rPr>
          <w:rFonts w:ascii="Arial" w:hAnsi="Arial" w:cs="Arial"/>
          <w:sz w:val="20"/>
          <w:szCs w:val="20"/>
          <w:lang w:val="fr-CA"/>
        </w:rPr>
        <w:t xml:space="preserve">l’entremise du système d’acheminement des opérations </w:t>
      </w:r>
      <w:r w:rsidR="00E31C90">
        <w:rPr>
          <w:rFonts w:ascii="Arial" w:hAnsi="Arial" w:cs="Arial"/>
          <w:sz w:val="20"/>
          <w:szCs w:val="20"/>
          <w:lang w:val="fr-CA"/>
        </w:rPr>
        <w:t>(workflow)</w:t>
      </w:r>
      <w:r w:rsidR="007D55D6" w:rsidRPr="003A7A10">
        <w:rPr>
          <w:rFonts w:ascii="Arial" w:hAnsi="Arial" w:cs="Arial"/>
          <w:sz w:val="20"/>
          <w:szCs w:val="20"/>
          <w:lang w:val="fr-CA"/>
        </w:rPr>
        <w:t>.</w:t>
      </w:r>
    </w:p>
    <w:p w:rsidR="007D55D6" w:rsidRDefault="007D55D6" w:rsidP="007D55D6">
      <w:pPr>
        <w:pStyle w:val="ListParagraph"/>
        <w:spacing w:line="276" w:lineRule="auto"/>
        <w:rPr>
          <w:rFonts w:ascii="Arial" w:hAnsi="Arial" w:cs="Arial"/>
          <w:sz w:val="20"/>
          <w:szCs w:val="20"/>
          <w:lang w:val="fr-CA"/>
        </w:rPr>
      </w:pPr>
    </w:p>
    <w:p w:rsidR="00E31C90" w:rsidRDefault="007D55D6" w:rsidP="00E31C90">
      <w:pPr>
        <w:pStyle w:val="ListParagraph"/>
        <w:numPr>
          <w:ilvl w:val="0"/>
          <w:numId w:val="8"/>
        </w:numPr>
        <w:spacing w:line="276" w:lineRule="auto"/>
        <w:rPr>
          <w:rFonts w:ascii="Arial" w:hAnsi="Arial" w:cs="Arial"/>
          <w:sz w:val="20"/>
          <w:szCs w:val="20"/>
          <w:lang w:val="fr-CA"/>
        </w:rPr>
      </w:pPr>
      <w:r w:rsidRPr="000A1CCE">
        <w:rPr>
          <w:rFonts w:ascii="Arial" w:hAnsi="Arial" w:cs="Arial"/>
          <w:sz w:val="20"/>
          <w:szCs w:val="20"/>
          <w:lang w:val="fr-CA"/>
        </w:rPr>
        <w:t xml:space="preserve">Dans le contexte où un transfert entre Personnel </w:t>
      </w:r>
      <w:r>
        <w:rPr>
          <w:rFonts w:ascii="Arial" w:hAnsi="Arial" w:cs="Arial"/>
          <w:sz w:val="20"/>
          <w:szCs w:val="20"/>
          <w:lang w:val="fr-CA"/>
        </w:rPr>
        <w:t>et</w:t>
      </w:r>
      <w:r w:rsidRPr="000A1CCE">
        <w:rPr>
          <w:rFonts w:ascii="Arial" w:hAnsi="Arial" w:cs="Arial"/>
          <w:sz w:val="20"/>
          <w:szCs w:val="20"/>
          <w:lang w:val="fr-CA"/>
        </w:rPr>
        <w:t xml:space="preserve"> FIA</w:t>
      </w:r>
      <w:r w:rsidR="00857D0C">
        <w:rPr>
          <w:rFonts w:ascii="Arial" w:hAnsi="Arial" w:cs="Arial"/>
          <w:sz w:val="20"/>
          <w:szCs w:val="20"/>
          <w:lang w:val="fr-CA"/>
        </w:rPr>
        <w:t xml:space="preserve"> est requis</w:t>
      </w:r>
      <w:r w:rsidRPr="000A1CCE">
        <w:rPr>
          <w:rFonts w:ascii="Arial" w:hAnsi="Arial" w:cs="Arial"/>
          <w:sz w:val="20"/>
          <w:szCs w:val="20"/>
          <w:lang w:val="fr-CA"/>
        </w:rPr>
        <w:t xml:space="preserve">, </w:t>
      </w:r>
      <w:r w:rsidR="00E31C90">
        <w:rPr>
          <w:rFonts w:ascii="Arial" w:hAnsi="Arial" w:cs="Arial"/>
          <w:sz w:val="20"/>
          <w:szCs w:val="20"/>
          <w:lang w:val="fr-CA"/>
        </w:rPr>
        <w:t>ce dernier</w:t>
      </w:r>
      <w:r w:rsidR="00E31C90" w:rsidRPr="000A1CCE">
        <w:rPr>
          <w:rFonts w:ascii="Arial" w:hAnsi="Arial" w:cs="Arial"/>
          <w:sz w:val="20"/>
          <w:szCs w:val="20"/>
          <w:lang w:val="fr-CA"/>
        </w:rPr>
        <w:t xml:space="preserve"> </w:t>
      </w:r>
      <w:r w:rsidR="00857D0C">
        <w:rPr>
          <w:rFonts w:ascii="Arial" w:hAnsi="Arial" w:cs="Arial"/>
          <w:sz w:val="20"/>
          <w:szCs w:val="20"/>
          <w:lang w:val="fr-CA"/>
        </w:rPr>
        <w:t xml:space="preserve">doit être fait via </w:t>
      </w:r>
      <w:r w:rsidRPr="000A1CCE">
        <w:rPr>
          <w:rFonts w:ascii="Arial" w:hAnsi="Arial" w:cs="Arial"/>
          <w:sz w:val="20"/>
          <w:szCs w:val="20"/>
          <w:lang w:val="fr-CA"/>
        </w:rPr>
        <w:t xml:space="preserve">deux </w:t>
      </w:r>
      <w:r w:rsidR="00857D0C">
        <w:rPr>
          <w:rFonts w:ascii="Arial" w:hAnsi="Arial" w:cs="Arial"/>
          <w:sz w:val="20"/>
          <w:szCs w:val="20"/>
          <w:lang w:val="fr-CA"/>
        </w:rPr>
        <w:t xml:space="preserve">demandes par </w:t>
      </w:r>
      <w:r w:rsidR="00BE50F5" w:rsidRPr="007E69B1">
        <w:rPr>
          <w:rFonts w:ascii="Arial" w:hAnsi="Arial" w:cs="Arial"/>
          <w:bCs/>
          <w:sz w:val="20"/>
          <w:szCs w:val="20"/>
          <w:lang w:val="fr-CA" w:eastAsia="en-CA"/>
        </w:rPr>
        <w:t>l’entremise du système d’acheminement des opérations</w:t>
      </w:r>
      <w:r w:rsidR="00BE50F5">
        <w:rPr>
          <w:rFonts w:ascii="Arial" w:hAnsi="Arial" w:cs="Arial"/>
          <w:bCs/>
          <w:sz w:val="20"/>
          <w:szCs w:val="20"/>
          <w:lang w:val="fr-CA" w:eastAsia="en-CA"/>
        </w:rPr>
        <w:t xml:space="preserve"> (workflow)</w:t>
      </w:r>
      <w:r w:rsidR="00E31C90">
        <w:rPr>
          <w:rFonts w:ascii="Arial" w:hAnsi="Arial" w:cs="Arial"/>
          <w:sz w:val="20"/>
          <w:szCs w:val="20"/>
          <w:lang w:val="fr-CA"/>
        </w:rPr>
        <w:t>:</w:t>
      </w:r>
    </w:p>
    <w:p w:rsidR="00E31C90" w:rsidRPr="00EF05AF" w:rsidRDefault="00E31C90" w:rsidP="00EF05AF">
      <w:pPr>
        <w:pStyle w:val="ListParagraph"/>
        <w:rPr>
          <w:rFonts w:ascii="Arial" w:hAnsi="Arial" w:cs="Arial"/>
          <w:sz w:val="20"/>
          <w:szCs w:val="20"/>
          <w:lang w:val="fr-CA"/>
        </w:rPr>
      </w:pPr>
    </w:p>
    <w:p w:rsidR="00E31C90" w:rsidRDefault="007D55D6" w:rsidP="00EF05AF">
      <w:pPr>
        <w:pStyle w:val="ListParagraph"/>
        <w:numPr>
          <w:ilvl w:val="1"/>
          <w:numId w:val="8"/>
        </w:numPr>
        <w:spacing w:line="276" w:lineRule="auto"/>
        <w:rPr>
          <w:rFonts w:ascii="Arial" w:hAnsi="Arial" w:cs="Arial"/>
          <w:sz w:val="20"/>
          <w:szCs w:val="20"/>
          <w:lang w:val="fr-CA"/>
        </w:rPr>
      </w:pPr>
      <w:r w:rsidRPr="000A1CCE">
        <w:rPr>
          <w:rFonts w:ascii="Arial" w:hAnsi="Arial" w:cs="Arial"/>
          <w:sz w:val="20"/>
          <w:szCs w:val="20"/>
          <w:lang w:val="fr-CA"/>
        </w:rPr>
        <w:t xml:space="preserve">D’abord, le CGF fait une demande de transfert </w:t>
      </w:r>
      <w:r>
        <w:rPr>
          <w:rFonts w:ascii="Arial" w:hAnsi="Arial" w:cs="Arial"/>
          <w:sz w:val="20"/>
          <w:szCs w:val="20"/>
          <w:lang w:val="fr-CA"/>
        </w:rPr>
        <w:t>entre</w:t>
      </w:r>
      <w:r w:rsidRPr="000A1CCE">
        <w:rPr>
          <w:rFonts w:ascii="Arial" w:hAnsi="Arial" w:cs="Arial"/>
          <w:sz w:val="20"/>
          <w:szCs w:val="20"/>
          <w:lang w:val="fr-CA"/>
        </w:rPr>
        <w:t xml:space="preserve"> Personnel </w:t>
      </w:r>
      <w:r>
        <w:rPr>
          <w:rFonts w:ascii="Arial" w:hAnsi="Arial" w:cs="Arial"/>
          <w:sz w:val="20"/>
          <w:szCs w:val="20"/>
          <w:lang w:val="fr-CA"/>
        </w:rPr>
        <w:t>et</w:t>
      </w:r>
      <w:r w:rsidRPr="000A1CCE">
        <w:rPr>
          <w:rFonts w:ascii="Arial" w:hAnsi="Arial" w:cs="Arial"/>
          <w:sz w:val="20"/>
          <w:szCs w:val="20"/>
          <w:lang w:val="fr-CA"/>
        </w:rPr>
        <w:t xml:space="preserve"> F&amp;E.  </w:t>
      </w:r>
    </w:p>
    <w:p w:rsidR="00E31C90" w:rsidRDefault="007D55D6" w:rsidP="00EF05AF">
      <w:pPr>
        <w:pStyle w:val="ListParagraph"/>
        <w:numPr>
          <w:ilvl w:val="1"/>
          <w:numId w:val="8"/>
        </w:numPr>
        <w:spacing w:line="276" w:lineRule="auto"/>
        <w:rPr>
          <w:rFonts w:ascii="Arial" w:hAnsi="Arial" w:cs="Arial"/>
          <w:sz w:val="20"/>
          <w:szCs w:val="20"/>
          <w:lang w:val="fr-CA"/>
        </w:rPr>
      </w:pPr>
      <w:r w:rsidRPr="000A1CCE">
        <w:rPr>
          <w:rFonts w:ascii="Arial" w:hAnsi="Arial" w:cs="Arial"/>
          <w:sz w:val="20"/>
          <w:szCs w:val="20"/>
          <w:lang w:val="fr-CA"/>
        </w:rPr>
        <w:t xml:space="preserve">Ensuite, le CGF fait une autre demande de transfert </w:t>
      </w:r>
      <w:r>
        <w:rPr>
          <w:rFonts w:ascii="Arial" w:hAnsi="Arial" w:cs="Arial"/>
          <w:sz w:val="20"/>
          <w:szCs w:val="20"/>
          <w:lang w:val="fr-CA"/>
        </w:rPr>
        <w:t>entre</w:t>
      </w:r>
      <w:r w:rsidRPr="000A1CCE">
        <w:rPr>
          <w:rFonts w:ascii="Arial" w:hAnsi="Arial" w:cs="Arial"/>
          <w:sz w:val="20"/>
          <w:szCs w:val="20"/>
          <w:lang w:val="fr-CA"/>
        </w:rPr>
        <w:t xml:space="preserve"> F&amp;E </w:t>
      </w:r>
      <w:r>
        <w:rPr>
          <w:rFonts w:ascii="Arial" w:hAnsi="Arial" w:cs="Arial"/>
          <w:sz w:val="20"/>
          <w:szCs w:val="20"/>
          <w:lang w:val="fr-CA"/>
        </w:rPr>
        <w:t>et</w:t>
      </w:r>
      <w:r w:rsidRPr="000A1CCE">
        <w:rPr>
          <w:rFonts w:ascii="Arial" w:hAnsi="Arial" w:cs="Arial"/>
          <w:sz w:val="20"/>
          <w:szCs w:val="20"/>
          <w:lang w:val="fr-CA"/>
        </w:rPr>
        <w:t xml:space="preserve"> FIA. </w:t>
      </w:r>
    </w:p>
    <w:p w:rsidR="00857D0C" w:rsidRDefault="00857D0C" w:rsidP="007D55D6">
      <w:pPr>
        <w:pStyle w:val="ListParagraph"/>
        <w:spacing w:line="276" w:lineRule="auto"/>
        <w:rPr>
          <w:rFonts w:ascii="Arial" w:hAnsi="Arial" w:cs="Arial"/>
          <w:sz w:val="20"/>
          <w:szCs w:val="20"/>
          <w:lang w:val="fr-CA"/>
        </w:rPr>
      </w:pPr>
    </w:p>
    <w:p w:rsidR="007D55D6" w:rsidRPr="008642E8" w:rsidRDefault="007D55D6" w:rsidP="007D55D6">
      <w:pPr>
        <w:pStyle w:val="ListParagraph"/>
        <w:spacing w:line="276" w:lineRule="auto"/>
        <w:rPr>
          <w:rFonts w:ascii="Arial" w:hAnsi="Arial" w:cs="Arial"/>
          <w:sz w:val="20"/>
          <w:szCs w:val="20"/>
          <w:lang w:val="fr-CA"/>
        </w:rPr>
      </w:pPr>
    </w:p>
    <w:p w:rsidR="007D55D6" w:rsidRPr="002D78A7" w:rsidRDefault="007D55D6" w:rsidP="007D55D6">
      <w:pPr>
        <w:spacing w:line="276" w:lineRule="auto"/>
        <w:ind w:left="567"/>
        <w:rPr>
          <w:rFonts w:ascii="Arial" w:hAnsi="Arial" w:cs="Arial"/>
          <w:i/>
          <w:sz w:val="20"/>
          <w:szCs w:val="20"/>
          <w:lang w:val="fr-CA"/>
        </w:rPr>
      </w:pPr>
      <w:r w:rsidRPr="009B2355">
        <w:rPr>
          <w:rFonts w:ascii="Arial" w:hAnsi="Arial" w:cs="Arial"/>
          <w:b/>
          <w:sz w:val="20"/>
          <w:szCs w:val="20"/>
          <w:lang w:val="fr-CA"/>
        </w:rPr>
        <w:t>Note 1</w:t>
      </w:r>
      <w:r>
        <w:rPr>
          <w:rFonts w:ascii="Arial" w:hAnsi="Arial" w:cs="Arial"/>
          <w:sz w:val="20"/>
          <w:szCs w:val="20"/>
          <w:lang w:val="fr-CA"/>
        </w:rPr>
        <w:t xml:space="preserve">: </w:t>
      </w:r>
      <w:r w:rsidRPr="002D78A7">
        <w:rPr>
          <w:rFonts w:ascii="Arial" w:hAnsi="Arial" w:cs="Arial"/>
          <w:i/>
          <w:sz w:val="20"/>
          <w:szCs w:val="20"/>
          <w:lang w:val="fr-CA"/>
        </w:rPr>
        <w:t>Lors d</w:t>
      </w:r>
      <w:r>
        <w:rPr>
          <w:rFonts w:ascii="Arial" w:hAnsi="Arial" w:cs="Arial"/>
          <w:i/>
          <w:sz w:val="20"/>
          <w:szCs w:val="20"/>
          <w:lang w:val="fr-CA"/>
        </w:rPr>
        <w:t>u pré-</w:t>
      </w:r>
      <w:r w:rsidRPr="002D78A7">
        <w:rPr>
          <w:rFonts w:ascii="Arial" w:hAnsi="Arial" w:cs="Arial"/>
          <w:i/>
          <w:sz w:val="20"/>
          <w:szCs w:val="20"/>
          <w:lang w:val="fr-CA"/>
        </w:rPr>
        <w:t>enregistrement du type RO</w:t>
      </w:r>
      <w:r w:rsidRPr="005368A7">
        <w:rPr>
          <w:rFonts w:ascii="Arial" w:hAnsi="Arial" w:cs="Arial"/>
          <w:i/>
          <w:sz w:val="20"/>
          <w:szCs w:val="20"/>
          <w:lang w:val="fr-CA"/>
        </w:rPr>
        <w:t>B</w:t>
      </w:r>
      <w:r w:rsidRPr="000A1CCE">
        <w:rPr>
          <w:rFonts w:ascii="Arial" w:hAnsi="Arial" w:cs="Arial"/>
          <w:i/>
          <w:sz w:val="20"/>
          <w:szCs w:val="20"/>
          <w:lang w:val="fr-CA"/>
        </w:rPr>
        <w:t>4</w:t>
      </w:r>
      <w:r w:rsidRPr="002D78A7">
        <w:rPr>
          <w:rFonts w:ascii="Arial" w:hAnsi="Arial" w:cs="Arial"/>
          <w:i/>
          <w:sz w:val="20"/>
          <w:szCs w:val="20"/>
          <w:lang w:val="fr-CA"/>
        </w:rPr>
        <w:t xml:space="preserve">, le système enregistre le coût de transfert à la ligne Personnel avant d’enregistrer l’augmentation du budget Personnel.  S’il n’y a pas de disponibilité budgétaire pour absorbé le coût de transfert, le système ne permettra pas de comptabiliser à titre provisoire la transaction ABF.  Dans cette situation, un courriel </w:t>
      </w:r>
      <w:r w:rsidR="00857D0C">
        <w:rPr>
          <w:rFonts w:ascii="Arial" w:hAnsi="Arial" w:cs="Arial"/>
          <w:i/>
          <w:sz w:val="20"/>
          <w:szCs w:val="20"/>
          <w:lang w:val="fr-CA"/>
        </w:rPr>
        <w:t xml:space="preserve">doit être envoyé </w:t>
      </w:r>
      <w:r w:rsidRPr="002D78A7">
        <w:rPr>
          <w:rFonts w:ascii="Arial" w:hAnsi="Arial" w:cs="Arial"/>
          <w:i/>
          <w:sz w:val="20"/>
          <w:szCs w:val="20"/>
          <w:lang w:val="fr-CA"/>
        </w:rPr>
        <w:t xml:space="preserve">à </w:t>
      </w:r>
      <w:r>
        <w:rPr>
          <w:rFonts w:ascii="Arial" w:hAnsi="Arial" w:cs="Arial"/>
          <w:i/>
          <w:sz w:val="20"/>
          <w:szCs w:val="20"/>
          <w:lang w:val="fr-CA"/>
        </w:rPr>
        <w:t xml:space="preserve">la </w:t>
      </w:r>
      <w:r w:rsidRPr="002D78A7">
        <w:rPr>
          <w:rFonts w:ascii="Arial" w:hAnsi="Arial" w:cs="Arial"/>
          <w:i/>
          <w:sz w:val="20"/>
          <w:szCs w:val="20"/>
          <w:lang w:val="fr-CA"/>
        </w:rPr>
        <w:t xml:space="preserve">GRM pour faire enregistrer la transaction directement. </w:t>
      </w:r>
    </w:p>
    <w:p w:rsidR="007D55D6" w:rsidRPr="002D78A7" w:rsidRDefault="007D55D6" w:rsidP="007D55D6">
      <w:pPr>
        <w:spacing w:line="276" w:lineRule="auto"/>
        <w:ind w:left="567"/>
        <w:rPr>
          <w:rFonts w:ascii="Arial" w:hAnsi="Arial" w:cs="Arial"/>
          <w:b/>
          <w:sz w:val="20"/>
          <w:szCs w:val="20"/>
          <w:lang w:val="fr-CA"/>
        </w:rPr>
      </w:pPr>
    </w:p>
    <w:p w:rsidR="007D55D6" w:rsidRDefault="007D55D6" w:rsidP="007D55D6">
      <w:pPr>
        <w:spacing w:line="276" w:lineRule="auto"/>
        <w:ind w:left="567"/>
        <w:rPr>
          <w:rFonts w:ascii="Arial" w:hAnsi="Arial" w:cs="Arial"/>
          <w:i/>
          <w:sz w:val="20"/>
          <w:szCs w:val="20"/>
          <w:lang w:val="fr-CA"/>
        </w:rPr>
      </w:pPr>
      <w:r w:rsidRPr="002D78A7">
        <w:rPr>
          <w:rFonts w:ascii="Arial" w:hAnsi="Arial" w:cs="Arial"/>
          <w:b/>
          <w:sz w:val="20"/>
          <w:szCs w:val="20"/>
          <w:lang w:val="fr-CA"/>
        </w:rPr>
        <w:t xml:space="preserve">Note 2: </w:t>
      </w:r>
      <w:r w:rsidRPr="003A7A10">
        <w:rPr>
          <w:rFonts w:ascii="Arial" w:hAnsi="Arial" w:cs="Arial"/>
          <w:i/>
          <w:sz w:val="20"/>
          <w:szCs w:val="20"/>
          <w:lang w:val="fr-CA"/>
        </w:rPr>
        <w:t xml:space="preserve">Les budgets étudiants </w:t>
      </w:r>
      <w:r w:rsidR="00857D0C">
        <w:rPr>
          <w:rFonts w:ascii="Arial" w:hAnsi="Arial" w:cs="Arial"/>
          <w:i/>
          <w:sz w:val="20"/>
          <w:szCs w:val="20"/>
          <w:lang w:val="fr-CA"/>
        </w:rPr>
        <w:t>sont reflétés</w:t>
      </w:r>
      <w:r w:rsidRPr="003A7A10">
        <w:rPr>
          <w:rFonts w:ascii="Arial" w:hAnsi="Arial" w:cs="Arial"/>
          <w:i/>
          <w:sz w:val="20"/>
          <w:szCs w:val="20"/>
          <w:lang w:val="fr-CA"/>
        </w:rPr>
        <w:t xml:space="preserve"> sous la composante salariale. </w:t>
      </w:r>
      <w:r w:rsidRPr="002D78A7">
        <w:rPr>
          <w:rFonts w:ascii="Arial" w:hAnsi="Arial" w:cs="Arial"/>
          <w:i/>
          <w:sz w:val="20"/>
          <w:szCs w:val="20"/>
          <w:lang w:val="fr-CA"/>
        </w:rPr>
        <w:t xml:space="preserve">Pour cette raison, les </w:t>
      </w:r>
      <w:r w:rsidR="00BA620E">
        <w:rPr>
          <w:rFonts w:ascii="Arial" w:hAnsi="Arial" w:cs="Arial"/>
          <w:i/>
          <w:sz w:val="20"/>
          <w:szCs w:val="20"/>
          <w:lang w:val="fr-CA"/>
        </w:rPr>
        <w:t>transferts</w:t>
      </w:r>
      <w:r w:rsidRPr="002D78A7">
        <w:rPr>
          <w:rFonts w:ascii="Arial" w:hAnsi="Arial" w:cs="Arial"/>
          <w:i/>
          <w:sz w:val="20"/>
          <w:szCs w:val="20"/>
          <w:lang w:val="fr-CA"/>
        </w:rPr>
        <w:t xml:space="preserve"> 1 pour 1 </w:t>
      </w:r>
      <w:r w:rsidR="00857D0C">
        <w:rPr>
          <w:rFonts w:ascii="Arial" w:hAnsi="Arial" w:cs="Arial"/>
          <w:i/>
          <w:sz w:val="20"/>
          <w:szCs w:val="20"/>
          <w:lang w:val="fr-CA"/>
        </w:rPr>
        <w:t xml:space="preserve">pour ces budgets </w:t>
      </w:r>
      <w:r w:rsidRPr="002D78A7">
        <w:rPr>
          <w:rFonts w:ascii="Arial" w:hAnsi="Arial" w:cs="Arial"/>
          <w:i/>
          <w:sz w:val="20"/>
          <w:szCs w:val="20"/>
          <w:lang w:val="fr-CA"/>
        </w:rPr>
        <w:t xml:space="preserve">ne seront pas permis. </w:t>
      </w:r>
      <w:r w:rsidR="00BA620E">
        <w:rPr>
          <w:rFonts w:ascii="Arial" w:hAnsi="Arial" w:cs="Arial"/>
          <w:i/>
          <w:sz w:val="20"/>
          <w:szCs w:val="20"/>
          <w:lang w:val="fr-CA"/>
        </w:rPr>
        <w:t xml:space="preserve">De plus, alors que tout salaire </w:t>
      </w:r>
      <w:r w:rsidR="00BA620E">
        <w:rPr>
          <w:rFonts w:ascii="Arial" w:hAnsi="Arial" w:cs="Arial"/>
          <w:i/>
          <w:sz w:val="20"/>
          <w:szCs w:val="20"/>
          <w:lang w:val="fr-CA"/>
        </w:rPr>
        <w:lastRenderedPageBreak/>
        <w:t xml:space="preserve">étudiant est considéré comme une dépense salariale, il doit être prévu dans </w:t>
      </w:r>
      <w:r w:rsidR="00BA620E" w:rsidRPr="00BA620E">
        <w:rPr>
          <w:rFonts w:ascii="Arial" w:hAnsi="Arial" w:cs="Arial"/>
          <w:i/>
          <w:sz w:val="20"/>
          <w:szCs w:val="20"/>
          <w:lang w:val="fr-CA"/>
        </w:rPr>
        <w:t>l’outil des prévisions des salaires-OPS</w:t>
      </w:r>
      <w:r w:rsidR="00BA620E">
        <w:rPr>
          <w:rFonts w:ascii="Arial" w:hAnsi="Arial" w:cs="Arial"/>
          <w:i/>
          <w:sz w:val="20"/>
          <w:szCs w:val="20"/>
          <w:lang w:val="fr-CA"/>
        </w:rPr>
        <w:t>.</w:t>
      </w:r>
      <w:r>
        <w:rPr>
          <w:rFonts w:ascii="Arial" w:hAnsi="Arial" w:cs="Arial"/>
          <w:i/>
          <w:sz w:val="20"/>
          <w:szCs w:val="20"/>
          <w:lang w:val="fr-CA"/>
        </w:rPr>
        <w:t xml:space="preserve"> </w:t>
      </w:r>
    </w:p>
    <w:p w:rsidR="007D55D6" w:rsidRDefault="007D55D6" w:rsidP="007D55D6">
      <w:pPr>
        <w:spacing w:line="276" w:lineRule="auto"/>
        <w:ind w:left="567"/>
        <w:rPr>
          <w:rFonts w:ascii="Arial" w:hAnsi="Arial" w:cs="Arial"/>
          <w:i/>
          <w:sz w:val="20"/>
          <w:szCs w:val="20"/>
          <w:lang w:val="fr-CA"/>
        </w:rPr>
      </w:pPr>
    </w:p>
    <w:p w:rsidR="007D55D6" w:rsidRPr="00C066F8" w:rsidRDefault="007D55D6" w:rsidP="007D55D6">
      <w:pPr>
        <w:spacing w:line="276" w:lineRule="auto"/>
        <w:ind w:left="567"/>
        <w:rPr>
          <w:rFonts w:ascii="Arial" w:hAnsi="Arial" w:cs="Arial"/>
          <w:i/>
          <w:sz w:val="20"/>
          <w:szCs w:val="20"/>
          <w:lang w:val="fr-CA"/>
        </w:rPr>
      </w:pPr>
      <w:r w:rsidRPr="00FC2A85">
        <w:rPr>
          <w:rFonts w:ascii="Arial" w:hAnsi="Arial" w:cs="Arial"/>
          <w:b/>
          <w:sz w:val="20"/>
          <w:szCs w:val="20"/>
          <w:lang w:val="fr-CA"/>
        </w:rPr>
        <w:t>Note 3 :</w:t>
      </w:r>
      <w:r>
        <w:rPr>
          <w:rFonts w:ascii="Arial" w:hAnsi="Arial" w:cs="Arial"/>
          <w:i/>
          <w:sz w:val="20"/>
          <w:szCs w:val="20"/>
          <w:lang w:val="fr-CA"/>
        </w:rPr>
        <w:t xml:space="preserve"> Lors de l’enregistrement du type </w:t>
      </w:r>
      <w:r w:rsidRPr="005368A7">
        <w:rPr>
          <w:rFonts w:ascii="Arial" w:hAnsi="Arial" w:cs="Arial"/>
          <w:i/>
          <w:sz w:val="20"/>
          <w:szCs w:val="20"/>
          <w:lang w:val="fr-CA"/>
        </w:rPr>
        <w:t>ROB</w:t>
      </w:r>
      <w:r w:rsidRPr="000A1CCE">
        <w:rPr>
          <w:rFonts w:ascii="Arial" w:hAnsi="Arial" w:cs="Arial"/>
          <w:i/>
          <w:sz w:val="20"/>
          <w:szCs w:val="20"/>
          <w:lang w:val="fr-CA"/>
        </w:rPr>
        <w:t>3</w:t>
      </w:r>
      <w:r w:rsidRPr="005368A7">
        <w:rPr>
          <w:rFonts w:ascii="Arial" w:hAnsi="Arial" w:cs="Arial"/>
          <w:i/>
          <w:sz w:val="20"/>
          <w:szCs w:val="20"/>
          <w:lang w:val="fr-CA"/>
        </w:rPr>
        <w:t xml:space="preserve"> et ROB</w:t>
      </w:r>
      <w:r w:rsidRPr="000A1CCE">
        <w:rPr>
          <w:rFonts w:ascii="Arial" w:hAnsi="Arial" w:cs="Arial"/>
          <w:i/>
          <w:sz w:val="20"/>
          <w:szCs w:val="20"/>
          <w:lang w:val="fr-CA"/>
        </w:rPr>
        <w:t>4</w:t>
      </w:r>
      <w:r>
        <w:rPr>
          <w:rFonts w:ascii="Arial" w:hAnsi="Arial" w:cs="Arial"/>
          <w:i/>
          <w:sz w:val="20"/>
          <w:szCs w:val="20"/>
          <w:lang w:val="fr-CA"/>
        </w:rPr>
        <w:t xml:space="preserve"> avec le fonds B015, les coûts de transfert ne s’applique pas, tel que stipulé dans les Politiques à l’intention des cabinets des ministres. Extrait de la Politique : « …</w:t>
      </w:r>
      <w:r w:rsidRPr="00FC2A85">
        <w:rPr>
          <w:rFonts w:ascii="Arial" w:hAnsi="Arial" w:cs="Arial"/>
          <w:i/>
          <w:sz w:val="20"/>
          <w:szCs w:val="20"/>
          <w:lang w:val="fr-CA"/>
        </w:rPr>
        <w:t xml:space="preserve">les budgets des cabinets des ministres ne seront pas visés par le montant de virement de </w:t>
      </w:r>
      <w:r w:rsidRPr="005368A7">
        <w:rPr>
          <w:rFonts w:ascii="Arial" w:hAnsi="Arial" w:cs="Arial"/>
          <w:i/>
          <w:sz w:val="20"/>
          <w:szCs w:val="20"/>
          <w:lang w:val="fr-CA"/>
        </w:rPr>
        <w:t>2</w:t>
      </w:r>
      <w:r w:rsidRPr="000A1CCE">
        <w:rPr>
          <w:rFonts w:ascii="Arial" w:hAnsi="Arial" w:cs="Arial"/>
          <w:i/>
          <w:sz w:val="20"/>
          <w:szCs w:val="20"/>
          <w:lang w:val="fr-CA"/>
        </w:rPr>
        <w:t>7</w:t>
      </w:r>
      <w:r w:rsidRPr="00FC2A85">
        <w:rPr>
          <w:rFonts w:ascii="Arial" w:hAnsi="Arial" w:cs="Arial"/>
          <w:i/>
          <w:sz w:val="20"/>
          <w:szCs w:val="20"/>
          <w:lang w:val="fr-CA"/>
        </w:rPr>
        <w:t xml:space="preserve"> p. 100 qui s'appliquent aux virements entre les budgets du personnel et les autres budgets de fonctionnement, ce qui respecte l'intention d'allouer des niveaux de budget précis aux cabinets des ministres pour les coûts liés au personnel et autres coûts de fonctionnement. Ces frais de virement sont gérés par le ministère.</w:t>
      </w:r>
      <w:r>
        <w:rPr>
          <w:rFonts w:ascii="Arial" w:hAnsi="Arial" w:cs="Arial"/>
          <w:i/>
          <w:sz w:val="20"/>
          <w:szCs w:val="20"/>
          <w:lang w:val="fr-CA"/>
        </w:rPr>
        <w:t> »</w:t>
      </w:r>
    </w:p>
    <w:p w:rsidR="007D55D6" w:rsidRPr="00C066F8" w:rsidRDefault="007D55D6" w:rsidP="007D55D6">
      <w:pPr>
        <w:spacing w:line="276" w:lineRule="auto"/>
        <w:ind w:left="567"/>
        <w:rPr>
          <w:rFonts w:ascii="Arial" w:hAnsi="Arial" w:cs="Arial"/>
          <w:i/>
          <w:sz w:val="20"/>
          <w:szCs w:val="20"/>
          <w:lang w:val="fr-CA"/>
        </w:rPr>
      </w:pPr>
    </w:p>
    <w:p w:rsidR="007D55D6" w:rsidRPr="00C066F8" w:rsidRDefault="007D55D6" w:rsidP="007D55D6">
      <w:pPr>
        <w:spacing w:line="276" w:lineRule="auto"/>
        <w:ind w:left="567"/>
        <w:rPr>
          <w:rFonts w:ascii="Arial" w:hAnsi="Arial" w:cs="Arial"/>
          <w:i/>
          <w:sz w:val="20"/>
          <w:szCs w:val="20"/>
          <w:lang w:val="fr-CA"/>
        </w:rPr>
      </w:pPr>
    </w:p>
    <w:p w:rsidR="007D55D6" w:rsidRPr="002966E1" w:rsidRDefault="007D55D6" w:rsidP="00EA2BB3">
      <w:pPr>
        <w:pStyle w:val="ListParagraph"/>
        <w:numPr>
          <w:ilvl w:val="0"/>
          <w:numId w:val="4"/>
        </w:numPr>
        <w:ind w:left="426"/>
        <w:outlineLvl w:val="2"/>
        <w:rPr>
          <w:rFonts w:ascii="Arial" w:hAnsi="Arial" w:cs="Arial"/>
          <w:b/>
          <w:bCs/>
          <w:sz w:val="20"/>
          <w:szCs w:val="20"/>
          <w:u w:val="single"/>
          <w:lang w:val="fr-CA"/>
        </w:rPr>
      </w:pPr>
      <w:bookmarkStart w:id="8" w:name="_Toc18500115"/>
      <w:r w:rsidRPr="002966E1">
        <w:rPr>
          <w:rFonts w:ascii="Arial" w:hAnsi="Arial" w:cs="Arial"/>
          <w:b/>
          <w:bCs/>
          <w:sz w:val="20"/>
          <w:szCs w:val="20"/>
          <w:u w:val="single"/>
          <w:lang w:val="fr-CA"/>
        </w:rPr>
        <w:t>Transferts budgétaires pour les fonds de fonctionnement entre les domaines fonctionnels</w:t>
      </w:r>
      <w:bookmarkEnd w:id="8"/>
    </w:p>
    <w:p w:rsidR="00EA2BB3" w:rsidRPr="00EF05AF" w:rsidRDefault="00EA2BB3" w:rsidP="00EF05AF">
      <w:pPr>
        <w:spacing w:line="276" w:lineRule="auto"/>
        <w:outlineLvl w:val="2"/>
        <w:rPr>
          <w:rFonts w:ascii="Arial" w:hAnsi="Arial" w:cs="Arial"/>
          <w:b/>
          <w:bCs/>
          <w:sz w:val="20"/>
          <w:szCs w:val="20"/>
          <w:u w:val="single"/>
          <w:lang w:val="fr-CA"/>
        </w:rPr>
      </w:pPr>
    </w:p>
    <w:p w:rsidR="007D55D6" w:rsidRPr="00001BF3" w:rsidRDefault="007D55D6" w:rsidP="00C82833">
      <w:pPr>
        <w:spacing w:line="276" w:lineRule="auto"/>
        <w:ind w:left="426"/>
        <w:rPr>
          <w:rFonts w:ascii="Arial" w:hAnsi="Arial" w:cs="Arial"/>
          <w:sz w:val="20"/>
          <w:szCs w:val="20"/>
          <w:lang w:val="fr-CA"/>
        </w:rPr>
      </w:pPr>
      <w:r w:rsidRPr="00001BF3">
        <w:rPr>
          <w:rFonts w:ascii="Arial" w:hAnsi="Arial" w:cs="Arial"/>
          <w:sz w:val="20"/>
          <w:szCs w:val="20"/>
          <w:lang w:val="fr-CA"/>
        </w:rPr>
        <w:t>Tous les secteurs d’activité de Service Canada sont gérés à l’administration central</w:t>
      </w:r>
      <w:r>
        <w:rPr>
          <w:rFonts w:ascii="Arial" w:hAnsi="Arial" w:cs="Arial"/>
          <w:sz w:val="20"/>
          <w:szCs w:val="20"/>
          <w:lang w:val="fr-CA"/>
        </w:rPr>
        <w:t>e (AC)</w:t>
      </w:r>
      <w:r w:rsidRPr="00001BF3">
        <w:rPr>
          <w:rFonts w:ascii="Arial" w:hAnsi="Arial" w:cs="Arial"/>
          <w:sz w:val="20"/>
          <w:szCs w:val="20"/>
          <w:lang w:val="fr-CA"/>
        </w:rPr>
        <w:t xml:space="preserve"> et sont sous la direction fonctionnelle de SMA de </w:t>
      </w:r>
      <w:r>
        <w:rPr>
          <w:rFonts w:ascii="Arial" w:hAnsi="Arial" w:cs="Arial"/>
          <w:sz w:val="20"/>
          <w:szCs w:val="20"/>
          <w:lang w:val="fr-CA"/>
        </w:rPr>
        <w:t>l’AC.</w:t>
      </w:r>
      <w:r w:rsidRPr="00001BF3">
        <w:rPr>
          <w:rFonts w:ascii="Arial" w:hAnsi="Arial" w:cs="Arial"/>
          <w:sz w:val="20"/>
          <w:szCs w:val="20"/>
          <w:lang w:val="fr-CA"/>
        </w:rPr>
        <w:t xml:space="preserve"> Les transferts entrants ou sortants de ces secteurs d’activité requi</w:t>
      </w:r>
      <w:r>
        <w:rPr>
          <w:rFonts w:ascii="Arial" w:hAnsi="Arial" w:cs="Arial"/>
          <w:sz w:val="20"/>
          <w:szCs w:val="20"/>
          <w:lang w:val="fr-CA"/>
        </w:rPr>
        <w:t>è</w:t>
      </w:r>
      <w:r w:rsidRPr="00001BF3">
        <w:rPr>
          <w:rFonts w:ascii="Arial" w:hAnsi="Arial" w:cs="Arial"/>
          <w:sz w:val="20"/>
          <w:szCs w:val="20"/>
          <w:lang w:val="fr-CA"/>
        </w:rPr>
        <w:t>r</w:t>
      </w:r>
      <w:r>
        <w:rPr>
          <w:rFonts w:ascii="Arial" w:hAnsi="Arial" w:cs="Arial"/>
          <w:sz w:val="20"/>
          <w:szCs w:val="20"/>
          <w:lang w:val="fr-CA"/>
        </w:rPr>
        <w:t>en</w:t>
      </w:r>
      <w:r w:rsidRPr="00001BF3">
        <w:rPr>
          <w:rFonts w:ascii="Arial" w:hAnsi="Arial" w:cs="Arial"/>
          <w:sz w:val="20"/>
          <w:szCs w:val="20"/>
          <w:lang w:val="fr-CA"/>
        </w:rPr>
        <w:t>t l’approbation du SMA de l’AC du secteur d’activité respectif ainsi que l’approbation du SMA régional.</w:t>
      </w:r>
    </w:p>
    <w:p w:rsidR="007D55D6" w:rsidRPr="00001BF3" w:rsidRDefault="007D55D6" w:rsidP="007D55D6">
      <w:pPr>
        <w:spacing w:line="276" w:lineRule="auto"/>
        <w:ind w:left="284"/>
        <w:rPr>
          <w:rFonts w:ascii="Arial" w:hAnsi="Arial" w:cs="Arial"/>
          <w:sz w:val="20"/>
          <w:szCs w:val="20"/>
          <w:lang w:val="fr-CA"/>
        </w:rPr>
      </w:pPr>
    </w:p>
    <w:p w:rsidR="007D55D6" w:rsidRDefault="007D55D6" w:rsidP="00EA2BB3">
      <w:pPr>
        <w:spacing w:line="276" w:lineRule="auto"/>
        <w:ind w:left="426"/>
        <w:rPr>
          <w:rFonts w:ascii="Arial" w:hAnsi="Arial" w:cs="Arial"/>
          <w:sz w:val="20"/>
          <w:szCs w:val="20"/>
          <w:lang w:val="fr-CA"/>
        </w:rPr>
      </w:pPr>
      <w:r w:rsidRPr="00001BF3">
        <w:rPr>
          <w:rFonts w:ascii="Arial" w:hAnsi="Arial" w:cs="Arial"/>
          <w:sz w:val="20"/>
          <w:szCs w:val="20"/>
          <w:lang w:val="fr-CA"/>
        </w:rPr>
        <w:t>Toutefois, pour assister dans la gestion journali</w:t>
      </w:r>
      <w:r>
        <w:rPr>
          <w:rFonts w:ascii="Arial" w:hAnsi="Arial" w:cs="Arial"/>
          <w:sz w:val="20"/>
          <w:szCs w:val="20"/>
          <w:lang w:val="fr-CA"/>
        </w:rPr>
        <w:t xml:space="preserve">ère </w:t>
      </w:r>
      <w:r w:rsidRPr="00001BF3">
        <w:rPr>
          <w:rFonts w:ascii="Arial" w:hAnsi="Arial" w:cs="Arial"/>
          <w:sz w:val="20"/>
          <w:szCs w:val="20"/>
          <w:lang w:val="fr-CA"/>
        </w:rPr>
        <w:t>des op</w:t>
      </w:r>
      <w:r>
        <w:rPr>
          <w:rFonts w:ascii="Arial" w:hAnsi="Arial" w:cs="Arial"/>
          <w:sz w:val="20"/>
          <w:szCs w:val="20"/>
          <w:lang w:val="fr-CA"/>
        </w:rPr>
        <w:t>é</w:t>
      </w:r>
      <w:r w:rsidRPr="00001BF3">
        <w:rPr>
          <w:rFonts w:ascii="Arial" w:hAnsi="Arial" w:cs="Arial"/>
          <w:sz w:val="20"/>
          <w:szCs w:val="20"/>
          <w:lang w:val="fr-CA"/>
        </w:rPr>
        <w:t>rations, les SMA ré</w:t>
      </w:r>
      <w:r>
        <w:rPr>
          <w:rFonts w:ascii="Arial" w:hAnsi="Arial" w:cs="Arial"/>
          <w:sz w:val="20"/>
          <w:szCs w:val="20"/>
          <w:lang w:val="fr-CA"/>
        </w:rPr>
        <w:t>gionaux ont la flexibilité de f</w:t>
      </w:r>
      <w:r w:rsidRPr="00001BF3">
        <w:rPr>
          <w:rFonts w:ascii="Arial" w:hAnsi="Arial" w:cs="Arial"/>
          <w:sz w:val="20"/>
          <w:szCs w:val="20"/>
          <w:lang w:val="fr-CA"/>
        </w:rPr>
        <w:t>aire des transferts temporaires (qui n’affectent pas</w:t>
      </w:r>
      <w:r>
        <w:rPr>
          <w:rFonts w:ascii="Arial" w:hAnsi="Arial" w:cs="Arial"/>
          <w:sz w:val="20"/>
          <w:szCs w:val="20"/>
          <w:lang w:val="fr-CA"/>
        </w:rPr>
        <w:t xml:space="preserve"> le</w:t>
      </w:r>
      <w:r w:rsidRPr="00001BF3">
        <w:rPr>
          <w:rFonts w:ascii="Arial" w:hAnsi="Arial" w:cs="Arial"/>
          <w:sz w:val="20"/>
          <w:szCs w:val="20"/>
          <w:lang w:val="fr-CA"/>
        </w:rPr>
        <w:t xml:space="preserve"> niveau de financement des secteurs d’activité régionaux pour les années futures) jusqu’à un </w:t>
      </w:r>
      <w:r>
        <w:rPr>
          <w:rFonts w:ascii="Arial" w:hAnsi="Arial" w:cs="Arial"/>
          <w:sz w:val="20"/>
          <w:szCs w:val="20"/>
          <w:lang w:val="fr-CA"/>
        </w:rPr>
        <w:t>montant</w:t>
      </w:r>
      <w:r w:rsidRPr="00001BF3">
        <w:rPr>
          <w:rFonts w:ascii="Arial" w:hAnsi="Arial" w:cs="Arial"/>
          <w:sz w:val="20"/>
          <w:szCs w:val="20"/>
          <w:lang w:val="fr-CA"/>
        </w:rPr>
        <w:t xml:space="preserve"> </w:t>
      </w:r>
      <w:r>
        <w:rPr>
          <w:rFonts w:ascii="Arial" w:hAnsi="Arial" w:cs="Arial"/>
          <w:sz w:val="20"/>
          <w:szCs w:val="20"/>
          <w:lang w:val="fr-CA"/>
        </w:rPr>
        <w:t>é</w:t>
      </w:r>
      <w:r w:rsidRPr="00001BF3">
        <w:rPr>
          <w:rFonts w:ascii="Arial" w:hAnsi="Arial" w:cs="Arial"/>
          <w:sz w:val="20"/>
          <w:szCs w:val="20"/>
          <w:lang w:val="fr-CA"/>
        </w:rPr>
        <w:t xml:space="preserve">quivalent à 2% de leur ressource </w:t>
      </w:r>
      <w:r w:rsidR="006C0950">
        <w:rPr>
          <w:rFonts w:ascii="Arial" w:hAnsi="Arial" w:cs="Arial"/>
          <w:sz w:val="20"/>
          <w:szCs w:val="20"/>
          <w:lang w:val="fr-CA"/>
        </w:rPr>
        <w:t>de fonctionnement</w:t>
      </w:r>
      <w:r w:rsidR="006C0950" w:rsidRPr="00001BF3">
        <w:rPr>
          <w:rFonts w:ascii="Arial" w:hAnsi="Arial" w:cs="Arial"/>
          <w:sz w:val="20"/>
          <w:szCs w:val="20"/>
          <w:lang w:val="fr-CA"/>
        </w:rPr>
        <w:t xml:space="preserve"> </w:t>
      </w:r>
      <w:r w:rsidRPr="00001BF3">
        <w:rPr>
          <w:rFonts w:ascii="Arial" w:hAnsi="Arial" w:cs="Arial"/>
          <w:sz w:val="20"/>
          <w:szCs w:val="20"/>
          <w:lang w:val="fr-CA"/>
        </w:rPr>
        <w:t>réguli</w:t>
      </w:r>
      <w:r>
        <w:rPr>
          <w:rFonts w:ascii="Arial" w:hAnsi="Arial" w:cs="Arial"/>
          <w:sz w:val="20"/>
          <w:szCs w:val="20"/>
          <w:lang w:val="fr-CA"/>
        </w:rPr>
        <w:t>ère par secteur d’activité sans l’approbation du SMA de l’AC responsable de ce secteur d’activité. Pour se faire :</w:t>
      </w:r>
    </w:p>
    <w:p w:rsidR="007D55D6" w:rsidRDefault="007D55D6" w:rsidP="007D55D6">
      <w:pPr>
        <w:spacing w:line="276" w:lineRule="auto"/>
        <w:ind w:left="284"/>
        <w:rPr>
          <w:rFonts w:ascii="Arial" w:hAnsi="Arial" w:cs="Arial"/>
          <w:sz w:val="20"/>
          <w:szCs w:val="20"/>
          <w:lang w:val="fr-CA"/>
        </w:rPr>
      </w:pPr>
    </w:p>
    <w:p w:rsidR="007D55D6" w:rsidRDefault="007D55D6" w:rsidP="007D55D6">
      <w:pPr>
        <w:pStyle w:val="ListParagraph"/>
        <w:numPr>
          <w:ilvl w:val="0"/>
          <w:numId w:val="5"/>
        </w:numPr>
        <w:spacing w:line="276" w:lineRule="auto"/>
        <w:rPr>
          <w:rFonts w:ascii="Arial" w:hAnsi="Arial" w:cs="Arial"/>
          <w:sz w:val="20"/>
          <w:szCs w:val="20"/>
          <w:lang w:val="fr-CA"/>
        </w:rPr>
      </w:pPr>
      <w:r w:rsidRPr="006B73B4">
        <w:rPr>
          <w:rFonts w:ascii="Arial" w:hAnsi="Arial" w:cs="Arial"/>
          <w:sz w:val="20"/>
          <w:szCs w:val="20"/>
          <w:lang w:val="fr-CA"/>
        </w:rPr>
        <w:t xml:space="preserve">Des contrôles ont été placés au niveau des domaines fonctionnels (DF) dans les régions de sorte que toutes les transactions sont capturées correctement dans le calcul des budgets de base.  </w:t>
      </w:r>
      <w:r>
        <w:rPr>
          <w:rFonts w:ascii="Arial" w:hAnsi="Arial" w:cs="Arial"/>
          <w:sz w:val="20"/>
          <w:szCs w:val="20"/>
          <w:lang w:val="fr-CA"/>
        </w:rPr>
        <w:t xml:space="preserve">NOTE : </w:t>
      </w:r>
      <w:r w:rsidRPr="006B73B4">
        <w:rPr>
          <w:rFonts w:ascii="Arial" w:hAnsi="Arial" w:cs="Arial"/>
          <w:sz w:val="20"/>
          <w:szCs w:val="20"/>
          <w:lang w:val="fr-CA"/>
        </w:rPr>
        <w:t>Les directions générales de l’AC peuvent transférer entr</w:t>
      </w:r>
      <w:r>
        <w:rPr>
          <w:rFonts w:ascii="Arial" w:hAnsi="Arial" w:cs="Arial"/>
          <w:sz w:val="20"/>
          <w:szCs w:val="20"/>
          <w:lang w:val="fr-CA"/>
        </w:rPr>
        <w:t>e les DF à la discrétion du CGF.</w:t>
      </w:r>
    </w:p>
    <w:p w:rsidR="007D55D6" w:rsidRDefault="007D55D6" w:rsidP="007D55D6">
      <w:pPr>
        <w:pStyle w:val="ListParagraph"/>
        <w:spacing w:line="276" w:lineRule="auto"/>
        <w:ind w:left="1004"/>
        <w:rPr>
          <w:rFonts w:ascii="Arial" w:hAnsi="Arial" w:cs="Arial"/>
          <w:sz w:val="20"/>
          <w:szCs w:val="20"/>
          <w:lang w:val="fr-CA"/>
        </w:rPr>
      </w:pPr>
    </w:p>
    <w:p w:rsidR="007D55D6" w:rsidRPr="006B73B4" w:rsidRDefault="007D55D6" w:rsidP="007D55D6">
      <w:pPr>
        <w:pStyle w:val="ListParagraph"/>
        <w:numPr>
          <w:ilvl w:val="0"/>
          <w:numId w:val="5"/>
        </w:numPr>
        <w:spacing w:line="276" w:lineRule="auto"/>
        <w:rPr>
          <w:rFonts w:ascii="Arial" w:hAnsi="Arial" w:cs="Arial"/>
          <w:sz w:val="20"/>
          <w:szCs w:val="20"/>
          <w:lang w:val="fr-CA"/>
        </w:rPr>
      </w:pPr>
      <w:r w:rsidRPr="006B73B4">
        <w:rPr>
          <w:rFonts w:ascii="Arial" w:hAnsi="Arial" w:cs="Arial"/>
          <w:sz w:val="20"/>
          <w:szCs w:val="20"/>
          <w:lang w:val="fr-CA"/>
        </w:rPr>
        <w:t>Les secteurs d'activité régionaux seront déterminés par le code de DF assigné aux fonds et s’aligneront aux responsabilités du SMA de l’AC pour ce secteur d’activité.</w:t>
      </w:r>
      <w:r>
        <w:rPr>
          <w:rFonts w:ascii="Arial" w:hAnsi="Arial" w:cs="Arial"/>
          <w:sz w:val="20"/>
          <w:szCs w:val="20"/>
          <w:lang w:val="fr-CA"/>
        </w:rPr>
        <w:t xml:space="preserve"> La GRM révisera mensuellement les budgets en considérant le nouveau financement reçu ainsi que les transferts entrants et sortants dans les régions (excluant les transferts pour les pressions et les rapatriements) pour le fonds régulier seulement (B001). Le calcul de 2% est ensuite appliqué sur ce total pour établir le point de référence maximal autorisé pour les transferts.</w:t>
      </w:r>
    </w:p>
    <w:p w:rsidR="007D55D6" w:rsidRPr="004A157A" w:rsidRDefault="007D55D6" w:rsidP="007D55D6">
      <w:pPr>
        <w:spacing w:line="276" w:lineRule="auto"/>
        <w:rPr>
          <w:rFonts w:ascii="Arial" w:hAnsi="Arial" w:cs="Arial"/>
          <w:sz w:val="20"/>
          <w:szCs w:val="20"/>
          <w:lang w:val="fr-CA"/>
        </w:rPr>
      </w:pPr>
    </w:p>
    <w:p w:rsidR="007D55D6" w:rsidRPr="00EF05AF" w:rsidRDefault="007D55D6" w:rsidP="00EF05AF">
      <w:pPr>
        <w:pStyle w:val="ListParagraph"/>
        <w:numPr>
          <w:ilvl w:val="0"/>
          <w:numId w:val="5"/>
        </w:numPr>
        <w:spacing w:line="276" w:lineRule="auto"/>
        <w:rPr>
          <w:rFonts w:ascii="Arial" w:hAnsi="Arial" w:cs="Arial"/>
          <w:sz w:val="20"/>
          <w:szCs w:val="20"/>
          <w:lang w:val="fr-CA"/>
        </w:rPr>
      </w:pPr>
      <w:r w:rsidRPr="00EF05AF">
        <w:rPr>
          <w:rFonts w:ascii="Arial" w:hAnsi="Arial" w:cs="Arial"/>
          <w:sz w:val="20"/>
          <w:szCs w:val="20"/>
          <w:lang w:val="fr-CA"/>
        </w:rPr>
        <w:t>Un transfert entre DF doit être traité comme une transaction de type “R” (via le workflow) afin d’être capturé dans le calcul des budgets de base.</w:t>
      </w:r>
    </w:p>
    <w:p w:rsidR="007D55D6" w:rsidRPr="00C715C8" w:rsidRDefault="007D55D6" w:rsidP="007D55D6">
      <w:pPr>
        <w:spacing w:line="276" w:lineRule="auto"/>
        <w:rPr>
          <w:rFonts w:ascii="Arial" w:hAnsi="Arial" w:cs="Arial"/>
          <w:sz w:val="20"/>
          <w:szCs w:val="20"/>
          <w:lang w:val="fr-CA"/>
        </w:rPr>
      </w:pPr>
    </w:p>
    <w:p w:rsidR="007D55D6" w:rsidRDefault="007D55D6" w:rsidP="00EF05AF">
      <w:pPr>
        <w:pStyle w:val="ListParagraph"/>
        <w:numPr>
          <w:ilvl w:val="0"/>
          <w:numId w:val="5"/>
        </w:numPr>
        <w:spacing w:line="276" w:lineRule="auto"/>
        <w:rPr>
          <w:rFonts w:ascii="Arial" w:hAnsi="Arial" w:cs="Arial"/>
          <w:sz w:val="20"/>
          <w:szCs w:val="20"/>
          <w:lang w:val="fr-CA"/>
        </w:rPr>
      </w:pPr>
      <w:r w:rsidRPr="00EF05AF">
        <w:rPr>
          <w:rFonts w:ascii="Arial" w:hAnsi="Arial" w:cs="Arial"/>
          <w:sz w:val="20"/>
          <w:szCs w:val="20"/>
          <w:lang w:val="fr-CA"/>
        </w:rPr>
        <w:t xml:space="preserve">Tous les transferts régionaux entre secteur d’activité </w:t>
      </w:r>
      <w:r w:rsidRPr="00EF05AF">
        <w:rPr>
          <w:rFonts w:ascii="Arial" w:hAnsi="Arial" w:cs="Arial"/>
          <w:b/>
          <w:sz w:val="20"/>
          <w:szCs w:val="20"/>
          <w:u w:val="single"/>
          <w:lang w:val="fr-CA"/>
        </w:rPr>
        <w:t>au-delà de 2% ou permanent</w:t>
      </w:r>
      <w:r w:rsidRPr="00EF05AF">
        <w:rPr>
          <w:rFonts w:ascii="Arial" w:hAnsi="Arial" w:cs="Arial"/>
          <w:sz w:val="20"/>
          <w:szCs w:val="20"/>
          <w:lang w:val="fr-CA"/>
        </w:rPr>
        <w:t xml:space="preserve"> requièrent l’approbation du SMA de l’AC. Ce transfert n’augmentera/ne diminuera pas le point de référence établit pour l’année en cours. Tous les transferts régionaux entre secteur d’activité </w:t>
      </w:r>
      <w:r w:rsidRPr="00EF05AF">
        <w:rPr>
          <w:rFonts w:ascii="Arial" w:hAnsi="Arial" w:cs="Arial"/>
          <w:b/>
          <w:sz w:val="20"/>
          <w:szCs w:val="20"/>
          <w:u w:val="single"/>
          <w:lang w:val="fr-CA"/>
        </w:rPr>
        <w:t>n’excédant pas</w:t>
      </w:r>
      <w:r w:rsidRPr="00EF05AF">
        <w:rPr>
          <w:rFonts w:ascii="Arial" w:hAnsi="Arial" w:cs="Arial"/>
          <w:sz w:val="20"/>
          <w:szCs w:val="20"/>
          <w:lang w:val="fr-CA"/>
        </w:rPr>
        <w:t xml:space="preserve"> le point de référence établi de </w:t>
      </w:r>
      <w:r w:rsidRPr="00EF05AF">
        <w:rPr>
          <w:rFonts w:ascii="Arial" w:hAnsi="Arial" w:cs="Arial"/>
          <w:b/>
          <w:sz w:val="20"/>
          <w:szCs w:val="20"/>
          <w:u w:val="single"/>
          <w:lang w:val="fr-CA"/>
        </w:rPr>
        <w:t>2%</w:t>
      </w:r>
      <w:r w:rsidRPr="00EF05AF">
        <w:rPr>
          <w:rFonts w:ascii="Arial" w:hAnsi="Arial" w:cs="Arial"/>
          <w:sz w:val="20"/>
          <w:szCs w:val="20"/>
          <w:lang w:val="fr-CA"/>
        </w:rPr>
        <w:t xml:space="preserve"> nécessite seulement l’approbation du SMA régional en utilisant la feuille de signature des exercices de prévisions. Le transfert doit être clairement identifié dans la colonne Commentaires de la </w:t>
      </w:r>
      <w:r w:rsidRPr="00EF05AF">
        <w:rPr>
          <w:rFonts w:ascii="Arial" w:hAnsi="Arial" w:cs="Arial"/>
          <w:sz w:val="20"/>
          <w:szCs w:val="20"/>
          <w:lang w:val="fr-CA"/>
        </w:rPr>
        <w:lastRenderedPageBreak/>
        <w:t>feuille de signature de l’exercice de prévision incluant les secteurs d’activités affectés et les montants respectifs. Le transfert sortant diminuera le point de référence établit du secteur d’activité concerné.</w:t>
      </w:r>
    </w:p>
    <w:p w:rsidR="00F101A1" w:rsidRPr="00F101A1" w:rsidRDefault="00F101A1" w:rsidP="00F101A1">
      <w:pPr>
        <w:pStyle w:val="ListParagraph"/>
        <w:rPr>
          <w:rFonts w:ascii="Arial" w:hAnsi="Arial" w:cs="Arial"/>
          <w:sz w:val="20"/>
          <w:szCs w:val="20"/>
          <w:lang w:val="fr-CA"/>
        </w:rPr>
      </w:pPr>
    </w:p>
    <w:p w:rsidR="00F101A1" w:rsidRPr="00F101A1" w:rsidRDefault="00F101A1" w:rsidP="00F101A1">
      <w:pPr>
        <w:spacing w:line="276" w:lineRule="auto"/>
        <w:rPr>
          <w:rFonts w:ascii="Arial" w:hAnsi="Arial" w:cs="Arial"/>
          <w:b/>
          <w:i/>
          <w:color w:val="FF0000"/>
          <w:sz w:val="20"/>
          <w:szCs w:val="20"/>
          <w:lang w:val="fr-CA"/>
        </w:rPr>
      </w:pPr>
      <w:r w:rsidRPr="00F101A1">
        <w:rPr>
          <w:rFonts w:ascii="Arial" w:hAnsi="Arial" w:cs="Arial"/>
          <w:b/>
          <w:i/>
          <w:color w:val="FF0000"/>
          <w:sz w:val="20"/>
          <w:szCs w:val="20"/>
          <w:lang w:val="fr-CA"/>
        </w:rPr>
        <w:t>Nouveau</w:t>
      </w:r>
    </w:p>
    <w:p w:rsidR="00F101A1" w:rsidRPr="00F101A1" w:rsidRDefault="00F101A1" w:rsidP="00F101A1">
      <w:pPr>
        <w:spacing w:line="276" w:lineRule="auto"/>
        <w:rPr>
          <w:rFonts w:ascii="Arial" w:hAnsi="Arial" w:cs="Arial"/>
          <w:i/>
          <w:sz w:val="20"/>
          <w:szCs w:val="20"/>
          <w:lang w:val="fr-CA"/>
        </w:rPr>
      </w:pPr>
      <w:r w:rsidRPr="00F101A1">
        <w:rPr>
          <w:rFonts w:ascii="Arial" w:hAnsi="Arial" w:cs="Arial"/>
          <w:i/>
          <w:sz w:val="20"/>
          <w:szCs w:val="20"/>
          <w:lang w:val="fr-CA"/>
        </w:rPr>
        <w:t>Pour 2020-2021, compte tenu des circonstances exceptionnelles entourant le COVID 19, les transferts entre secteurs d’activités liés au financement d'urgence n</w:t>
      </w:r>
      <w:r>
        <w:rPr>
          <w:rFonts w:ascii="Arial" w:hAnsi="Arial" w:cs="Arial"/>
          <w:i/>
          <w:sz w:val="20"/>
          <w:szCs w:val="20"/>
          <w:lang w:val="fr-CA"/>
        </w:rPr>
        <w:t>e sont pas soumis à la règle de</w:t>
      </w:r>
      <w:r w:rsidRPr="00F101A1">
        <w:rPr>
          <w:rFonts w:ascii="Arial" w:hAnsi="Arial" w:cs="Arial"/>
          <w:i/>
          <w:sz w:val="20"/>
          <w:szCs w:val="20"/>
          <w:lang w:val="fr-CA"/>
        </w:rPr>
        <w:t xml:space="preserve"> 2% pour les transferts entre </w:t>
      </w:r>
      <w:r w:rsidRPr="00EF05AF">
        <w:rPr>
          <w:rFonts w:ascii="Arial" w:hAnsi="Arial" w:cs="Arial"/>
          <w:sz w:val="20"/>
          <w:szCs w:val="20"/>
          <w:lang w:val="fr-CA"/>
        </w:rPr>
        <w:t>secteurs d’activités</w:t>
      </w:r>
      <w:r w:rsidRPr="00F101A1">
        <w:rPr>
          <w:rFonts w:ascii="Arial" w:hAnsi="Arial" w:cs="Arial"/>
          <w:i/>
          <w:sz w:val="20"/>
          <w:szCs w:val="20"/>
          <w:lang w:val="fr-CA"/>
        </w:rPr>
        <w:t xml:space="preserve"> nécessitant une approbation </w:t>
      </w:r>
      <w:r>
        <w:rPr>
          <w:rFonts w:ascii="Arial" w:hAnsi="Arial" w:cs="Arial"/>
          <w:i/>
          <w:sz w:val="20"/>
          <w:szCs w:val="20"/>
          <w:lang w:val="fr-CA"/>
        </w:rPr>
        <w:t>du</w:t>
      </w:r>
      <w:bookmarkStart w:id="9" w:name="_GoBack"/>
      <w:bookmarkEnd w:id="9"/>
      <w:r>
        <w:rPr>
          <w:rFonts w:ascii="Arial" w:hAnsi="Arial" w:cs="Arial"/>
          <w:i/>
          <w:sz w:val="20"/>
          <w:szCs w:val="20"/>
          <w:lang w:val="fr-CA"/>
        </w:rPr>
        <w:t xml:space="preserve"> SMA fonctionnel et régional.</w:t>
      </w:r>
    </w:p>
    <w:p w:rsidR="0027750E" w:rsidRDefault="0027750E" w:rsidP="007D55D6">
      <w:pPr>
        <w:spacing w:line="276" w:lineRule="auto"/>
        <w:ind w:left="284"/>
        <w:rPr>
          <w:rFonts w:ascii="Arial" w:hAnsi="Arial" w:cs="Arial"/>
          <w:sz w:val="20"/>
          <w:szCs w:val="20"/>
          <w:lang w:val="fr-CA"/>
        </w:rPr>
      </w:pPr>
    </w:p>
    <w:p w:rsidR="0027750E" w:rsidRDefault="0027750E" w:rsidP="00EA2BB3">
      <w:pPr>
        <w:pStyle w:val="ListParagraph"/>
        <w:numPr>
          <w:ilvl w:val="0"/>
          <w:numId w:val="4"/>
        </w:numPr>
        <w:ind w:left="426"/>
        <w:outlineLvl w:val="2"/>
        <w:rPr>
          <w:rFonts w:ascii="Arial" w:hAnsi="Arial" w:cs="Arial"/>
          <w:b/>
          <w:bCs/>
          <w:sz w:val="20"/>
          <w:szCs w:val="20"/>
          <w:u w:val="single"/>
          <w:lang w:val="fr-CA"/>
        </w:rPr>
      </w:pPr>
      <w:bookmarkStart w:id="10" w:name="_Toc18500116"/>
      <w:r>
        <w:rPr>
          <w:rFonts w:ascii="Arial" w:hAnsi="Arial" w:cs="Arial"/>
          <w:b/>
          <w:bCs/>
          <w:sz w:val="20"/>
          <w:szCs w:val="20"/>
          <w:u w:val="single"/>
          <w:lang w:val="fr-CA"/>
        </w:rPr>
        <w:t>Délai de traitement des transferts budgétaires – Norme de service</w:t>
      </w:r>
      <w:bookmarkEnd w:id="10"/>
    </w:p>
    <w:p w:rsidR="0027750E" w:rsidRDefault="0027750E" w:rsidP="0027750E">
      <w:pPr>
        <w:outlineLvl w:val="2"/>
        <w:rPr>
          <w:rFonts w:ascii="Arial" w:hAnsi="Arial" w:cs="Arial"/>
          <w:sz w:val="20"/>
          <w:szCs w:val="20"/>
          <w:lang w:val="fr-CA"/>
        </w:rPr>
      </w:pPr>
      <w:r>
        <w:rPr>
          <w:rFonts w:ascii="Arial" w:hAnsi="Arial" w:cs="Arial"/>
          <w:sz w:val="20"/>
          <w:szCs w:val="20"/>
          <w:lang w:val="fr-CA"/>
        </w:rPr>
        <w:t xml:space="preserve">     </w:t>
      </w:r>
    </w:p>
    <w:p w:rsidR="0027750E" w:rsidRDefault="0027750E" w:rsidP="00EA2BB3">
      <w:pPr>
        <w:spacing w:line="276" w:lineRule="auto"/>
        <w:ind w:left="426"/>
        <w:rPr>
          <w:rFonts w:ascii="Arial" w:hAnsi="Arial" w:cs="Arial"/>
          <w:sz w:val="20"/>
          <w:szCs w:val="20"/>
          <w:lang w:val="fr-CA"/>
        </w:rPr>
      </w:pPr>
      <w:r w:rsidRPr="0027750E">
        <w:rPr>
          <w:rFonts w:ascii="Arial" w:hAnsi="Arial" w:cs="Arial"/>
          <w:sz w:val="20"/>
          <w:szCs w:val="20"/>
          <w:lang w:val="fr-CA"/>
        </w:rPr>
        <w:t xml:space="preserve">Les transferts </w:t>
      </w:r>
      <w:r>
        <w:rPr>
          <w:rFonts w:ascii="Arial" w:hAnsi="Arial" w:cs="Arial"/>
          <w:sz w:val="20"/>
          <w:szCs w:val="20"/>
          <w:lang w:val="fr-CA"/>
        </w:rPr>
        <w:t>budgétaires appr</w:t>
      </w:r>
      <w:r w:rsidR="0088145C">
        <w:rPr>
          <w:rFonts w:ascii="Arial" w:hAnsi="Arial" w:cs="Arial"/>
          <w:sz w:val="20"/>
          <w:szCs w:val="20"/>
          <w:lang w:val="fr-CA"/>
        </w:rPr>
        <w:t>ouvés par les membres autorisés</w:t>
      </w:r>
      <w:r>
        <w:rPr>
          <w:rFonts w:ascii="Arial" w:hAnsi="Arial" w:cs="Arial"/>
          <w:sz w:val="20"/>
          <w:szCs w:val="20"/>
          <w:lang w:val="fr-CA"/>
        </w:rPr>
        <w:t xml:space="preserve"> de la haute gestion seront effectués dans les deux jours ouvrables.</w:t>
      </w:r>
    </w:p>
    <w:p w:rsidR="007D55D6" w:rsidRPr="0005669C" w:rsidRDefault="007D55D6" w:rsidP="007D55D6">
      <w:pPr>
        <w:pStyle w:val="Heading1"/>
        <w:spacing w:line="276" w:lineRule="auto"/>
        <w:rPr>
          <w:rFonts w:ascii="Arial" w:hAnsi="Arial" w:cs="Arial"/>
          <w:sz w:val="20"/>
          <w:szCs w:val="20"/>
          <w:lang w:val="fr-CA"/>
        </w:rPr>
      </w:pPr>
      <w:bookmarkStart w:id="11" w:name="_Toc18500117"/>
      <w:r w:rsidRPr="0005669C">
        <w:rPr>
          <w:rFonts w:ascii="Arial" w:hAnsi="Arial" w:cs="Arial"/>
          <w:sz w:val="20"/>
          <w:szCs w:val="20"/>
          <w:lang w:val="fr-CA"/>
        </w:rPr>
        <w:t>2. RÔLES ET RESPONSABILITÉS</w:t>
      </w:r>
      <w:bookmarkEnd w:id="11"/>
      <w:r w:rsidRPr="0005669C">
        <w:rPr>
          <w:rFonts w:ascii="Arial" w:hAnsi="Arial" w:cs="Arial"/>
          <w:sz w:val="20"/>
          <w:szCs w:val="20"/>
          <w:lang w:val="fr-CA"/>
        </w:rPr>
        <w:t xml:space="preserve"> </w:t>
      </w:r>
    </w:p>
    <w:p w:rsidR="007D55D6" w:rsidRPr="0005669C" w:rsidRDefault="007D55D6" w:rsidP="00EF05AF">
      <w:pPr>
        <w:pStyle w:val="Heading2"/>
        <w:spacing w:line="276" w:lineRule="auto"/>
        <w:rPr>
          <w:lang w:val="fr-CA"/>
        </w:rPr>
      </w:pPr>
      <w:bookmarkStart w:id="12" w:name="_Toc18500118"/>
      <w:r>
        <w:rPr>
          <w:rFonts w:ascii="Arial" w:hAnsi="Arial" w:cs="Arial"/>
          <w:sz w:val="20"/>
          <w:szCs w:val="20"/>
          <w:lang w:val="fr-CA"/>
        </w:rPr>
        <w:t>Gestion des ressources ministérielles (G</w:t>
      </w:r>
      <w:r w:rsidRPr="0005669C">
        <w:rPr>
          <w:rFonts w:ascii="Arial" w:hAnsi="Arial" w:cs="Arial"/>
          <w:sz w:val="20"/>
          <w:szCs w:val="20"/>
          <w:lang w:val="fr-CA"/>
        </w:rPr>
        <w:t>RM)</w:t>
      </w:r>
      <w:bookmarkEnd w:id="12"/>
      <w:r w:rsidRPr="0005669C">
        <w:rPr>
          <w:rFonts w:ascii="Arial" w:hAnsi="Arial" w:cs="Arial"/>
          <w:sz w:val="20"/>
          <w:szCs w:val="20"/>
          <w:lang w:val="fr-CA"/>
        </w:rPr>
        <w:t xml:space="preserve"> </w:t>
      </w:r>
    </w:p>
    <w:p w:rsidR="007D55D6" w:rsidRPr="0005669C" w:rsidRDefault="007D55D6" w:rsidP="007D55D6">
      <w:pPr>
        <w:numPr>
          <w:ilvl w:val="1"/>
          <w:numId w:val="3"/>
        </w:numPr>
        <w:spacing w:line="276" w:lineRule="auto"/>
        <w:ind w:left="1080"/>
        <w:rPr>
          <w:rFonts w:ascii="Arial" w:hAnsi="Arial" w:cs="Arial"/>
          <w:sz w:val="20"/>
          <w:szCs w:val="20"/>
          <w:lang w:val="fr-CA"/>
        </w:rPr>
      </w:pPr>
      <w:r w:rsidRPr="0005669C">
        <w:rPr>
          <w:rFonts w:ascii="Arial" w:hAnsi="Arial" w:cs="Arial"/>
          <w:bCs/>
          <w:sz w:val="20"/>
          <w:szCs w:val="20"/>
          <w:lang w:val="fr-CA"/>
        </w:rPr>
        <w:t>Préparer et initier l’entrée budgétaire pour l’allocation initiale</w:t>
      </w:r>
      <w:r w:rsidRPr="0005669C">
        <w:rPr>
          <w:rFonts w:ascii="Arial" w:hAnsi="Arial" w:cs="Arial"/>
          <w:sz w:val="20"/>
          <w:szCs w:val="20"/>
          <w:lang w:val="fr-CA"/>
        </w:rPr>
        <w:t>;</w:t>
      </w:r>
    </w:p>
    <w:p w:rsidR="007D55D6" w:rsidRPr="002D585D" w:rsidRDefault="007D55D6" w:rsidP="007D55D6">
      <w:pPr>
        <w:numPr>
          <w:ilvl w:val="1"/>
          <w:numId w:val="3"/>
        </w:numPr>
        <w:spacing w:line="276" w:lineRule="auto"/>
        <w:ind w:left="1080"/>
        <w:rPr>
          <w:rFonts w:ascii="Arial" w:hAnsi="Arial" w:cs="Arial"/>
          <w:sz w:val="20"/>
          <w:szCs w:val="20"/>
          <w:lang w:val="fr-FR"/>
        </w:rPr>
      </w:pPr>
      <w:r w:rsidRPr="0005669C">
        <w:rPr>
          <w:rFonts w:ascii="Arial" w:hAnsi="Arial" w:cs="Arial"/>
          <w:bCs/>
          <w:sz w:val="20"/>
          <w:szCs w:val="20"/>
          <w:lang w:val="fr-CA"/>
        </w:rPr>
        <w:t>Préparer et initier l’entrée budgétaire pour les crédits sur le revenu net (CRN)</w:t>
      </w:r>
      <w:r>
        <w:rPr>
          <w:rFonts w:ascii="Arial" w:hAnsi="Arial" w:cs="Arial"/>
          <w:bCs/>
          <w:sz w:val="20"/>
          <w:szCs w:val="20"/>
          <w:lang w:val="fr-CA"/>
        </w:rPr>
        <w:t xml:space="preserve"> pour </w:t>
      </w:r>
      <w:r>
        <w:rPr>
          <w:rFonts w:ascii="Arial" w:hAnsi="Arial" w:cs="Arial"/>
          <w:sz w:val="20"/>
          <w:szCs w:val="20"/>
          <w:lang w:val="fr-FR"/>
        </w:rPr>
        <w:t>LIAE (Loi sur l’indemnisation des agents de l’État).</w:t>
      </w:r>
    </w:p>
    <w:p w:rsidR="007D55D6" w:rsidRPr="0005669C" w:rsidRDefault="007D55D6" w:rsidP="007D55D6">
      <w:pPr>
        <w:numPr>
          <w:ilvl w:val="1"/>
          <w:numId w:val="3"/>
        </w:numPr>
        <w:spacing w:line="276" w:lineRule="auto"/>
        <w:ind w:left="1080"/>
        <w:rPr>
          <w:rFonts w:ascii="Arial" w:hAnsi="Arial" w:cs="Arial"/>
          <w:sz w:val="20"/>
          <w:szCs w:val="20"/>
          <w:lang w:val="fr-CA"/>
        </w:rPr>
      </w:pPr>
      <w:r w:rsidRPr="0005669C">
        <w:rPr>
          <w:rFonts w:ascii="Arial" w:hAnsi="Arial" w:cs="Arial"/>
          <w:bCs/>
          <w:sz w:val="20"/>
          <w:szCs w:val="20"/>
          <w:lang w:val="fr-CA"/>
        </w:rPr>
        <w:t>Préparer l’entrée budgétaire pour les rapatriements et les pressions suite aux exercices de prévisions budgétaires</w:t>
      </w:r>
      <w:r w:rsidRPr="0005669C">
        <w:rPr>
          <w:rFonts w:ascii="Arial" w:hAnsi="Arial" w:cs="Arial"/>
          <w:sz w:val="20"/>
          <w:szCs w:val="20"/>
          <w:lang w:val="fr-CA"/>
        </w:rPr>
        <w:t>;</w:t>
      </w:r>
    </w:p>
    <w:p w:rsidR="007D55D6" w:rsidRPr="0005669C" w:rsidRDefault="007D55D6" w:rsidP="007D55D6">
      <w:pPr>
        <w:numPr>
          <w:ilvl w:val="1"/>
          <w:numId w:val="3"/>
        </w:numPr>
        <w:spacing w:line="276" w:lineRule="auto"/>
        <w:ind w:left="1080"/>
        <w:rPr>
          <w:rFonts w:ascii="Arial" w:hAnsi="Arial" w:cs="Arial"/>
          <w:sz w:val="20"/>
          <w:szCs w:val="20"/>
          <w:lang w:val="fr-CA"/>
        </w:rPr>
      </w:pPr>
      <w:r w:rsidRPr="0005669C">
        <w:rPr>
          <w:rFonts w:ascii="Arial" w:hAnsi="Arial" w:cs="Arial"/>
          <w:bCs/>
          <w:sz w:val="20"/>
          <w:szCs w:val="20"/>
          <w:lang w:val="fr-CA"/>
        </w:rPr>
        <w:t>Valider que les différentes autorités d’approbation et les documents de support sont obtenus avant d’approuver la transaction dans maSGE</w:t>
      </w:r>
      <w:r w:rsidRPr="0005669C">
        <w:rPr>
          <w:rFonts w:ascii="Arial" w:hAnsi="Arial" w:cs="Arial"/>
          <w:sz w:val="20"/>
          <w:szCs w:val="20"/>
          <w:lang w:val="fr-CA"/>
        </w:rPr>
        <w:t>;</w:t>
      </w:r>
    </w:p>
    <w:p w:rsidR="007D55D6" w:rsidRPr="0005669C" w:rsidRDefault="007D55D6" w:rsidP="007D55D6">
      <w:pPr>
        <w:numPr>
          <w:ilvl w:val="1"/>
          <w:numId w:val="3"/>
        </w:numPr>
        <w:spacing w:line="276" w:lineRule="auto"/>
        <w:ind w:left="1080"/>
        <w:rPr>
          <w:rFonts w:ascii="Arial" w:hAnsi="Arial" w:cs="Arial"/>
          <w:sz w:val="20"/>
          <w:szCs w:val="20"/>
          <w:lang w:val="fr-CA"/>
        </w:rPr>
      </w:pPr>
      <w:r>
        <w:rPr>
          <w:rFonts w:ascii="Arial" w:hAnsi="Arial" w:cs="Arial"/>
          <w:sz w:val="20"/>
          <w:szCs w:val="20"/>
          <w:lang w:val="fr-CA"/>
        </w:rPr>
        <w:t>Traiter</w:t>
      </w:r>
      <w:r w:rsidRPr="0005669C">
        <w:rPr>
          <w:rFonts w:ascii="Arial" w:hAnsi="Arial" w:cs="Arial"/>
          <w:bCs/>
          <w:sz w:val="20"/>
          <w:szCs w:val="20"/>
          <w:lang w:val="fr-CA"/>
        </w:rPr>
        <w:t xml:space="preserve"> les transactions budgétaires dans maSGE au niveau 2 des centres financiers (et niveau plus hauts pour les fonds de programme gérés à l’AC)</w:t>
      </w:r>
      <w:r w:rsidRPr="0005669C">
        <w:rPr>
          <w:rFonts w:ascii="Arial" w:hAnsi="Arial" w:cs="Arial"/>
          <w:sz w:val="20"/>
          <w:szCs w:val="20"/>
          <w:lang w:val="fr-CA"/>
        </w:rPr>
        <w:t>;</w:t>
      </w:r>
    </w:p>
    <w:p w:rsidR="007D55D6" w:rsidRPr="00CF7D1C" w:rsidRDefault="007D55D6" w:rsidP="007D55D6">
      <w:pPr>
        <w:numPr>
          <w:ilvl w:val="1"/>
          <w:numId w:val="3"/>
        </w:numPr>
        <w:spacing w:line="276" w:lineRule="auto"/>
        <w:ind w:left="1080"/>
        <w:rPr>
          <w:rFonts w:ascii="Arial" w:hAnsi="Arial" w:cs="Arial"/>
          <w:sz w:val="20"/>
          <w:szCs w:val="20"/>
          <w:lang w:val="fr-CA"/>
        </w:rPr>
      </w:pPr>
      <w:r>
        <w:rPr>
          <w:rFonts w:ascii="Arial" w:hAnsi="Arial" w:cs="Arial"/>
          <w:bCs/>
          <w:sz w:val="20"/>
          <w:szCs w:val="20"/>
          <w:lang w:val="fr-CA"/>
        </w:rPr>
        <w:t>Rapprocher</w:t>
      </w:r>
      <w:r w:rsidRPr="00CF7D1C">
        <w:rPr>
          <w:rFonts w:ascii="Arial" w:hAnsi="Arial" w:cs="Arial"/>
          <w:bCs/>
          <w:sz w:val="20"/>
          <w:szCs w:val="20"/>
          <w:lang w:val="fr-CA"/>
        </w:rPr>
        <w:t xml:space="preserve"> </w:t>
      </w:r>
      <w:r w:rsidRPr="00CF7D1C">
        <w:rPr>
          <w:rFonts w:ascii="Arial" w:hAnsi="Arial" w:cs="Arial"/>
          <w:sz w:val="20"/>
          <w:szCs w:val="20"/>
          <w:lang w:val="fr-CA"/>
        </w:rPr>
        <w:t>le</w:t>
      </w:r>
      <w:r>
        <w:rPr>
          <w:rFonts w:ascii="Arial" w:hAnsi="Arial" w:cs="Arial"/>
          <w:sz w:val="20"/>
          <w:szCs w:val="20"/>
          <w:lang w:val="fr-CA"/>
        </w:rPr>
        <w:t xml:space="preserve">s rapports de </w:t>
      </w:r>
      <w:r w:rsidRPr="00717A03">
        <w:rPr>
          <w:rFonts w:ascii="Arial" w:hAnsi="Arial" w:cs="Arial"/>
          <w:sz w:val="20"/>
          <w:szCs w:val="20"/>
          <w:lang w:val="fr-CA"/>
        </w:rPr>
        <w:t xml:space="preserve">calcul des budgets de base </w:t>
      </w:r>
      <w:r>
        <w:rPr>
          <w:rFonts w:ascii="Arial" w:hAnsi="Arial" w:cs="Arial"/>
          <w:sz w:val="20"/>
          <w:szCs w:val="20"/>
          <w:lang w:val="fr-CA"/>
        </w:rPr>
        <w:t>(</w:t>
      </w:r>
      <w:r w:rsidR="006C0950">
        <w:rPr>
          <w:rFonts w:ascii="Arial" w:hAnsi="Arial" w:cs="Arial"/>
          <w:sz w:val="20"/>
          <w:szCs w:val="20"/>
          <w:lang w:val="fr-CA"/>
        </w:rPr>
        <w:t xml:space="preserve">Fonctionnement </w:t>
      </w:r>
      <w:r>
        <w:rPr>
          <w:rFonts w:ascii="Arial" w:hAnsi="Arial" w:cs="Arial"/>
          <w:sz w:val="20"/>
          <w:szCs w:val="20"/>
          <w:lang w:val="fr-CA"/>
        </w:rPr>
        <w:t>et S&amp;C</w:t>
      </w:r>
      <w:r>
        <w:rPr>
          <w:rFonts w:ascii="Arial" w:hAnsi="Arial" w:cs="Arial"/>
          <w:bCs/>
          <w:sz w:val="20"/>
          <w:szCs w:val="20"/>
          <w:lang w:val="fr-CA"/>
        </w:rPr>
        <w:t xml:space="preserve">), </w:t>
      </w:r>
      <w:r w:rsidRPr="00CF7D1C">
        <w:rPr>
          <w:rFonts w:ascii="Arial" w:hAnsi="Arial" w:cs="Arial"/>
          <w:bCs/>
          <w:sz w:val="20"/>
          <w:szCs w:val="20"/>
          <w:lang w:val="fr-CA"/>
        </w:rPr>
        <w:t>sur une base mensuelle</w:t>
      </w:r>
      <w:r>
        <w:rPr>
          <w:rFonts w:ascii="Arial" w:hAnsi="Arial" w:cs="Arial"/>
          <w:bCs/>
          <w:sz w:val="20"/>
          <w:szCs w:val="20"/>
          <w:lang w:val="fr-CA"/>
        </w:rPr>
        <w:t xml:space="preserve"> </w:t>
      </w:r>
      <w:r w:rsidR="00E15140">
        <w:rPr>
          <w:rFonts w:ascii="Arial" w:hAnsi="Arial" w:cs="Arial"/>
          <w:bCs/>
          <w:sz w:val="20"/>
          <w:szCs w:val="20"/>
          <w:lang w:val="fr-CA"/>
        </w:rPr>
        <w:t>avec</w:t>
      </w:r>
      <w:r w:rsidR="00EA2BB3">
        <w:rPr>
          <w:rFonts w:ascii="Arial" w:hAnsi="Arial" w:cs="Arial"/>
          <w:bCs/>
          <w:sz w:val="20"/>
          <w:szCs w:val="20"/>
          <w:lang w:val="fr-CA"/>
        </w:rPr>
        <w:t xml:space="preserve"> le rapport d’affectations de crédits (RAC)</w:t>
      </w:r>
      <w:r w:rsidRPr="00CF7D1C">
        <w:rPr>
          <w:rFonts w:ascii="Arial" w:hAnsi="Arial" w:cs="Arial"/>
          <w:bCs/>
          <w:sz w:val="20"/>
          <w:szCs w:val="20"/>
          <w:lang w:val="fr-CA"/>
        </w:rPr>
        <w:t>;</w:t>
      </w:r>
      <w:r>
        <w:rPr>
          <w:rFonts w:ascii="Arial" w:hAnsi="Arial" w:cs="Arial"/>
          <w:bCs/>
          <w:sz w:val="20"/>
          <w:szCs w:val="20"/>
          <w:lang w:val="fr-CA"/>
        </w:rPr>
        <w:t xml:space="preserve"> et</w:t>
      </w:r>
    </w:p>
    <w:p w:rsidR="007D55D6" w:rsidRPr="008E7870" w:rsidRDefault="007D55D6" w:rsidP="007D55D6">
      <w:pPr>
        <w:numPr>
          <w:ilvl w:val="1"/>
          <w:numId w:val="3"/>
        </w:numPr>
        <w:spacing w:line="276" w:lineRule="auto"/>
        <w:ind w:left="1080"/>
        <w:rPr>
          <w:rFonts w:ascii="Arial" w:hAnsi="Arial" w:cs="Arial"/>
          <w:sz w:val="20"/>
          <w:szCs w:val="20"/>
          <w:lang w:val="fr-CA"/>
        </w:rPr>
      </w:pPr>
      <w:r w:rsidRPr="00CF7D1C">
        <w:rPr>
          <w:rFonts w:ascii="Arial" w:hAnsi="Arial" w:cs="Arial"/>
          <w:bCs/>
          <w:sz w:val="20"/>
          <w:szCs w:val="20"/>
          <w:lang w:val="fr-CA"/>
        </w:rPr>
        <w:t xml:space="preserve">Surveiller les transferts de fonds </w:t>
      </w:r>
      <w:r w:rsidR="006C0950">
        <w:rPr>
          <w:rFonts w:ascii="Arial" w:hAnsi="Arial" w:cs="Arial"/>
          <w:bCs/>
          <w:sz w:val="20"/>
          <w:szCs w:val="20"/>
          <w:lang w:val="fr-CA"/>
        </w:rPr>
        <w:t>de fonctionnement</w:t>
      </w:r>
      <w:r w:rsidR="006C0950" w:rsidRPr="00CF7D1C">
        <w:rPr>
          <w:rFonts w:ascii="Arial" w:hAnsi="Arial" w:cs="Arial"/>
          <w:bCs/>
          <w:sz w:val="20"/>
          <w:szCs w:val="20"/>
          <w:lang w:val="fr-CA"/>
        </w:rPr>
        <w:t xml:space="preserve"> </w:t>
      </w:r>
      <w:r w:rsidRPr="00CF7D1C">
        <w:rPr>
          <w:rFonts w:ascii="Arial" w:hAnsi="Arial" w:cs="Arial"/>
          <w:bCs/>
          <w:sz w:val="20"/>
          <w:szCs w:val="20"/>
          <w:lang w:val="fr-CA"/>
        </w:rPr>
        <w:t>entre les secteurs d’activité</w:t>
      </w:r>
      <w:r w:rsidRPr="00CF7D1C">
        <w:rPr>
          <w:rFonts w:ascii="Arial" w:hAnsi="Arial" w:cs="Arial"/>
          <w:sz w:val="20"/>
          <w:szCs w:val="20"/>
          <w:lang w:val="fr-CA"/>
        </w:rPr>
        <w:t xml:space="preserve"> </w:t>
      </w:r>
      <w:r w:rsidRPr="00CF7D1C">
        <w:rPr>
          <w:rFonts w:ascii="Arial" w:hAnsi="Arial" w:cs="Arial"/>
          <w:bCs/>
          <w:sz w:val="20"/>
          <w:szCs w:val="20"/>
          <w:lang w:val="fr-CA"/>
        </w:rPr>
        <w:t xml:space="preserve">pour assurer </w:t>
      </w:r>
      <w:r w:rsidR="00BE50F5">
        <w:rPr>
          <w:rFonts w:ascii="Arial" w:hAnsi="Arial" w:cs="Arial"/>
          <w:bCs/>
          <w:sz w:val="20"/>
          <w:szCs w:val="20"/>
          <w:lang w:val="fr-CA"/>
        </w:rPr>
        <w:t>la conformité avec</w:t>
      </w:r>
      <w:r w:rsidR="00BE50F5" w:rsidRPr="00CF7D1C">
        <w:rPr>
          <w:rFonts w:ascii="Arial" w:hAnsi="Arial" w:cs="Arial"/>
          <w:bCs/>
          <w:sz w:val="20"/>
          <w:szCs w:val="20"/>
          <w:lang w:val="fr-CA"/>
        </w:rPr>
        <w:t xml:space="preserve"> </w:t>
      </w:r>
      <w:r w:rsidRPr="00CF7D1C">
        <w:rPr>
          <w:rFonts w:ascii="Arial" w:hAnsi="Arial" w:cs="Arial"/>
          <w:bCs/>
          <w:sz w:val="20"/>
          <w:szCs w:val="20"/>
          <w:lang w:val="fr-CA"/>
        </w:rPr>
        <w:t xml:space="preserve">la règle du 2% et fournir la mise à jour du rapport de référence </w:t>
      </w:r>
      <w:r>
        <w:rPr>
          <w:rFonts w:ascii="Arial" w:hAnsi="Arial" w:cs="Arial"/>
          <w:bCs/>
          <w:sz w:val="20"/>
          <w:szCs w:val="20"/>
          <w:lang w:val="fr-CA"/>
        </w:rPr>
        <w:t>inclus dans le calcul des budgets de base mensuel</w:t>
      </w:r>
      <w:r w:rsidRPr="00CF7D1C">
        <w:rPr>
          <w:rFonts w:ascii="Arial" w:hAnsi="Arial" w:cs="Arial"/>
          <w:sz w:val="20"/>
          <w:szCs w:val="20"/>
          <w:lang w:val="fr-CA"/>
        </w:rPr>
        <w:t>.</w:t>
      </w:r>
    </w:p>
    <w:p w:rsidR="007D55D6" w:rsidRPr="008443DB" w:rsidRDefault="007D55D6" w:rsidP="007D55D6">
      <w:pPr>
        <w:pStyle w:val="Heading2"/>
        <w:spacing w:line="276" w:lineRule="auto"/>
        <w:rPr>
          <w:rFonts w:ascii="Arial" w:hAnsi="Arial" w:cs="Arial"/>
          <w:sz w:val="20"/>
          <w:szCs w:val="20"/>
          <w:lang w:val="fr-CA"/>
        </w:rPr>
      </w:pPr>
      <w:bookmarkStart w:id="13" w:name="_Toc18500119"/>
      <w:r w:rsidRPr="008443DB">
        <w:rPr>
          <w:rFonts w:ascii="Arial" w:hAnsi="Arial" w:cs="Arial"/>
          <w:sz w:val="20"/>
          <w:szCs w:val="20"/>
          <w:lang w:val="fr-CA"/>
        </w:rPr>
        <w:t>Conseillers en gestion financière (CGF) et Directeurs régionaux des finances (DRF)</w:t>
      </w:r>
      <w:bookmarkEnd w:id="13"/>
    </w:p>
    <w:p w:rsidR="007D55D6" w:rsidRPr="008E7870" w:rsidRDefault="007D55D6" w:rsidP="007D55D6">
      <w:pPr>
        <w:numPr>
          <w:ilvl w:val="1"/>
          <w:numId w:val="3"/>
        </w:numPr>
        <w:spacing w:line="276" w:lineRule="auto"/>
        <w:ind w:left="1080"/>
        <w:rPr>
          <w:rFonts w:ascii="Arial" w:hAnsi="Arial" w:cs="Arial"/>
          <w:sz w:val="20"/>
          <w:szCs w:val="20"/>
          <w:lang w:val="fr-CA"/>
        </w:rPr>
      </w:pPr>
      <w:r w:rsidRPr="008E7870">
        <w:rPr>
          <w:rFonts w:ascii="Arial" w:hAnsi="Arial" w:cs="Arial"/>
          <w:bCs/>
          <w:sz w:val="20"/>
          <w:szCs w:val="20"/>
          <w:lang w:val="fr-CA"/>
        </w:rPr>
        <w:t>Initier les transactions budgétaires</w:t>
      </w:r>
      <w:r>
        <w:rPr>
          <w:rFonts w:ascii="Arial" w:hAnsi="Arial" w:cs="Arial"/>
          <w:bCs/>
          <w:sz w:val="20"/>
          <w:szCs w:val="20"/>
          <w:lang w:val="fr-CA"/>
        </w:rPr>
        <w:t xml:space="preserve"> (transferts</w:t>
      </w:r>
      <w:r w:rsidRPr="008E7870">
        <w:rPr>
          <w:rFonts w:ascii="Arial" w:hAnsi="Arial" w:cs="Arial"/>
          <w:bCs/>
          <w:sz w:val="20"/>
          <w:szCs w:val="20"/>
          <w:lang w:val="fr-CA"/>
        </w:rPr>
        <w:t xml:space="preserve"> </w:t>
      </w:r>
      <w:r>
        <w:rPr>
          <w:rFonts w:ascii="Arial" w:hAnsi="Arial" w:cs="Arial"/>
          <w:bCs/>
          <w:sz w:val="20"/>
          <w:szCs w:val="20"/>
          <w:lang w:val="fr-CA"/>
        </w:rPr>
        <w:t xml:space="preserve">entre directions générales / régions, entre fonds et entre groupe de comptes budgétaires) </w:t>
      </w:r>
      <w:r w:rsidRPr="008E7870">
        <w:rPr>
          <w:rFonts w:ascii="Arial" w:hAnsi="Arial" w:cs="Arial"/>
          <w:bCs/>
          <w:sz w:val="20"/>
          <w:szCs w:val="20"/>
          <w:lang w:val="fr-CA"/>
        </w:rPr>
        <w:t>dans maSGE, joindre les documents de support (PE, lettre d’entente, échange de correspondance</w:t>
      </w:r>
      <w:r>
        <w:rPr>
          <w:rFonts w:ascii="Arial" w:hAnsi="Arial" w:cs="Arial"/>
          <w:bCs/>
          <w:sz w:val="20"/>
          <w:szCs w:val="20"/>
          <w:lang w:val="fr-CA"/>
        </w:rPr>
        <w:t>, courriels, etc.</w:t>
      </w:r>
      <w:r w:rsidRPr="008E7870">
        <w:rPr>
          <w:rFonts w:ascii="Arial" w:hAnsi="Arial" w:cs="Arial"/>
          <w:bCs/>
          <w:sz w:val="20"/>
          <w:szCs w:val="20"/>
          <w:lang w:val="fr-CA"/>
        </w:rPr>
        <w:t>), et obtenir les approbations appropriées (</w:t>
      </w:r>
      <w:r>
        <w:rPr>
          <w:rFonts w:ascii="Arial" w:hAnsi="Arial" w:cs="Arial"/>
          <w:bCs/>
          <w:sz w:val="20"/>
          <w:szCs w:val="20"/>
          <w:lang w:val="fr-CA"/>
        </w:rPr>
        <w:t>voir s</w:t>
      </w:r>
      <w:r w:rsidRPr="008E7870">
        <w:rPr>
          <w:rFonts w:ascii="Arial" w:hAnsi="Arial" w:cs="Arial"/>
          <w:bCs/>
          <w:sz w:val="20"/>
          <w:szCs w:val="20"/>
          <w:lang w:val="fr-CA"/>
        </w:rPr>
        <w:t xml:space="preserve">ection 4) de la part des programmes (SMA respectif) avant de soumettre à </w:t>
      </w:r>
      <w:r>
        <w:rPr>
          <w:rFonts w:ascii="Arial" w:hAnsi="Arial" w:cs="Arial"/>
          <w:bCs/>
          <w:sz w:val="20"/>
          <w:szCs w:val="20"/>
          <w:lang w:val="fr-CA"/>
        </w:rPr>
        <w:t xml:space="preserve">la </w:t>
      </w:r>
      <w:r w:rsidRPr="008E7870">
        <w:rPr>
          <w:rFonts w:ascii="Arial" w:hAnsi="Arial" w:cs="Arial"/>
          <w:bCs/>
          <w:sz w:val="20"/>
          <w:szCs w:val="20"/>
          <w:lang w:val="fr-CA"/>
        </w:rPr>
        <w:t>GRM</w:t>
      </w:r>
      <w:r>
        <w:rPr>
          <w:rFonts w:ascii="Arial" w:hAnsi="Arial" w:cs="Arial"/>
          <w:bCs/>
          <w:sz w:val="20"/>
          <w:szCs w:val="20"/>
          <w:lang w:val="fr-CA"/>
        </w:rPr>
        <w:t>;</w:t>
      </w:r>
    </w:p>
    <w:p w:rsidR="007D55D6" w:rsidRPr="008E7870" w:rsidRDefault="007D55D6" w:rsidP="007D55D6">
      <w:pPr>
        <w:numPr>
          <w:ilvl w:val="1"/>
          <w:numId w:val="3"/>
        </w:numPr>
        <w:spacing w:line="276" w:lineRule="auto"/>
        <w:ind w:left="1080"/>
        <w:rPr>
          <w:rFonts w:ascii="Arial" w:hAnsi="Arial" w:cs="Arial"/>
          <w:sz w:val="20"/>
          <w:szCs w:val="20"/>
          <w:lang w:val="fr-CA"/>
        </w:rPr>
      </w:pPr>
      <w:r w:rsidRPr="008E7870">
        <w:rPr>
          <w:rFonts w:ascii="Arial" w:hAnsi="Arial" w:cs="Arial"/>
          <w:bCs/>
          <w:sz w:val="20"/>
          <w:szCs w:val="20"/>
          <w:lang w:val="fr-CA"/>
        </w:rPr>
        <w:t>Allouer les budgets aux plus bas niveaux du codage (centres financiers, domaines fonctionnels et comptes budgétaires)</w:t>
      </w:r>
      <w:r w:rsidRPr="008E7870">
        <w:rPr>
          <w:rFonts w:ascii="Arial" w:hAnsi="Arial" w:cs="Arial"/>
          <w:sz w:val="20"/>
          <w:szCs w:val="20"/>
          <w:lang w:val="fr-CA"/>
        </w:rPr>
        <w:t>;</w:t>
      </w:r>
    </w:p>
    <w:p w:rsidR="007D55D6" w:rsidRPr="008E7870" w:rsidRDefault="007D55D6" w:rsidP="007D55D6">
      <w:pPr>
        <w:numPr>
          <w:ilvl w:val="1"/>
          <w:numId w:val="3"/>
        </w:numPr>
        <w:spacing w:line="276" w:lineRule="auto"/>
        <w:ind w:left="1080"/>
        <w:rPr>
          <w:rFonts w:ascii="Arial" w:hAnsi="Arial" w:cs="Arial"/>
          <w:sz w:val="20"/>
          <w:szCs w:val="20"/>
          <w:lang w:val="fr-CA"/>
        </w:rPr>
      </w:pPr>
      <w:r w:rsidRPr="008E7870">
        <w:rPr>
          <w:rFonts w:ascii="Arial" w:hAnsi="Arial" w:cs="Arial"/>
          <w:bCs/>
          <w:sz w:val="20"/>
          <w:szCs w:val="20"/>
          <w:lang w:val="fr-CA"/>
        </w:rPr>
        <w:t xml:space="preserve">Réviser </w:t>
      </w:r>
      <w:r w:rsidR="00E15140">
        <w:rPr>
          <w:rFonts w:ascii="Arial" w:hAnsi="Arial" w:cs="Arial"/>
          <w:bCs/>
          <w:sz w:val="20"/>
          <w:szCs w:val="20"/>
          <w:lang w:val="fr-CA"/>
        </w:rPr>
        <w:t xml:space="preserve">mensuellement </w:t>
      </w:r>
      <w:r w:rsidRPr="008E7870">
        <w:rPr>
          <w:rFonts w:ascii="Arial" w:hAnsi="Arial" w:cs="Arial"/>
          <w:bCs/>
          <w:sz w:val="20"/>
          <w:szCs w:val="20"/>
          <w:lang w:val="fr-CA"/>
        </w:rPr>
        <w:t xml:space="preserve">le </w:t>
      </w:r>
      <w:r w:rsidR="00E15140">
        <w:rPr>
          <w:rFonts w:ascii="Arial" w:hAnsi="Arial" w:cs="Arial"/>
          <w:bCs/>
          <w:sz w:val="20"/>
          <w:szCs w:val="20"/>
          <w:lang w:val="fr-CA"/>
        </w:rPr>
        <w:t xml:space="preserve">rapport de </w:t>
      </w:r>
      <w:r w:rsidRPr="008E7870">
        <w:rPr>
          <w:rFonts w:ascii="Arial" w:hAnsi="Arial" w:cs="Arial"/>
          <w:sz w:val="20"/>
          <w:szCs w:val="20"/>
          <w:lang w:val="fr-CA"/>
        </w:rPr>
        <w:t>calcul des budgets de base</w:t>
      </w:r>
      <w:r w:rsidR="00E15140">
        <w:rPr>
          <w:rFonts w:ascii="Arial" w:hAnsi="Arial" w:cs="Arial"/>
          <w:sz w:val="20"/>
          <w:szCs w:val="20"/>
          <w:lang w:val="fr-CA"/>
        </w:rPr>
        <w:t xml:space="preserve"> (</w:t>
      </w:r>
      <w:r w:rsidR="006C0950">
        <w:rPr>
          <w:rFonts w:ascii="Arial" w:hAnsi="Arial" w:cs="Arial"/>
          <w:sz w:val="20"/>
          <w:szCs w:val="20"/>
          <w:lang w:val="fr-CA"/>
        </w:rPr>
        <w:t>Fonctionnement</w:t>
      </w:r>
      <w:r w:rsidR="00E15140">
        <w:rPr>
          <w:rFonts w:ascii="Arial" w:hAnsi="Arial" w:cs="Arial"/>
          <w:sz w:val="20"/>
          <w:szCs w:val="20"/>
          <w:lang w:val="fr-CA"/>
        </w:rPr>
        <w:t xml:space="preserve"> et S&amp;C)</w:t>
      </w:r>
      <w:r w:rsidRPr="008E7870">
        <w:rPr>
          <w:rFonts w:ascii="Arial" w:hAnsi="Arial" w:cs="Arial"/>
          <w:bCs/>
          <w:sz w:val="20"/>
          <w:szCs w:val="20"/>
          <w:lang w:val="fr-CA"/>
        </w:rPr>
        <w:t xml:space="preserve"> et aviser </w:t>
      </w:r>
      <w:r>
        <w:rPr>
          <w:rFonts w:ascii="Arial" w:hAnsi="Arial" w:cs="Arial"/>
          <w:bCs/>
          <w:sz w:val="20"/>
          <w:szCs w:val="20"/>
          <w:lang w:val="fr-CA"/>
        </w:rPr>
        <w:t xml:space="preserve">la </w:t>
      </w:r>
      <w:r w:rsidRPr="008E7870">
        <w:rPr>
          <w:rFonts w:ascii="Arial" w:hAnsi="Arial" w:cs="Arial"/>
          <w:bCs/>
          <w:sz w:val="20"/>
          <w:szCs w:val="20"/>
          <w:lang w:val="fr-CA"/>
        </w:rPr>
        <w:t>GRM de toutes différences</w:t>
      </w:r>
      <w:r w:rsidRPr="008E7870">
        <w:rPr>
          <w:rFonts w:ascii="Arial" w:hAnsi="Arial" w:cs="Arial"/>
          <w:sz w:val="20"/>
          <w:szCs w:val="20"/>
          <w:lang w:val="fr-CA"/>
        </w:rPr>
        <w:t xml:space="preserve">; </w:t>
      </w:r>
      <w:r>
        <w:rPr>
          <w:rFonts w:ascii="Arial" w:hAnsi="Arial" w:cs="Arial"/>
          <w:sz w:val="20"/>
          <w:szCs w:val="20"/>
          <w:lang w:val="fr-CA"/>
        </w:rPr>
        <w:t>et</w:t>
      </w:r>
    </w:p>
    <w:p w:rsidR="007D55D6" w:rsidRPr="008E7870" w:rsidRDefault="007D55D6" w:rsidP="007D55D6">
      <w:pPr>
        <w:numPr>
          <w:ilvl w:val="1"/>
          <w:numId w:val="3"/>
        </w:numPr>
        <w:spacing w:line="276" w:lineRule="auto"/>
        <w:ind w:left="1080"/>
        <w:rPr>
          <w:rFonts w:ascii="Arial" w:hAnsi="Arial" w:cs="Arial"/>
          <w:b/>
          <w:sz w:val="20"/>
          <w:szCs w:val="20"/>
          <w:lang w:val="fr-CA"/>
        </w:rPr>
      </w:pPr>
      <w:r w:rsidRPr="008E7870">
        <w:rPr>
          <w:rFonts w:ascii="Arial" w:hAnsi="Arial" w:cs="Arial"/>
          <w:bCs/>
          <w:sz w:val="20"/>
          <w:szCs w:val="20"/>
          <w:lang w:val="fr-CA"/>
        </w:rPr>
        <w:t>Remonter les surplus budgétaires au niveau de la Direction générale (niveau 2 dans maSGE) suite à une période de prévision pour que</w:t>
      </w:r>
      <w:r>
        <w:rPr>
          <w:rFonts w:ascii="Arial" w:hAnsi="Arial" w:cs="Arial"/>
          <w:bCs/>
          <w:sz w:val="20"/>
          <w:szCs w:val="20"/>
          <w:lang w:val="fr-CA"/>
        </w:rPr>
        <w:t xml:space="preserve"> la</w:t>
      </w:r>
      <w:r w:rsidRPr="008E7870">
        <w:rPr>
          <w:rFonts w:ascii="Arial" w:hAnsi="Arial" w:cs="Arial"/>
          <w:bCs/>
          <w:sz w:val="20"/>
          <w:szCs w:val="20"/>
          <w:lang w:val="fr-CA"/>
        </w:rPr>
        <w:t xml:space="preserve"> GRM puisse procéder au rapatriement</w:t>
      </w:r>
      <w:r w:rsidRPr="008E7870">
        <w:rPr>
          <w:rFonts w:ascii="Arial" w:hAnsi="Arial" w:cs="Arial"/>
          <w:sz w:val="20"/>
          <w:szCs w:val="20"/>
          <w:lang w:val="fr-CA"/>
        </w:rPr>
        <w:t>.</w:t>
      </w:r>
    </w:p>
    <w:p w:rsidR="007D55D6" w:rsidRPr="004A157A" w:rsidRDefault="007D55D6" w:rsidP="007D55D6">
      <w:pPr>
        <w:pStyle w:val="Heading1"/>
        <w:spacing w:line="276" w:lineRule="auto"/>
        <w:rPr>
          <w:rFonts w:ascii="Arial" w:hAnsi="Arial" w:cs="Arial"/>
          <w:sz w:val="20"/>
          <w:szCs w:val="20"/>
          <w:lang w:val="fr-CA"/>
        </w:rPr>
      </w:pPr>
      <w:bookmarkStart w:id="14" w:name="_Toc18500120"/>
      <w:r w:rsidRPr="004A157A">
        <w:rPr>
          <w:rFonts w:ascii="Arial" w:hAnsi="Arial" w:cs="Arial"/>
          <w:sz w:val="20"/>
          <w:szCs w:val="20"/>
          <w:lang w:val="fr-CA"/>
        </w:rPr>
        <w:lastRenderedPageBreak/>
        <w:t>3. COMMUNICATION</w:t>
      </w:r>
      <w:bookmarkEnd w:id="14"/>
    </w:p>
    <w:p w:rsidR="007D55D6" w:rsidRPr="004A157A" w:rsidRDefault="007D55D6" w:rsidP="007D55D6">
      <w:pPr>
        <w:spacing w:line="276" w:lineRule="auto"/>
        <w:rPr>
          <w:rFonts w:ascii="Arial" w:hAnsi="Arial" w:cs="Arial"/>
          <w:sz w:val="20"/>
          <w:szCs w:val="20"/>
          <w:lang w:val="fr-CA"/>
        </w:rPr>
      </w:pPr>
    </w:p>
    <w:p w:rsidR="00BE50F5" w:rsidRDefault="007D55D6" w:rsidP="00EF05AF">
      <w:pPr>
        <w:pStyle w:val="ListParagraph"/>
        <w:numPr>
          <w:ilvl w:val="0"/>
          <w:numId w:val="14"/>
        </w:numPr>
        <w:spacing w:line="276" w:lineRule="auto"/>
        <w:rPr>
          <w:rFonts w:ascii="Arial" w:hAnsi="Arial" w:cs="Arial"/>
          <w:bCs/>
          <w:sz w:val="20"/>
          <w:szCs w:val="20"/>
          <w:lang w:val="fr-CA" w:eastAsia="en-CA"/>
        </w:rPr>
      </w:pPr>
      <w:r w:rsidRPr="00EF05AF">
        <w:rPr>
          <w:rFonts w:ascii="Arial" w:hAnsi="Arial" w:cs="Arial"/>
          <w:bCs/>
          <w:sz w:val="20"/>
          <w:szCs w:val="20"/>
          <w:lang w:val="fr-CA" w:eastAsia="en-CA"/>
        </w:rPr>
        <w:t xml:space="preserve">La GRM avisera les CGF par courriel lorsque les ajustements budgétaires seront approuvés dans maSGE lorsqu’ils sont initiés par la GRM. </w:t>
      </w:r>
    </w:p>
    <w:p w:rsidR="00BE50F5" w:rsidRDefault="007D55D6" w:rsidP="00EF05AF">
      <w:pPr>
        <w:pStyle w:val="ListParagraph"/>
        <w:numPr>
          <w:ilvl w:val="0"/>
          <w:numId w:val="14"/>
        </w:numPr>
        <w:spacing w:line="276" w:lineRule="auto"/>
        <w:rPr>
          <w:rFonts w:ascii="Arial" w:hAnsi="Arial" w:cs="Arial"/>
          <w:bCs/>
          <w:sz w:val="20"/>
          <w:szCs w:val="20"/>
          <w:lang w:val="fr-CA" w:eastAsia="en-CA"/>
        </w:rPr>
      </w:pPr>
      <w:r w:rsidRPr="00EF05AF">
        <w:rPr>
          <w:rFonts w:ascii="Arial" w:hAnsi="Arial" w:cs="Arial"/>
          <w:bCs/>
          <w:sz w:val="20"/>
          <w:szCs w:val="20"/>
          <w:lang w:val="fr-CA" w:eastAsia="en-CA"/>
        </w:rPr>
        <w:t xml:space="preserve">Lorsque l’ajustement budgétaire est initié par l’entremise du système d’acheminement des opérations (Workflow), la personne ayant fait l’entrée recevra automatiquement un courriel dès que celle-ci est enregistré dans maSGE.  </w:t>
      </w:r>
    </w:p>
    <w:p w:rsidR="00BE50F5" w:rsidRDefault="007D55D6" w:rsidP="00EF05AF">
      <w:pPr>
        <w:pStyle w:val="ListParagraph"/>
        <w:numPr>
          <w:ilvl w:val="0"/>
          <w:numId w:val="14"/>
        </w:numPr>
        <w:spacing w:line="276" w:lineRule="auto"/>
        <w:rPr>
          <w:rFonts w:ascii="Arial" w:hAnsi="Arial" w:cs="Arial"/>
          <w:bCs/>
          <w:sz w:val="20"/>
          <w:szCs w:val="20"/>
          <w:lang w:val="fr-CA" w:eastAsia="en-CA"/>
        </w:rPr>
      </w:pPr>
      <w:r w:rsidRPr="00EF05AF">
        <w:rPr>
          <w:rFonts w:ascii="Arial" w:hAnsi="Arial" w:cs="Arial"/>
          <w:bCs/>
          <w:sz w:val="20"/>
          <w:szCs w:val="20"/>
          <w:lang w:val="fr-CA" w:eastAsia="en-CA"/>
        </w:rPr>
        <w:t xml:space="preserve">Il est suggéré que les CGF produisent des rapports périodiquement afin de vérifier les ajustements budgétaires traités qui pourraient impliquer leurs clients. </w:t>
      </w:r>
    </w:p>
    <w:p w:rsidR="007D55D6" w:rsidRPr="00EF05AF" w:rsidRDefault="007D55D6" w:rsidP="00EF05AF">
      <w:pPr>
        <w:pStyle w:val="ListParagraph"/>
        <w:numPr>
          <w:ilvl w:val="0"/>
          <w:numId w:val="14"/>
        </w:numPr>
        <w:spacing w:line="276" w:lineRule="auto"/>
        <w:rPr>
          <w:rFonts w:ascii="Arial" w:hAnsi="Arial" w:cs="Arial"/>
          <w:bCs/>
          <w:sz w:val="20"/>
          <w:szCs w:val="20"/>
          <w:lang w:val="fr-CA" w:eastAsia="en-CA"/>
        </w:rPr>
      </w:pPr>
      <w:r w:rsidRPr="00EF05AF">
        <w:rPr>
          <w:rFonts w:ascii="Arial" w:hAnsi="Arial" w:cs="Arial"/>
          <w:bCs/>
          <w:sz w:val="20"/>
          <w:szCs w:val="20"/>
          <w:lang w:val="fr-CA" w:eastAsia="en-CA"/>
        </w:rPr>
        <w:t>Toute communication avec la GRM doit être envoyée à l’adresse suivante :</w:t>
      </w:r>
    </w:p>
    <w:p w:rsidR="007D55D6" w:rsidRPr="008E7870" w:rsidRDefault="007D55D6" w:rsidP="007D55D6">
      <w:pPr>
        <w:spacing w:line="276" w:lineRule="auto"/>
        <w:rPr>
          <w:rFonts w:ascii="Arial" w:hAnsi="Arial" w:cs="Arial"/>
          <w:bCs/>
          <w:sz w:val="20"/>
          <w:szCs w:val="20"/>
          <w:lang w:val="fr-CA" w:eastAsia="en-CA"/>
        </w:rPr>
      </w:pPr>
    </w:p>
    <w:p w:rsidR="007D55D6" w:rsidRPr="00D629BC" w:rsidRDefault="003E6353" w:rsidP="00BE50F5">
      <w:pPr>
        <w:spacing w:line="276" w:lineRule="auto"/>
        <w:ind w:left="1134"/>
        <w:rPr>
          <w:rFonts w:ascii="Arial" w:hAnsi="Arial" w:cs="Arial"/>
          <w:b/>
          <w:bCs/>
          <w:sz w:val="20"/>
          <w:szCs w:val="20"/>
          <w:lang w:val="fr-CA"/>
        </w:rPr>
      </w:pPr>
      <w:hyperlink r:id="rId13" w:history="1">
        <w:r w:rsidR="007D55D6" w:rsidRPr="004B31EB">
          <w:rPr>
            <w:rStyle w:val="Hyperlink"/>
            <w:rFonts w:ascii="Arial" w:hAnsi="Arial" w:cs="Arial"/>
            <w:b/>
            <w:bCs/>
            <w:sz w:val="20"/>
            <w:szCs w:val="20"/>
            <w:lang w:val="fr-CA" w:eastAsia="en-CA"/>
          </w:rPr>
          <w:t>NC-Budgeting-Mailbox-CRM_Boîtes-aux-lettres-Budgétisation-GRM-GD</w:t>
        </w:r>
      </w:hyperlink>
    </w:p>
    <w:p w:rsidR="007D55D6" w:rsidRDefault="007D55D6" w:rsidP="007D55D6">
      <w:pPr>
        <w:rPr>
          <w:rFonts w:ascii="Arial" w:eastAsiaTheme="majorEastAsia" w:hAnsi="Arial" w:cs="Arial"/>
          <w:color w:val="960024" w:themeColor="accent1" w:themeShade="BF"/>
          <w:sz w:val="20"/>
          <w:szCs w:val="20"/>
          <w:lang w:val="fr-CA"/>
        </w:rPr>
      </w:pPr>
      <w:r>
        <w:rPr>
          <w:rFonts w:ascii="Arial" w:hAnsi="Arial" w:cs="Arial"/>
          <w:b/>
          <w:bCs/>
          <w:sz w:val="20"/>
          <w:szCs w:val="20"/>
          <w:lang w:val="fr-CA"/>
        </w:rPr>
        <w:br w:type="page"/>
      </w:r>
    </w:p>
    <w:p w:rsidR="007D55D6" w:rsidRDefault="007D55D6" w:rsidP="007D55D6">
      <w:pPr>
        <w:pStyle w:val="Heading1"/>
        <w:rPr>
          <w:rFonts w:ascii="Arial" w:hAnsi="Arial" w:cs="Arial"/>
          <w:sz w:val="20"/>
          <w:szCs w:val="20"/>
          <w:lang w:val="fr-CA"/>
        </w:rPr>
      </w:pPr>
      <w:bookmarkStart w:id="15" w:name="_Toc18500121"/>
      <w:r w:rsidRPr="00793576">
        <w:rPr>
          <w:rFonts w:ascii="Arial" w:hAnsi="Arial" w:cs="Arial"/>
          <w:sz w:val="20"/>
          <w:szCs w:val="20"/>
          <w:lang w:val="fr-CA"/>
        </w:rPr>
        <w:lastRenderedPageBreak/>
        <w:t>4. NIVEAUX D’APPROBATION</w:t>
      </w:r>
      <w:bookmarkEnd w:id="15"/>
      <w:r w:rsidRPr="00793576">
        <w:rPr>
          <w:rFonts w:ascii="Arial" w:hAnsi="Arial" w:cs="Arial"/>
          <w:sz w:val="20"/>
          <w:szCs w:val="20"/>
          <w:lang w:val="fr-CA"/>
        </w:rPr>
        <w:t xml:space="preserve"> </w:t>
      </w:r>
    </w:p>
    <w:p w:rsidR="00602C78" w:rsidRPr="00EF05AF" w:rsidRDefault="00602C78" w:rsidP="00EF05AF">
      <w:pPr>
        <w:rPr>
          <w:lang w:val="fr-CA"/>
        </w:rPr>
      </w:pPr>
    </w:p>
    <w:p w:rsidR="007D55D6" w:rsidRDefault="007D55D6" w:rsidP="007D55D6">
      <w:pPr>
        <w:rPr>
          <w:rFonts w:ascii="Arial" w:hAnsi="Arial" w:cs="Arial"/>
          <w:sz w:val="20"/>
          <w:szCs w:val="20"/>
          <w:lang w:val="fr-CA"/>
        </w:rPr>
      </w:pPr>
    </w:p>
    <w:p w:rsidR="007D55D6" w:rsidRDefault="00602C78" w:rsidP="00EF05AF">
      <w:pPr>
        <w:jc w:val="center"/>
        <w:rPr>
          <w:rFonts w:ascii="Arial" w:hAnsi="Arial" w:cs="Arial"/>
          <w:sz w:val="20"/>
          <w:szCs w:val="20"/>
          <w:lang w:val="fr-CA"/>
        </w:rPr>
      </w:pPr>
      <w:r w:rsidRPr="00602C78">
        <w:rPr>
          <w:noProof/>
          <w:lang w:eastAsia="en-CA"/>
        </w:rPr>
        <w:drawing>
          <wp:inline distT="0" distB="0" distL="0" distR="0">
            <wp:extent cx="4783766" cy="67156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542" cy="6726570"/>
                    </a:xfrm>
                    <a:prstGeom prst="rect">
                      <a:avLst/>
                    </a:prstGeom>
                    <a:noFill/>
                    <a:ln>
                      <a:noFill/>
                    </a:ln>
                  </pic:spPr>
                </pic:pic>
              </a:graphicData>
            </a:graphic>
          </wp:inline>
        </w:drawing>
      </w:r>
    </w:p>
    <w:p w:rsidR="007D55D6" w:rsidRDefault="007D55D6" w:rsidP="007D55D6">
      <w:pPr>
        <w:rPr>
          <w:rFonts w:ascii="Arial" w:hAnsi="Arial" w:cs="Arial"/>
          <w:sz w:val="20"/>
          <w:szCs w:val="20"/>
          <w:lang w:val="fr-CA"/>
        </w:rPr>
      </w:pPr>
    </w:p>
    <w:p w:rsidR="007D55D6" w:rsidRDefault="007D55D6" w:rsidP="007D55D6">
      <w:pPr>
        <w:rPr>
          <w:rFonts w:ascii="Arial" w:hAnsi="Arial" w:cs="Arial"/>
          <w:sz w:val="20"/>
          <w:szCs w:val="20"/>
          <w:lang w:val="fr-CA"/>
        </w:rPr>
      </w:pPr>
    </w:p>
    <w:p w:rsidR="007D55D6" w:rsidRDefault="007D55D6" w:rsidP="007D55D6">
      <w:pPr>
        <w:rPr>
          <w:rFonts w:ascii="Arial" w:hAnsi="Arial" w:cs="Arial"/>
          <w:sz w:val="20"/>
          <w:szCs w:val="20"/>
          <w:lang w:val="fr-CA"/>
        </w:rPr>
        <w:sectPr w:rsidR="007D55D6" w:rsidSect="005A2022">
          <w:headerReference w:type="even" r:id="rId15"/>
          <w:headerReference w:type="default" r:id="rId16"/>
          <w:footerReference w:type="even" r:id="rId17"/>
          <w:footerReference w:type="default" r:id="rId18"/>
          <w:headerReference w:type="first" r:id="rId19"/>
          <w:footerReference w:type="first" r:id="rId20"/>
          <w:pgSz w:w="12240" w:h="15840"/>
          <w:pgMar w:top="1800" w:right="1800" w:bottom="1440" w:left="1440" w:header="720" w:footer="720" w:gutter="0"/>
          <w:cols w:space="720"/>
          <w:titlePg/>
          <w:docGrid w:linePitch="360"/>
        </w:sectPr>
      </w:pPr>
    </w:p>
    <w:p w:rsidR="007D55D6" w:rsidRDefault="00602C78" w:rsidP="00EF05AF">
      <w:pPr>
        <w:jc w:val="center"/>
        <w:rPr>
          <w:rFonts w:ascii="Arial" w:hAnsi="Arial" w:cs="Arial"/>
          <w:sz w:val="20"/>
          <w:szCs w:val="20"/>
          <w:lang w:val="fr-CA"/>
        </w:rPr>
        <w:sectPr w:rsidR="007D55D6" w:rsidSect="00EF05AF">
          <w:pgSz w:w="15840" w:h="12240" w:orient="landscape"/>
          <w:pgMar w:top="1701" w:right="1800" w:bottom="1800" w:left="1440" w:header="720" w:footer="720" w:gutter="0"/>
          <w:cols w:space="720"/>
          <w:titlePg/>
          <w:docGrid w:linePitch="360"/>
        </w:sectPr>
      </w:pPr>
      <w:r w:rsidRPr="00602C78">
        <w:rPr>
          <w:noProof/>
          <w:lang w:eastAsia="en-CA"/>
        </w:rPr>
        <w:lastRenderedPageBreak/>
        <w:drawing>
          <wp:inline distT="0" distB="0" distL="0" distR="0">
            <wp:extent cx="8089359" cy="579695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2634" cy="5806464"/>
                    </a:xfrm>
                    <a:prstGeom prst="rect">
                      <a:avLst/>
                    </a:prstGeom>
                    <a:noFill/>
                    <a:ln>
                      <a:noFill/>
                    </a:ln>
                  </pic:spPr>
                </pic:pic>
              </a:graphicData>
            </a:graphic>
          </wp:inline>
        </w:drawing>
      </w:r>
    </w:p>
    <w:p w:rsidR="007B4A7E" w:rsidRPr="007B4A7E" w:rsidRDefault="007B4A7E" w:rsidP="007B4A7E">
      <w:pPr>
        <w:pStyle w:val="Heading1"/>
        <w:spacing w:line="276" w:lineRule="auto"/>
        <w:rPr>
          <w:rFonts w:ascii="Arial" w:hAnsi="Arial" w:cs="Arial"/>
          <w:sz w:val="20"/>
          <w:szCs w:val="20"/>
          <w:lang w:val="fr-CA"/>
        </w:rPr>
      </w:pPr>
      <w:bookmarkStart w:id="16" w:name="_Toc18500122"/>
      <w:r>
        <w:rPr>
          <w:noProof/>
          <w:lang w:eastAsia="en-CA"/>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472440</wp:posOffset>
            </wp:positionV>
            <wp:extent cx="5981700" cy="7216140"/>
            <wp:effectExtent l="0" t="0" r="0" b="3810"/>
            <wp:wrapTight wrapText="bothSides">
              <wp:wrapPolygon edited="0">
                <wp:start x="0" y="0"/>
                <wp:lineTo x="0" y="798"/>
                <wp:lineTo x="10800" y="912"/>
                <wp:lineTo x="0" y="1254"/>
                <wp:lineTo x="0" y="21554"/>
                <wp:lineTo x="21531" y="21554"/>
                <wp:lineTo x="21531" y="1254"/>
                <wp:lineTo x="10800" y="912"/>
                <wp:lineTo x="21531" y="798"/>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1700" cy="7216140"/>
                    </a:xfrm>
                    <a:prstGeom prst="rect">
                      <a:avLst/>
                    </a:prstGeom>
                    <a:noFill/>
                  </pic:spPr>
                </pic:pic>
              </a:graphicData>
            </a:graphic>
            <wp14:sizeRelH relativeFrom="margin">
              <wp14:pctWidth>0</wp14:pctWidth>
            </wp14:sizeRelH>
            <wp14:sizeRelV relativeFrom="margin">
              <wp14:pctHeight>0</wp14:pctHeight>
            </wp14:sizeRelV>
          </wp:anchor>
        </w:drawing>
      </w:r>
      <w:r w:rsidRPr="00132199">
        <w:rPr>
          <w:rFonts w:ascii="Arial" w:hAnsi="Arial" w:cs="Arial"/>
          <w:sz w:val="20"/>
          <w:szCs w:val="20"/>
          <w:lang w:val="fr-CA"/>
        </w:rPr>
        <w:t>ANNEXE A – Détails des entrées dans FMBB</w:t>
      </w:r>
      <w:bookmarkEnd w:id="16"/>
    </w:p>
    <w:sectPr w:rsidR="007B4A7E" w:rsidRPr="007B4A7E" w:rsidSect="007D55D6">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D6" w:rsidRDefault="007D55D6" w:rsidP="005A2022">
      <w:r>
        <w:separator/>
      </w:r>
    </w:p>
  </w:endnote>
  <w:endnote w:type="continuationSeparator" w:id="0">
    <w:p w:rsidR="007D55D6" w:rsidRDefault="007D55D6"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3E6353">
      <w:rPr>
        <w:rStyle w:val="PageNumber"/>
        <w:rFonts w:ascii="Century Gothic" w:hAnsi="Century Gothic"/>
        <w:b/>
        <w:bCs/>
        <w:noProof/>
        <w:color w:val="808080" w:themeColor="background1" w:themeShade="80"/>
      </w:rPr>
      <w:t>8</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eastAsia="en-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66" w:rsidRDefault="0048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D6" w:rsidRDefault="007D55D6" w:rsidP="005A2022">
      <w:r>
        <w:separator/>
      </w:r>
    </w:p>
  </w:footnote>
  <w:footnote w:type="continuationSeparator" w:id="0">
    <w:p w:rsidR="007D55D6" w:rsidRDefault="007D55D6"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66" w:rsidRDefault="0048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5A"/>
    <w:multiLevelType w:val="hybridMultilevel"/>
    <w:tmpl w:val="15CCB1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FA6861"/>
    <w:multiLevelType w:val="hybridMultilevel"/>
    <w:tmpl w:val="312249A2"/>
    <w:lvl w:ilvl="0" w:tplc="0C0C0005">
      <w:start w:val="1"/>
      <w:numFmt w:val="bullet"/>
      <w:lvlText w:val=""/>
      <w:lvlJc w:val="left"/>
      <w:pPr>
        <w:ind w:left="900" w:hanging="360"/>
      </w:pPr>
      <w:rPr>
        <w:rFonts w:ascii="Wingdings" w:hAnsi="Wingdings"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 w15:restartNumberingAfterBreak="0">
    <w:nsid w:val="1AD63A64"/>
    <w:multiLevelType w:val="hybridMultilevel"/>
    <w:tmpl w:val="A20C49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3F5ACE"/>
    <w:multiLevelType w:val="hybridMultilevel"/>
    <w:tmpl w:val="74BA84F2"/>
    <w:lvl w:ilvl="0" w:tplc="10090001">
      <w:start w:val="1"/>
      <w:numFmt w:val="bullet"/>
      <w:lvlText w:val=""/>
      <w:lvlJc w:val="left"/>
      <w:pPr>
        <w:ind w:left="1004" w:hanging="360"/>
      </w:pPr>
      <w:rPr>
        <w:rFonts w:ascii="Symbol" w:hAnsi="Symbol" w:hint="default"/>
        <w:caps/>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266B1044"/>
    <w:multiLevelType w:val="hybridMultilevel"/>
    <w:tmpl w:val="8078E6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8D2596"/>
    <w:multiLevelType w:val="hybridMultilevel"/>
    <w:tmpl w:val="B8BA6B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4F5723"/>
    <w:multiLevelType w:val="hybridMultilevel"/>
    <w:tmpl w:val="37A89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FF1F55"/>
    <w:multiLevelType w:val="hybridMultilevel"/>
    <w:tmpl w:val="845E83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A6775C4"/>
    <w:multiLevelType w:val="hybridMultilevel"/>
    <w:tmpl w:val="980A227C"/>
    <w:lvl w:ilvl="0" w:tplc="8A9E5690">
      <w:start w:val="3"/>
      <w:numFmt w:val="lowerLetter"/>
      <w:lvlText w:val="%1)"/>
      <w:lvlJc w:val="left"/>
      <w:pPr>
        <w:ind w:left="927" w:hanging="360"/>
      </w:pPr>
      <w:rPr>
        <w:rFonts w:hint="default"/>
      </w:rPr>
    </w:lvl>
    <w:lvl w:ilvl="1" w:tplc="10090001">
      <w:start w:val="1"/>
      <w:numFmt w:val="bullet"/>
      <w:lvlText w:val=""/>
      <w:lvlJc w:val="left"/>
      <w:pPr>
        <w:ind w:left="1647" w:hanging="360"/>
      </w:pPr>
      <w:rPr>
        <w:rFonts w:ascii="Symbol" w:hAnsi="Symbol" w:hint="default"/>
      </w:r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5EB64044"/>
    <w:multiLevelType w:val="hybridMultilevel"/>
    <w:tmpl w:val="146021A4"/>
    <w:lvl w:ilvl="0" w:tplc="10090011">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BB676A1"/>
    <w:multiLevelType w:val="hybridMultilevel"/>
    <w:tmpl w:val="FB52292E"/>
    <w:lvl w:ilvl="0" w:tplc="673E20C2">
      <w:start w:val="1"/>
      <w:numFmt w:val="lowerLetter"/>
      <w:lvlText w:val="%1."/>
      <w:lvlJc w:val="left"/>
      <w:pPr>
        <w:tabs>
          <w:tab w:val="num" w:pos="130"/>
        </w:tabs>
        <w:ind w:left="340" w:hanging="340"/>
      </w:pPr>
      <w:rPr>
        <w:rFonts w:hint="default"/>
        <w:caps/>
      </w:rPr>
    </w:lvl>
    <w:lvl w:ilvl="1" w:tplc="10090017">
      <w:start w:val="1"/>
      <w:numFmt w:val="lowerLetter"/>
      <w:lvlText w:val="%2)"/>
      <w:lvlJc w:val="left"/>
      <w:pPr>
        <w:tabs>
          <w:tab w:val="num" w:pos="851"/>
        </w:tabs>
        <w:ind w:left="851" w:hanging="284"/>
      </w:pPr>
      <w:rPr>
        <w:rFonts w:hint="default"/>
        <w:caps/>
      </w:rPr>
    </w:lvl>
    <w:lvl w:ilvl="2" w:tplc="10090015">
      <w:start w:val="1"/>
      <w:numFmt w:val="upperLetter"/>
      <w:lvlText w:val="%3."/>
      <w:lvlJc w:val="left"/>
      <w:pPr>
        <w:tabs>
          <w:tab w:val="num" w:pos="1456"/>
        </w:tabs>
        <w:ind w:left="1456" w:hanging="180"/>
      </w:pPr>
    </w:lvl>
    <w:lvl w:ilvl="3" w:tplc="6696FD66">
      <w:start w:val="1"/>
      <w:numFmt w:val="upperLetter"/>
      <w:lvlText w:val="%4."/>
      <w:lvlJc w:val="left"/>
      <w:pPr>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6D053989"/>
    <w:multiLevelType w:val="hybridMultilevel"/>
    <w:tmpl w:val="83EA0C38"/>
    <w:lvl w:ilvl="0" w:tplc="19621AC0">
      <w:start w:val="1"/>
      <w:numFmt w:val="bullet"/>
      <w:lvlText w:val=""/>
      <w:lvlJc w:val="left"/>
      <w:pPr>
        <w:ind w:left="720" w:hanging="360"/>
      </w:pPr>
      <w:rPr>
        <w:rFonts w:ascii="Wingdings" w:hAnsi="Wingdings" w:hint="default"/>
        <w:cap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1A6D1E"/>
    <w:multiLevelType w:val="hybridMultilevel"/>
    <w:tmpl w:val="3AE6E42A"/>
    <w:lvl w:ilvl="0" w:tplc="19621AC0">
      <w:start w:val="1"/>
      <w:numFmt w:val="bullet"/>
      <w:lvlText w:val=""/>
      <w:lvlJc w:val="left"/>
      <w:pPr>
        <w:ind w:left="720" w:hanging="360"/>
      </w:pPr>
      <w:rPr>
        <w:rFonts w:ascii="Wingdings" w:hAnsi="Wingdings" w:hint="default"/>
        <w:caps/>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8A5C92"/>
    <w:multiLevelType w:val="hybridMultilevel"/>
    <w:tmpl w:val="25D0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3"/>
  </w:num>
  <w:num w:numId="6">
    <w:abstractNumId w:val="5"/>
  </w:num>
  <w:num w:numId="7">
    <w:abstractNumId w:val="11"/>
  </w:num>
  <w:num w:numId="8">
    <w:abstractNumId w:val="12"/>
  </w:num>
  <w:num w:numId="9">
    <w:abstractNumId w:val="6"/>
  </w:num>
  <w:num w:numId="10">
    <w:abstractNumId w:val="2"/>
  </w:num>
  <w:num w:numId="11">
    <w:abstractNumId w:val="1"/>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7D55D6"/>
    <w:rsid w:val="0002257C"/>
    <w:rsid w:val="00033DD2"/>
    <w:rsid w:val="00096C52"/>
    <w:rsid w:val="000B1272"/>
    <w:rsid w:val="000C4323"/>
    <w:rsid w:val="000D5BDF"/>
    <w:rsid w:val="00110973"/>
    <w:rsid w:val="00152758"/>
    <w:rsid w:val="00157992"/>
    <w:rsid w:val="001C5300"/>
    <w:rsid w:val="001E58D2"/>
    <w:rsid w:val="002054C3"/>
    <w:rsid w:val="002125E1"/>
    <w:rsid w:val="002574FF"/>
    <w:rsid w:val="0027750E"/>
    <w:rsid w:val="002A659E"/>
    <w:rsid w:val="00316BD9"/>
    <w:rsid w:val="00330A72"/>
    <w:rsid w:val="003931A5"/>
    <w:rsid w:val="003A213C"/>
    <w:rsid w:val="003E6353"/>
    <w:rsid w:val="00425883"/>
    <w:rsid w:val="00435E79"/>
    <w:rsid w:val="00470426"/>
    <w:rsid w:val="00471111"/>
    <w:rsid w:val="00483066"/>
    <w:rsid w:val="004A6AE6"/>
    <w:rsid w:val="004E607E"/>
    <w:rsid w:val="00512027"/>
    <w:rsid w:val="005A1CE0"/>
    <w:rsid w:val="005A2022"/>
    <w:rsid w:val="005B6150"/>
    <w:rsid w:val="00602C78"/>
    <w:rsid w:val="00617AE7"/>
    <w:rsid w:val="006C0950"/>
    <w:rsid w:val="006D4F4D"/>
    <w:rsid w:val="007027CC"/>
    <w:rsid w:val="00720EFA"/>
    <w:rsid w:val="007355AD"/>
    <w:rsid w:val="0079079D"/>
    <w:rsid w:val="00793576"/>
    <w:rsid w:val="00797435"/>
    <w:rsid w:val="007B4A7E"/>
    <w:rsid w:val="007D55D6"/>
    <w:rsid w:val="007D7E8A"/>
    <w:rsid w:val="007E1430"/>
    <w:rsid w:val="00826AF3"/>
    <w:rsid w:val="00857D0C"/>
    <w:rsid w:val="0088145C"/>
    <w:rsid w:val="00885DBF"/>
    <w:rsid w:val="008B50D5"/>
    <w:rsid w:val="00952588"/>
    <w:rsid w:val="009E338D"/>
    <w:rsid w:val="00A9383C"/>
    <w:rsid w:val="00AC6966"/>
    <w:rsid w:val="00B86145"/>
    <w:rsid w:val="00B95334"/>
    <w:rsid w:val="00BA620E"/>
    <w:rsid w:val="00BC0915"/>
    <w:rsid w:val="00BE50F5"/>
    <w:rsid w:val="00BF14F3"/>
    <w:rsid w:val="00C16FDE"/>
    <w:rsid w:val="00C82833"/>
    <w:rsid w:val="00C85A45"/>
    <w:rsid w:val="00D04259"/>
    <w:rsid w:val="00D4538C"/>
    <w:rsid w:val="00D57AB2"/>
    <w:rsid w:val="00D71FE5"/>
    <w:rsid w:val="00DC362A"/>
    <w:rsid w:val="00DC5668"/>
    <w:rsid w:val="00DE14A8"/>
    <w:rsid w:val="00E15140"/>
    <w:rsid w:val="00E31C90"/>
    <w:rsid w:val="00E35DCD"/>
    <w:rsid w:val="00E66B92"/>
    <w:rsid w:val="00E71DDC"/>
    <w:rsid w:val="00EA2BB3"/>
    <w:rsid w:val="00ED54E0"/>
    <w:rsid w:val="00EF05AF"/>
    <w:rsid w:val="00F101A1"/>
    <w:rsid w:val="00FB00C1"/>
    <w:rsid w:val="00FD3980"/>
    <w:rsid w:val="00FF0DA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AE9D9C3"/>
  <w14:defaultImageDpi w14:val="300"/>
  <w15:docId w15:val="{60361B57-3EB8-49D3-819F-FAA04E89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D6"/>
    <w:rPr>
      <w:rFonts w:ascii="Times New Roman" w:eastAsia="Times New Roman" w:hAnsi="Times New Roman" w:cs="Times New Roman"/>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Normal"/>
    <w:link w:val="Heading2Char"/>
    <w:uiPriority w:val="9"/>
    <w:unhideWhenUsed/>
    <w:qFormat/>
    <w:rsid w:val="007D55D6"/>
    <w:pPr>
      <w:keepNext/>
      <w:keepLines/>
      <w:spacing w:before="200"/>
      <w:outlineLvl w:val="1"/>
    </w:pPr>
    <w:rPr>
      <w:rFonts w:asciiTheme="majorHAnsi" w:eastAsiaTheme="majorEastAsia" w:hAnsiTheme="majorHAnsi" w:cstheme="majorBidi"/>
      <w:b/>
      <w:bCs/>
      <w:color w:val="C9003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rsid w:val="007D55D6"/>
    <w:rPr>
      <w:color w:val="0000FF"/>
      <w:u w:val="single"/>
    </w:rPr>
  </w:style>
  <w:style w:type="paragraph" w:styleId="Title">
    <w:name w:val="Title"/>
    <w:basedOn w:val="Normal"/>
    <w:next w:val="Normal"/>
    <w:link w:val="TitleChar"/>
    <w:uiPriority w:val="10"/>
    <w:qFormat/>
    <w:rsid w:val="007D55D6"/>
    <w:pPr>
      <w:pBdr>
        <w:bottom w:val="single" w:sz="8" w:space="4" w:color="C90031" w:themeColor="accent1"/>
      </w:pBdr>
      <w:spacing w:after="300"/>
      <w:contextualSpacing/>
    </w:pPr>
    <w:rPr>
      <w:rFonts w:asciiTheme="majorHAnsi" w:eastAsiaTheme="majorEastAsia" w:hAnsiTheme="majorHAnsi" w:cstheme="majorBidi"/>
      <w:color w:val="12616E" w:themeColor="text2" w:themeShade="BF"/>
      <w:spacing w:val="5"/>
      <w:kern w:val="28"/>
      <w:sz w:val="52"/>
      <w:szCs w:val="52"/>
    </w:rPr>
  </w:style>
  <w:style w:type="character" w:customStyle="1" w:styleId="TitleChar">
    <w:name w:val="Title Char"/>
    <w:basedOn w:val="DefaultParagraphFont"/>
    <w:link w:val="Title"/>
    <w:uiPriority w:val="10"/>
    <w:rsid w:val="007D55D6"/>
    <w:rPr>
      <w:rFonts w:asciiTheme="majorHAnsi" w:eastAsiaTheme="majorEastAsia" w:hAnsiTheme="majorHAnsi" w:cstheme="majorBidi"/>
      <w:color w:val="12616E" w:themeColor="text2" w:themeShade="BF"/>
      <w:spacing w:val="5"/>
      <w:kern w:val="28"/>
      <w:sz w:val="52"/>
      <w:szCs w:val="52"/>
    </w:rPr>
  </w:style>
  <w:style w:type="paragraph" w:styleId="TOCHeading">
    <w:name w:val="TOC Heading"/>
    <w:basedOn w:val="Heading1"/>
    <w:next w:val="Normal"/>
    <w:uiPriority w:val="39"/>
    <w:unhideWhenUsed/>
    <w:qFormat/>
    <w:rsid w:val="007D55D6"/>
    <w:pPr>
      <w:spacing w:line="276" w:lineRule="auto"/>
      <w:outlineLvl w:val="9"/>
    </w:pPr>
    <w:rPr>
      <w:color w:val="960024" w:themeColor="accent1" w:themeShade="BF"/>
      <w:sz w:val="28"/>
      <w:szCs w:val="28"/>
      <w:lang w:val="en-US" w:eastAsia="ja-JP"/>
    </w:rPr>
  </w:style>
  <w:style w:type="paragraph" w:styleId="TOC1">
    <w:name w:val="toc 1"/>
    <w:basedOn w:val="Normal"/>
    <w:next w:val="Normal"/>
    <w:autoRedefine/>
    <w:uiPriority w:val="39"/>
    <w:unhideWhenUsed/>
    <w:rsid w:val="007D55D6"/>
    <w:pPr>
      <w:spacing w:after="100"/>
    </w:pPr>
  </w:style>
  <w:style w:type="paragraph" w:styleId="TOC2">
    <w:name w:val="toc 2"/>
    <w:basedOn w:val="Normal"/>
    <w:next w:val="Normal"/>
    <w:autoRedefine/>
    <w:uiPriority w:val="39"/>
    <w:unhideWhenUsed/>
    <w:rsid w:val="007D55D6"/>
    <w:pPr>
      <w:spacing w:after="100"/>
      <w:ind w:left="240"/>
    </w:pPr>
  </w:style>
  <w:style w:type="paragraph" w:styleId="TOC3">
    <w:name w:val="toc 3"/>
    <w:basedOn w:val="Normal"/>
    <w:next w:val="Normal"/>
    <w:autoRedefine/>
    <w:uiPriority w:val="39"/>
    <w:unhideWhenUsed/>
    <w:rsid w:val="007D55D6"/>
    <w:pPr>
      <w:spacing w:after="100"/>
      <w:ind w:left="480"/>
    </w:pPr>
  </w:style>
  <w:style w:type="character" w:customStyle="1" w:styleId="Heading2Char">
    <w:name w:val="Heading 2 Char"/>
    <w:basedOn w:val="DefaultParagraphFont"/>
    <w:link w:val="Heading2"/>
    <w:uiPriority w:val="9"/>
    <w:rsid w:val="007D55D6"/>
    <w:rPr>
      <w:rFonts w:asciiTheme="majorHAnsi" w:eastAsiaTheme="majorEastAsia" w:hAnsiTheme="majorHAnsi" w:cstheme="majorBidi"/>
      <w:b/>
      <w:bCs/>
      <w:color w:val="C90031" w:themeColor="accent1"/>
      <w:sz w:val="26"/>
      <w:szCs w:val="26"/>
    </w:rPr>
  </w:style>
  <w:style w:type="paragraph" w:styleId="ListParagraph">
    <w:name w:val="List Paragraph"/>
    <w:basedOn w:val="Normal"/>
    <w:uiPriority w:val="34"/>
    <w:qFormat/>
    <w:rsid w:val="007D55D6"/>
    <w:pPr>
      <w:ind w:left="720"/>
    </w:pPr>
  </w:style>
  <w:style w:type="paragraph" w:styleId="Revision">
    <w:name w:val="Revision"/>
    <w:hidden/>
    <w:uiPriority w:val="99"/>
    <w:semiHidden/>
    <w:rsid w:val="00EF05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Budgeting-Mailbox-CRM_Bo&#238;tes-aux-lettres-Budg&#233;tisation-GRM-GD%20%3cNC-Budgeting-Mailbox@hrdc-drhc.net%3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dialogue/grp/CRM-GRM/Budgeting/Forms/AllItems.aspx?RootFolder=%2Fgrp%2FCRM%2DGRM%2FBudgeting%2FBudgeting%20Process&amp;FolderCTID=0x0120008B6AEBFECD73FD4BB39E552BC155378F&amp;View=%7b1BAA8265-E275-4620-8CD9-D03D863CB30A%7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alogue/grp/CRM-GRM/Budgeting/Forms/AllItems.aspx?RootFolder=%2Fgrp%2FCRM%2DGRM%2FBudgeting%2FBudgeting%20Process&amp;FolderCTID=0x0120008B6AEBFECD73FD4BB39E552BC155378F&amp;View=%7b1BAA8265-E275-4620-8CD9-D03D863CB30A%7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006AACAF-869F-415B-B861-C6C6AA18809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abe285-28c2-4b4a-a8cd-631679229c94"/>
    <ds:schemaRef ds:uri="http://purl.org/dc/elements/1.1/"/>
    <ds:schemaRef ds:uri="http://schemas.microsoft.com/office/2006/metadata/properties"/>
    <ds:schemaRef ds:uri="4f810ac0-7940-4b47-8510-ccc18747f341"/>
    <ds:schemaRef ds:uri="http://www.w3.org/XML/1998/namespace"/>
    <ds:schemaRef ds:uri="http://purl.org/dc/dcmitype/"/>
  </ds:schemaRefs>
</ds:datastoreItem>
</file>

<file path=customXml/itemProps4.xml><?xml version="1.0" encoding="utf-8"?>
<ds:datastoreItem xmlns:ds="http://schemas.openxmlformats.org/officeDocument/2006/customXml" ds:itemID="{619E579E-72BE-48F7-A9E0-58045252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El-Dike, Minerva ME [NC]</dc:creator>
  <cp:keywords/>
  <dc:description/>
  <cp:lastModifiedBy>El Dike, Minerva ME [NC]</cp:lastModifiedBy>
  <cp:revision>2</cp:revision>
  <dcterms:created xsi:type="dcterms:W3CDTF">2020-08-12T18:44:00Z</dcterms:created>
  <dcterms:modified xsi:type="dcterms:W3CDTF">2020-08-12T18:44:00Z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