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7D5" w:rsidRDefault="003F07D5" w:rsidP="00B56F1A">
      <w:pPr>
        <w:ind w:left="-630"/>
      </w:pPr>
      <w:bookmarkStart w:id="0" w:name="_GoBack"/>
      <w:bookmarkEnd w:id="0"/>
    </w:p>
    <w:p w:rsidR="006953C1" w:rsidRDefault="006953C1" w:rsidP="00B56F1A">
      <w:pPr>
        <w:ind w:left="-630"/>
      </w:pPr>
    </w:p>
    <w:p w:rsidR="002D46DA" w:rsidRPr="00001E0D" w:rsidRDefault="002D46DA" w:rsidP="002D46DA">
      <w:pPr>
        <w:jc w:val="center"/>
        <w:rPr>
          <w:rFonts w:ascii="Arial" w:hAnsi="Arial" w:cs="Arial"/>
          <w:b/>
          <w:sz w:val="40"/>
          <w:szCs w:val="40"/>
          <w:lang w:val="fr-CA"/>
        </w:rPr>
      </w:pPr>
    </w:p>
    <w:p w:rsidR="003D5C02" w:rsidRDefault="003D5C02" w:rsidP="002D46DA">
      <w:pPr>
        <w:jc w:val="center"/>
        <w:rPr>
          <w:rFonts w:ascii="Arial" w:hAnsi="Arial" w:cs="Arial"/>
          <w:b/>
          <w:sz w:val="36"/>
          <w:szCs w:val="32"/>
          <w:lang w:val="fr-CA"/>
        </w:rPr>
      </w:pPr>
    </w:p>
    <w:p w:rsidR="003D5C02" w:rsidRDefault="003D5C02" w:rsidP="002D46DA">
      <w:pPr>
        <w:jc w:val="center"/>
        <w:rPr>
          <w:rFonts w:ascii="Arial" w:hAnsi="Arial" w:cs="Arial"/>
          <w:b/>
          <w:sz w:val="36"/>
          <w:szCs w:val="32"/>
          <w:lang w:val="fr-CA"/>
        </w:rPr>
      </w:pPr>
    </w:p>
    <w:p w:rsidR="003D5C02" w:rsidRDefault="003D5C02" w:rsidP="002D46DA">
      <w:pPr>
        <w:jc w:val="center"/>
        <w:rPr>
          <w:rFonts w:ascii="Arial" w:hAnsi="Arial" w:cs="Arial"/>
          <w:b/>
          <w:sz w:val="36"/>
          <w:szCs w:val="32"/>
          <w:lang w:val="fr-CA"/>
        </w:rPr>
      </w:pPr>
    </w:p>
    <w:p w:rsidR="003D5C02" w:rsidRDefault="003D5C02" w:rsidP="002D46DA">
      <w:pPr>
        <w:jc w:val="center"/>
        <w:rPr>
          <w:rFonts w:ascii="Arial" w:hAnsi="Arial" w:cs="Arial"/>
          <w:b/>
          <w:sz w:val="36"/>
          <w:szCs w:val="32"/>
          <w:lang w:val="fr-CA"/>
        </w:rPr>
      </w:pPr>
    </w:p>
    <w:p w:rsidR="003D5C02" w:rsidRDefault="003D5C02" w:rsidP="002D46DA">
      <w:pPr>
        <w:jc w:val="center"/>
        <w:rPr>
          <w:rFonts w:ascii="Arial" w:hAnsi="Arial" w:cs="Arial"/>
          <w:b/>
          <w:sz w:val="36"/>
          <w:szCs w:val="32"/>
          <w:lang w:val="fr-CA"/>
        </w:rPr>
      </w:pPr>
    </w:p>
    <w:p w:rsidR="003D5C02" w:rsidRDefault="003D5C02" w:rsidP="002D46DA">
      <w:pPr>
        <w:jc w:val="center"/>
        <w:rPr>
          <w:rFonts w:ascii="Arial" w:hAnsi="Arial" w:cs="Arial"/>
          <w:b/>
          <w:sz w:val="36"/>
          <w:szCs w:val="32"/>
          <w:lang w:val="fr-CA"/>
        </w:rPr>
      </w:pPr>
    </w:p>
    <w:p w:rsidR="002D46DA" w:rsidRPr="002039AC" w:rsidRDefault="002D46DA" w:rsidP="002D46DA">
      <w:pPr>
        <w:jc w:val="center"/>
        <w:rPr>
          <w:rFonts w:ascii="Arial" w:hAnsi="Arial" w:cs="Arial"/>
          <w:b/>
          <w:sz w:val="36"/>
          <w:szCs w:val="32"/>
          <w:lang w:val="fr-CA"/>
        </w:rPr>
      </w:pPr>
      <w:r w:rsidRPr="002039AC">
        <w:rPr>
          <w:rFonts w:ascii="Arial" w:hAnsi="Arial" w:cs="Arial"/>
          <w:b/>
          <w:sz w:val="36"/>
          <w:szCs w:val="32"/>
          <w:lang w:val="fr-CA"/>
        </w:rPr>
        <w:t xml:space="preserve">Emploi et Développement social Canada </w:t>
      </w:r>
    </w:p>
    <w:p w:rsidR="002D46DA" w:rsidRDefault="002D46DA" w:rsidP="002D46DA">
      <w:pPr>
        <w:jc w:val="center"/>
        <w:rPr>
          <w:rFonts w:ascii="Arial" w:hAnsi="Arial" w:cs="Arial"/>
          <w:b/>
          <w:sz w:val="40"/>
          <w:szCs w:val="40"/>
          <w:u w:val="single"/>
          <w:lang w:val="fr-CA"/>
        </w:rPr>
      </w:pPr>
    </w:p>
    <w:p w:rsidR="002D46DA" w:rsidRDefault="002D46DA" w:rsidP="002D46DA">
      <w:pPr>
        <w:jc w:val="center"/>
        <w:rPr>
          <w:rFonts w:ascii="Arial" w:hAnsi="Arial" w:cs="Arial"/>
          <w:b/>
          <w:sz w:val="40"/>
          <w:szCs w:val="40"/>
          <w:u w:val="single"/>
          <w:lang w:val="fr-CA"/>
        </w:rPr>
      </w:pPr>
    </w:p>
    <w:p w:rsidR="002D46DA" w:rsidRDefault="002D46DA" w:rsidP="002D46DA">
      <w:pPr>
        <w:jc w:val="center"/>
        <w:rPr>
          <w:rFonts w:ascii="Arial" w:hAnsi="Arial" w:cs="Arial"/>
          <w:b/>
          <w:sz w:val="40"/>
          <w:szCs w:val="40"/>
          <w:u w:val="single"/>
          <w:lang w:val="fr-CA"/>
        </w:rPr>
      </w:pPr>
    </w:p>
    <w:p w:rsidR="002D46DA" w:rsidRDefault="002D46DA" w:rsidP="002D46DA">
      <w:pPr>
        <w:jc w:val="center"/>
        <w:rPr>
          <w:rFonts w:ascii="Arial" w:hAnsi="Arial" w:cs="Arial"/>
          <w:b/>
          <w:sz w:val="40"/>
          <w:szCs w:val="40"/>
          <w:u w:val="single"/>
          <w:lang w:val="fr-CA"/>
        </w:rPr>
      </w:pPr>
    </w:p>
    <w:p w:rsidR="002D46DA" w:rsidRDefault="002D46DA" w:rsidP="002D46DA">
      <w:pPr>
        <w:jc w:val="center"/>
        <w:rPr>
          <w:rFonts w:ascii="Arial" w:hAnsi="Arial" w:cs="Arial"/>
          <w:b/>
          <w:sz w:val="40"/>
          <w:szCs w:val="40"/>
          <w:u w:val="single"/>
          <w:lang w:val="fr-CA"/>
        </w:rPr>
      </w:pPr>
    </w:p>
    <w:p w:rsidR="002D46DA" w:rsidRPr="002039AC" w:rsidRDefault="002D46DA" w:rsidP="002D46DA">
      <w:pPr>
        <w:jc w:val="center"/>
        <w:rPr>
          <w:rFonts w:ascii="Arial" w:hAnsi="Arial" w:cs="Arial"/>
          <w:b/>
          <w:sz w:val="40"/>
          <w:szCs w:val="40"/>
          <w:lang w:val="fr-CA"/>
        </w:rPr>
      </w:pPr>
      <w:r w:rsidRPr="002039AC">
        <w:rPr>
          <w:rFonts w:ascii="Arial" w:hAnsi="Arial" w:cs="Arial"/>
          <w:b/>
          <w:sz w:val="40"/>
          <w:szCs w:val="40"/>
          <w:lang w:val="fr-CA"/>
        </w:rPr>
        <w:t>Cadre de gestion financière (CGF)</w:t>
      </w:r>
      <w:r>
        <w:rPr>
          <w:rFonts w:ascii="Arial" w:hAnsi="Arial" w:cs="Arial"/>
          <w:b/>
          <w:sz w:val="40"/>
          <w:szCs w:val="40"/>
          <w:lang w:val="fr-CA"/>
        </w:rPr>
        <w:t xml:space="preserve"> – 2017-2018</w:t>
      </w:r>
    </w:p>
    <w:p w:rsidR="006953C1" w:rsidRDefault="006953C1" w:rsidP="00B56F1A">
      <w:pPr>
        <w:ind w:left="-630"/>
        <w:rPr>
          <w:lang w:val="fr-CA"/>
        </w:rPr>
      </w:pPr>
    </w:p>
    <w:p w:rsidR="002D46DA" w:rsidRDefault="002D46DA" w:rsidP="00B56F1A">
      <w:pPr>
        <w:ind w:left="-630"/>
        <w:rPr>
          <w:lang w:val="fr-CA"/>
        </w:rPr>
      </w:pPr>
    </w:p>
    <w:p w:rsidR="002D46DA" w:rsidRDefault="002D46DA" w:rsidP="00B56F1A">
      <w:pPr>
        <w:ind w:left="-630"/>
        <w:rPr>
          <w:lang w:val="fr-CA"/>
        </w:rPr>
      </w:pPr>
    </w:p>
    <w:p w:rsidR="002D46DA" w:rsidRDefault="002D46DA" w:rsidP="00B56F1A">
      <w:pPr>
        <w:ind w:left="-630"/>
        <w:rPr>
          <w:lang w:val="fr-CA"/>
        </w:rPr>
      </w:pPr>
    </w:p>
    <w:p w:rsidR="002D46DA" w:rsidRDefault="002D46DA" w:rsidP="00B56F1A">
      <w:pPr>
        <w:ind w:left="-630"/>
        <w:rPr>
          <w:lang w:val="fr-CA"/>
        </w:rPr>
      </w:pPr>
    </w:p>
    <w:p w:rsidR="002D46DA" w:rsidRDefault="002D46DA" w:rsidP="00B56F1A">
      <w:pPr>
        <w:ind w:left="-630"/>
        <w:rPr>
          <w:lang w:val="fr-CA"/>
        </w:rPr>
      </w:pPr>
    </w:p>
    <w:p w:rsidR="002D46DA" w:rsidRDefault="002D46DA" w:rsidP="00B56F1A">
      <w:pPr>
        <w:ind w:left="-630"/>
        <w:rPr>
          <w:lang w:val="fr-CA"/>
        </w:rPr>
      </w:pPr>
    </w:p>
    <w:p w:rsidR="002D46DA" w:rsidRDefault="002D46DA" w:rsidP="00B56F1A">
      <w:pPr>
        <w:ind w:left="-630"/>
        <w:rPr>
          <w:lang w:val="fr-CA"/>
        </w:rPr>
      </w:pPr>
    </w:p>
    <w:p w:rsidR="002D46DA" w:rsidRDefault="002D46DA" w:rsidP="00B56F1A">
      <w:pPr>
        <w:ind w:left="-630"/>
        <w:rPr>
          <w:lang w:val="fr-CA"/>
        </w:rPr>
      </w:pPr>
    </w:p>
    <w:p w:rsidR="002D46DA" w:rsidRDefault="002D46DA" w:rsidP="00B56F1A">
      <w:pPr>
        <w:ind w:left="-630"/>
        <w:rPr>
          <w:lang w:val="fr-CA"/>
        </w:rPr>
      </w:pPr>
    </w:p>
    <w:p w:rsidR="002D46DA" w:rsidRDefault="002D46DA" w:rsidP="00B56F1A">
      <w:pPr>
        <w:ind w:left="-630"/>
        <w:rPr>
          <w:lang w:val="fr-CA"/>
        </w:rPr>
      </w:pPr>
    </w:p>
    <w:p w:rsidR="002D46DA" w:rsidRDefault="002D46DA" w:rsidP="00B56F1A">
      <w:pPr>
        <w:ind w:left="-630"/>
        <w:rPr>
          <w:lang w:val="fr-CA"/>
        </w:rPr>
      </w:pPr>
    </w:p>
    <w:p w:rsidR="002D46DA" w:rsidRDefault="002D46DA" w:rsidP="00B56F1A">
      <w:pPr>
        <w:ind w:left="-630"/>
        <w:rPr>
          <w:lang w:val="fr-CA"/>
        </w:rPr>
      </w:pPr>
    </w:p>
    <w:p w:rsidR="002D46DA" w:rsidRDefault="002D46DA" w:rsidP="00B56F1A">
      <w:pPr>
        <w:ind w:left="-630"/>
        <w:rPr>
          <w:lang w:val="fr-CA"/>
        </w:rPr>
      </w:pPr>
    </w:p>
    <w:p w:rsidR="002D46DA" w:rsidRDefault="002D46DA" w:rsidP="00B56F1A">
      <w:pPr>
        <w:ind w:left="-630"/>
        <w:rPr>
          <w:lang w:val="fr-CA"/>
        </w:rPr>
      </w:pPr>
    </w:p>
    <w:p w:rsidR="002D46DA" w:rsidRDefault="002D46DA" w:rsidP="00B56F1A">
      <w:pPr>
        <w:ind w:left="-630"/>
        <w:rPr>
          <w:lang w:val="fr-CA"/>
        </w:rPr>
      </w:pPr>
    </w:p>
    <w:p w:rsidR="002D46DA" w:rsidRDefault="002D46DA" w:rsidP="00B56F1A">
      <w:pPr>
        <w:ind w:left="-630"/>
        <w:rPr>
          <w:lang w:val="fr-CA"/>
        </w:rPr>
      </w:pPr>
    </w:p>
    <w:p w:rsidR="003D5C02" w:rsidRDefault="003D5C02" w:rsidP="00B56F1A">
      <w:pPr>
        <w:ind w:left="-630"/>
        <w:rPr>
          <w:lang w:val="fr-CA"/>
        </w:rPr>
      </w:pPr>
    </w:p>
    <w:p w:rsidR="002D46DA" w:rsidRDefault="002D46DA" w:rsidP="00B56F1A">
      <w:pPr>
        <w:ind w:left="-630"/>
        <w:rPr>
          <w:lang w:val="fr-CA"/>
        </w:rPr>
      </w:pPr>
    </w:p>
    <w:p w:rsidR="002D46DA" w:rsidRDefault="002D46DA" w:rsidP="00B56F1A">
      <w:pPr>
        <w:ind w:left="-630"/>
        <w:rPr>
          <w:lang w:val="fr-CA"/>
        </w:rPr>
      </w:pPr>
    </w:p>
    <w:p w:rsidR="002D46DA" w:rsidRDefault="002D46DA" w:rsidP="00B56F1A">
      <w:pPr>
        <w:ind w:left="-630"/>
        <w:rPr>
          <w:lang w:val="fr-CA"/>
        </w:rPr>
      </w:pPr>
    </w:p>
    <w:p w:rsidR="002D46DA" w:rsidRDefault="002D46DA" w:rsidP="002D46DA">
      <w:pPr>
        <w:rPr>
          <w:lang w:val="fr-CA"/>
        </w:rPr>
      </w:pPr>
    </w:p>
    <w:p w:rsidR="002D46DA" w:rsidRPr="00001E0D" w:rsidRDefault="002D46DA" w:rsidP="002D46DA">
      <w:pPr>
        <w:rPr>
          <w:rFonts w:ascii="Arial" w:hAnsi="Arial" w:cs="Arial"/>
          <w:b/>
          <w:lang w:val="fr-CA"/>
        </w:rPr>
      </w:pPr>
      <w:r w:rsidRPr="00001E0D">
        <w:rPr>
          <w:rFonts w:ascii="Arial" w:hAnsi="Arial" w:cs="Arial"/>
          <w:b/>
          <w:lang w:val="fr-CA"/>
        </w:rPr>
        <w:lastRenderedPageBreak/>
        <w:t xml:space="preserve">TABLE </w:t>
      </w:r>
      <w:r>
        <w:rPr>
          <w:rFonts w:ascii="Arial" w:hAnsi="Arial" w:cs="Arial"/>
          <w:b/>
          <w:lang w:val="fr-CA"/>
        </w:rPr>
        <w:t>DES MATIÈRES</w:t>
      </w:r>
    </w:p>
    <w:p w:rsidR="002D46DA" w:rsidRPr="00001E0D" w:rsidRDefault="002D46DA" w:rsidP="002D46DA">
      <w:pPr>
        <w:rPr>
          <w:rFonts w:ascii="Arial" w:hAnsi="Arial" w:cs="Arial"/>
          <w:sz w:val="20"/>
          <w:szCs w:val="20"/>
          <w:lang w:val="fr-CA"/>
        </w:rPr>
      </w:pPr>
    </w:p>
    <w:p w:rsidR="002D46DA" w:rsidRDefault="002D46DA" w:rsidP="002D46DA">
      <w:pPr>
        <w:pStyle w:val="TOC1"/>
        <w:tabs>
          <w:tab w:val="right" w:leader="dot" w:pos="9962"/>
        </w:tabs>
        <w:rPr>
          <w:rFonts w:asciiTheme="minorHAnsi" w:eastAsiaTheme="minorEastAsia" w:hAnsiTheme="minorHAnsi" w:cstheme="minorBidi"/>
          <w:noProof/>
          <w:sz w:val="22"/>
          <w:szCs w:val="22"/>
        </w:rPr>
      </w:pPr>
      <w:r w:rsidRPr="00001E0D">
        <w:rPr>
          <w:rStyle w:val="Hyperlink"/>
          <w:noProof/>
          <w:lang w:val="fr-CA"/>
        </w:rPr>
        <w:fldChar w:fldCharType="begin"/>
      </w:r>
      <w:r w:rsidRPr="00001E0D">
        <w:rPr>
          <w:rStyle w:val="Hyperlink"/>
          <w:noProof/>
          <w:lang w:val="fr-CA"/>
        </w:rPr>
        <w:instrText xml:space="preserve"> TOC \o "1-4" \h \z \u </w:instrText>
      </w:r>
      <w:r w:rsidRPr="00001E0D">
        <w:rPr>
          <w:rStyle w:val="Hyperlink"/>
          <w:noProof/>
          <w:lang w:val="fr-CA"/>
        </w:rPr>
        <w:fldChar w:fldCharType="separate"/>
      </w:r>
      <w:hyperlink w:anchor="_Toc485812684" w:history="1">
        <w:r w:rsidRPr="004571A7">
          <w:rPr>
            <w:rStyle w:val="Hyperlink"/>
            <w:noProof/>
            <w:lang w:val="fr-CA"/>
          </w:rPr>
          <w:t>AVANT-PROPOS</w:t>
        </w:r>
        <w:r>
          <w:rPr>
            <w:noProof/>
            <w:webHidden/>
          </w:rPr>
          <w:tab/>
        </w:r>
        <w:r>
          <w:rPr>
            <w:noProof/>
            <w:webHidden/>
          </w:rPr>
          <w:fldChar w:fldCharType="begin"/>
        </w:r>
        <w:r>
          <w:rPr>
            <w:noProof/>
            <w:webHidden/>
          </w:rPr>
          <w:instrText xml:space="preserve"> PAGEREF _Toc485812684 \h </w:instrText>
        </w:r>
        <w:r>
          <w:rPr>
            <w:noProof/>
            <w:webHidden/>
          </w:rPr>
        </w:r>
        <w:r>
          <w:rPr>
            <w:noProof/>
            <w:webHidden/>
          </w:rPr>
          <w:fldChar w:fldCharType="separate"/>
        </w:r>
        <w:r w:rsidR="00E44CDA">
          <w:rPr>
            <w:noProof/>
            <w:webHidden/>
          </w:rPr>
          <w:t>4</w:t>
        </w:r>
        <w:r>
          <w:rPr>
            <w:noProof/>
            <w:webHidden/>
          </w:rPr>
          <w:fldChar w:fldCharType="end"/>
        </w:r>
      </w:hyperlink>
    </w:p>
    <w:p w:rsidR="002D46DA" w:rsidRDefault="0041316D" w:rsidP="002D46DA">
      <w:pPr>
        <w:pStyle w:val="TOC1"/>
        <w:tabs>
          <w:tab w:val="right" w:leader="dot" w:pos="9962"/>
        </w:tabs>
        <w:rPr>
          <w:rFonts w:asciiTheme="minorHAnsi" w:eastAsiaTheme="minorEastAsia" w:hAnsiTheme="minorHAnsi" w:cstheme="minorBidi"/>
          <w:noProof/>
          <w:sz w:val="22"/>
          <w:szCs w:val="22"/>
        </w:rPr>
      </w:pPr>
      <w:hyperlink w:anchor="_Toc485812685" w:history="1">
        <w:r w:rsidR="002D46DA" w:rsidRPr="004571A7">
          <w:rPr>
            <w:rStyle w:val="Hyperlink"/>
            <w:noProof/>
            <w:lang w:val="fr-CA"/>
          </w:rPr>
          <w:t>1. ACQUISITION DES RESSOURCES</w:t>
        </w:r>
        <w:r w:rsidR="002D46DA">
          <w:rPr>
            <w:noProof/>
            <w:webHidden/>
          </w:rPr>
          <w:tab/>
        </w:r>
        <w:r w:rsidR="002D46DA">
          <w:rPr>
            <w:noProof/>
            <w:webHidden/>
          </w:rPr>
          <w:fldChar w:fldCharType="begin"/>
        </w:r>
        <w:r w:rsidR="002D46DA">
          <w:rPr>
            <w:noProof/>
            <w:webHidden/>
          </w:rPr>
          <w:instrText xml:space="preserve"> PAGEREF _Toc485812685 \h </w:instrText>
        </w:r>
        <w:r w:rsidR="002D46DA">
          <w:rPr>
            <w:noProof/>
            <w:webHidden/>
          </w:rPr>
        </w:r>
        <w:r w:rsidR="002D46DA">
          <w:rPr>
            <w:noProof/>
            <w:webHidden/>
          </w:rPr>
          <w:fldChar w:fldCharType="separate"/>
        </w:r>
        <w:r w:rsidR="00E44CDA">
          <w:rPr>
            <w:noProof/>
            <w:webHidden/>
          </w:rPr>
          <w:t>6</w:t>
        </w:r>
        <w:r w:rsidR="002D46DA">
          <w:rPr>
            <w:noProof/>
            <w:webHidden/>
          </w:rPr>
          <w:fldChar w:fldCharType="end"/>
        </w:r>
      </w:hyperlink>
    </w:p>
    <w:p w:rsidR="002D46DA" w:rsidRDefault="0041316D" w:rsidP="002D46DA">
      <w:pPr>
        <w:pStyle w:val="TOC2"/>
        <w:rPr>
          <w:rFonts w:asciiTheme="minorHAnsi" w:eastAsiaTheme="minorEastAsia" w:hAnsiTheme="minorHAnsi" w:cstheme="minorBidi"/>
          <w:noProof/>
          <w:szCs w:val="22"/>
        </w:rPr>
      </w:pPr>
      <w:hyperlink w:anchor="_Toc485812686" w:history="1">
        <w:r w:rsidR="002D46DA" w:rsidRPr="004571A7">
          <w:rPr>
            <w:rStyle w:val="Hyperlink"/>
            <w:noProof/>
            <w:lang w:val="fr-CA"/>
          </w:rPr>
          <w:t>1.1. SYSTÈME DE GESTION DES DÉPENSES (SGD)</w:t>
        </w:r>
        <w:r w:rsidR="002D46DA">
          <w:rPr>
            <w:noProof/>
            <w:webHidden/>
          </w:rPr>
          <w:tab/>
        </w:r>
        <w:r w:rsidR="002D46DA">
          <w:rPr>
            <w:noProof/>
            <w:webHidden/>
          </w:rPr>
          <w:fldChar w:fldCharType="begin"/>
        </w:r>
        <w:r w:rsidR="002D46DA">
          <w:rPr>
            <w:noProof/>
            <w:webHidden/>
          </w:rPr>
          <w:instrText xml:space="preserve"> PAGEREF _Toc485812686 \h </w:instrText>
        </w:r>
        <w:r w:rsidR="002D46DA">
          <w:rPr>
            <w:noProof/>
            <w:webHidden/>
          </w:rPr>
        </w:r>
        <w:r w:rsidR="002D46DA">
          <w:rPr>
            <w:noProof/>
            <w:webHidden/>
          </w:rPr>
          <w:fldChar w:fldCharType="separate"/>
        </w:r>
        <w:r w:rsidR="00E44CDA">
          <w:rPr>
            <w:noProof/>
            <w:webHidden/>
          </w:rPr>
          <w:t>6</w:t>
        </w:r>
        <w:r w:rsidR="002D46DA">
          <w:rPr>
            <w:noProof/>
            <w:webHidden/>
          </w:rPr>
          <w:fldChar w:fldCharType="end"/>
        </w:r>
      </w:hyperlink>
    </w:p>
    <w:p w:rsidR="002D46DA" w:rsidRDefault="0041316D" w:rsidP="002D46DA">
      <w:pPr>
        <w:pStyle w:val="TOC3"/>
        <w:tabs>
          <w:tab w:val="right" w:leader="dot" w:pos="9962"/>
        </w:tabs>
        <w:rPr>
          <w:rFonts w:asciiTheme="minorHAnsi" w:eastAsiaTheme="minorEastAsia" w:hAnsiTheme="minorHAnsi" w:cstheme="minorBidi"/>
          <w:noProof/>
          <w:sz w:val="22"/>
          <w:szCs w:val="22"/>
        </w:rPr>
      </w:pPr>
      <w:hyperlink w:anchor="_Toc485812687" w:history="1">
        <w:r w:rsidR="002D46DA" w:rsidRPr="004571A7">
          <w:rPr>
            <w:rStyle w:val="Hyperlink"/>
            <w:noProof/>
            <w:lang w:val="fr-CA"/>
          </w:rPr>
          <w:t>1.1.1. Vue d’ensemble</w:t>
        </w:r>
        <w:r w:rsidR="002D46DA">
          <w:rPr>
            <w:noProof/>
            <w:webHidden/>
          </w:rPr>
          <w:tab/>
        </w:r>
        <w:r w:rsidR="002D46DA">
          <w:rPr>
            <w:noProof/>
            <w:webHidden/>
          </w:rPr>
          <w:fldChar w:fldCharType="begin"/>
        </w:r>
        <w:r w:rsidR="002D46DA">
          <w:rPr>
            <w:noProof/>
            <w:webHidden/>
          </w:rPr>
          <w:instrText xml:space="preserve"> PAGEREF _Toc485812687 \h </w:instrText>
        </w:r>
        <w:r w:rsidR="002D46DA">
          <w:rPr>
            <w:noProof/>
            <w:webHidden/>
          </w:rPr>
        </w:r>
        <w:r w:rsidR="002D46DA">
          <w:rPr>
            <w:noProof/>
            <w:webHidden/>
          </w:rPr>
          <w:fldChar w:fldCharType="separate"/>
        </w:r>
        <w:r w:rsidR="00E44CDA">
          <w:rPr>
            <w:noProof/>
            <w:webHidden/>
          </w:rPr>
          <w:t>6</w:t>
        </w:r>
        <w:r w:rsidR="002D46DA">
          <w:rPr>
            <w:noProof/>
            <w:webHidden/>
          </w:rPr>
          <w:fldChar w:fldCharType="end"/>
        </w:r>
      </w:hyperlink>
    </w:p>
    <w:p w:rsidR="002D46DA" w:rsidRDefault="0041316D" w:rsidP="002D46DA">
      <w:pPr>
        <w:pStyle w:val="TOC3"/>
        <w:tabs>
          <w:tab w:val="right" w:leader="dot" w:pos="9962"/>
        </w:tabs>
        <w:rPr>
          <w:rFonts w:asciiTheme="minorHAnsi" w:eastAsiaTheme="minorEastAsia" w:hAnsiTheme="minorHAnsi" w:cstheme="minorBidi"/>
          <w:noProof/>
          <w:sz w:val="22"/>
          <w:szCs w:val="22"/>
        </w:rPr>
      </w:pPr>
      <w:hyperlink w:anchor="_Toc485812688" w:history="1">
        <w:r w:rsidR="002D46DA" w:rsidRPr="004571A7">
          <w:rPr>
            <w:rStyle w:val="Hyperlink"/>
            <w:noProof/>
            <w:lang w:val="fr-CA"/>
          </w:rPr>
          <w:t>1.1.2. Politique sur les résultats</w:t>
        </w:r>
        <w:r w:rsidR="002D46DA">
          <w:rPr>
            <w:noProof/>
            <w:webHidden/>
          </w:rPr>
          <w:tab/>
        </w:r>
        <w:r w:rsidR="002D46DA">
          <w:rPr>
            <w:noProof/>
            <w:webHidden/>
          </w:rPr>
          <w:fldChar w:fldCharType="begin"/>
        </w:r>
        <w:r w:rsidR="002D46DA">
          <w:rPr>
            <w:noProof/>
            <w:webHidden/>
          </w:rPr>
          <w:instrText xml:space="preserve"> PAGEREF _Toc485812688 \h </w:instrText>
        </w:r>
        <w:r w:rsidR="002D46DA">
          <w:rPr>
            <w:noProof/>
            <w:webHidden/>
          </w:rPr>
        </w:r>
        <w:r w:rsidR="002D46DA">
          <w:rPr>
            <w:noProof/>
            <w:webHidden/>
          </w:rPr>
          <w:fldChar w:fldCharType="separate"/>
        </w:r>
        <w:r w:rsidR="00E44CDA">
          <w:rPr>
            <w:noProof/>
            <w:webHidden/>
          </w:rPr>
          <w:t>6</w:t>
        </w:r>
        <w:r w:rsidR="002D46DA">
          <w:rPr>
            <w:noProof/>
            <w:webHidden/>
          </w:rPr>
          <w:fldChar w:fldCharType="end"/>
        </w:r>
      </w:hyperlink>
    </w:p>
    <w:p w:rsidR="002D46DA" w:rsidRDefault="0041316D" w:rsidP="002D46DA">
      <w:pPr>
        <w:pStyle w:val="TOC3"/>
        <w:tabs>
          <w:tab w:val="right" w:leader="dot" w:pos="9962"/>
        </w:tabs>
        <w:rPr>
          <w:rFonts w:asciiTheme="minorHAnsi" w:eastAsiaTheme="minorEastAsia" w:hAnsiTheme="minorHAnsi" w:cstheme="minorBidi"/>
          <w:noProof/>
          <w:sz w:val="22"/>
          <w:szCs w:val="22"/>
        </w:rPr>
      </w:pPr>
      <w:hyperlink w:anchor="_Toc485812689" w:history="1">
        <w:r w:rsidR="002D46DA" w:rsidRPr="004571A7">
          <w:rPr>
            <w:rStyle w:val="Hyperlink"/>
            <w:noProof/>
            <w:lang w:val="fr-CA"/>
          </w:rPr>
          <w:t>1.1.3. Cadre ministériels des résultats (CMR)</w:t>
        </w:r>
        <w:r w:rsidR="002D46DA">
          <w:rPr>
            <w:noProof/>
            <w:webHidden/>
          </w:rPr>
          <w:tab/>
        </w:r>
        <w:r w:rsidR="002D46DA">
          <w:rPr>
            <w:noProof/>
            <w:webHidden/>
          </w:rPr>
          <w:fldChar w:fldCharType="begin"/>
        </w:r>
        <w:r w:rsidR="002D46DA">
          <w:rPr>
            <w:noProof/>
            <w:webHidden/>
          </w:rPr>
          <w:instrText xml:space="preserve"> PAGEREF _Toc485812689 \h </w:instrText>
        </w:r>
        <w:r w:rsidR="002D46DA">
          <w:rPr>
            <w:noProof/>
            <w:webHidden/>
          </w:rPr>
        </w:r>
        <w:r w:rsidR="002D46DA">
          <w:rPr>
            <w:noProof/>
            <w:webHidden/>
          </w:rPr>
          <w:fldChar w:fldCharType="separate"/>
        </w:r>
        <w:r w:rsidR="00E44CDA">
          <w:rPr>
            <w:noProof/>
            <w:webHidden/>
          </w:rPr>
          <w:t>7</w:t>
        </w:r>
        <w:r w:rsidR="002D46DA">
          <w:rPr>
            <w:noProof/>
            <w:webHidden/>
          </w:rPr>
          <w:fldChar w:fldCharType="end"/>
        </w:r>
      </w:hyperlink>
    </w:p>
    <w:p w:rsidR="002D46DA" w:rsidRDefault="0041316D" w:rsidP="002D46DA">
      <w:pPr>
        <w:pStyle w:val="TOC4"/>
        <w:tabs>
          <w:tab w:val="right" w:leader="dot" w:pos="9962"/>
        </w:tabs>
        <w:rPr>
          <w:rFonts w:asciiTheme="minorHAnsi" w:eastAsiaTheme="minorEastAsia" w:hAnsiTheme="minorHAnsi" w:cstheme="minorBidi"/>
          <w:noProof/>
          <w:sz w:val="22"/>
          <w:szCs w:val="22"/>
        </w:rPr>
      </w:pPr>
      <w:hyperlink w:anchor="_Toc485812690" w:history="1">
        <w:r w:rsidR="002D46DA" w:rsidRPr="004571A7">
          <w:rPr>
            <w:rStyle w:val="Hyperlink"/>
            <w:noProof/>
            <w:lang w:val="fr-CA"/>
          </w:rPr>
          <w:t>1.1.3.1 Alignement d’Architecture de Programme (AAP)</w:t>
        </w:r>
        <w:r w:rsidR="002D46DA">
          <w:rPr>
            <w:noProof/>
            <w:webHidden/>
          </w:rPr>
          <w:tab/>
        </w:r>
        <w:r w:rsidR="002D46DA">
          <w:rPr>
            <w:noProof/>
            <w:webHidden/>
          </w:rPr>
          <w:fldChar w:fldCharType="begin"/>
        </w:r>
        <w:r w:rsidR="002D46DA">
          <w:rPr>
            <w:noProof/>
            <w:webHidden/>
          </w:rPr>
          <w:instrText xml:space="preserve"> PAGEREF _Toc485812690 \h </w:instrText>
        </w:r>
        <w:r w:rsidR="002D46DA">
          <w:rPr>
            <w:noProof/>
            <w:webHidden/>
          </w:rPr>
        </w:r>
        <w:r w:rsidR="002D46DA">
          <w:rPr>
            <w:noProof/>
            <w:webHidden/>
          </w:rPr>
          <w:fldChar w:fldCharType="separate"/>
        </w:r>
        <w:r w:rsidR="00E44CDA">
          <w:rPr>
            <w:noProof/>
            <w:webHidden/>
          </w:rPr>
          <w:t>7</w:t>
        </w:r>
        <w:r w:rsidR="002D46DA">
          <w:rPr>
            <w:noProof/>
            <w:webHidden/>
          </w:rPr>
          <w:fldChar w:fldCharType="end"/>
        </w:r>
      </w:hyperlink>
    </w:p>
    <w:p w:rsidR="002D46DA" w:rsidRDefault="0041316D" w:rsidP="002D46DA">
      <w:pPr>
        <w:pStyle w:val="TOC3"/>
        <w:tabs>
          <w:tab w:val="right" w:leader="dot" w:pos="9962"/>
        </w:tabs>
        <w:rPr>
          <w:rFonts w:asciiTheme="minorHAnsi" w:eastAsiaTheme="minorEastAsia" w:hAnsiTheme="minorHAnsi" w:cstheme="minorBidi"/>
          <w:noProof/>
          <w:sz w:val="22"/>
          <w:szCs w:val="22"/>
        </w:rPr>
      </w:pPr>
      <w:hyperlink w:anchor="_Toc485812691" w:history="1">
        <w:r w:rsidR="002D46DA" w:rsidRPr="004571A7">
          <w:rPr>
            <w:rStyle w:val="Hyperlink"/>
            <w:noProof/>
            <w:lang w:val="fr-CA"/>
          </w:rPr>
          <w:t>1.1.4. Niveaux de référence et mise à jour annuelle des niveaux de référence (MJANR)</w:t>
        </w:r>
        <w:r w:rsidR="002D46DA">
          <w:rPr>
            <w:noProof/>
            <w:webHidden/>
          </w:rPr>
          <w:tab/>
        </w:r>
        <w:r w:rsidR="002D46DA">
          <w:rPr>
            <w:noProof/>
            <w:webHidden/>
          </w:rPr>
          <w:fldChar w:fldCharType="begin"/>
        </w:r>
        <w:r w:rsidR="002D46DA">
          <w:rPr>
            <w:noProof/>
            <w:webHidden/>
          </w:rPr>
          <w:instrText xml:space="preserve"> PAGEREF _Toc485812691 \h </w:instrText>
        </w:r>
        <w:r w:rsidR="002D46DA">
          <w:rPr>
            <w:noProof/>
            <w:webHidden/>
          </w:rPr>
        </w:r>
        <w:r w:rsidR="002D46DA">
          <w:rPr>
            <w:noProof/>
            <w:webHidden/>
          </w:rPr>
          <w:fldChar w:fldCharType="separate"/>
        </w:r>
        <w:r w:rsidR="00E44CDA">
          <w:rPr>
            <w:noProof/>
            <w:webHidden/>
          </w:rPr>
          <w:t>7</w:t>
        </w:r>
        <w:r w:rsidR="002D46DA">
          <w:rPr>
            <w:noProof/>
            <w:webHidden/>
          </w:rPr>
          <w:fldChar w:fldCharType="end"/>
        </w:r>
      </w:hyperlink>
    </w:p>
    <w:p w:rsidR="002D46DA" w:rsidRDefault="0041316D" w:rsidP="002D46DA">
      <w:pPr>
        <w:pStyle w:val="TOC3"/>
        <w:tabs>
          <w:tab w:val="right" w:leader="dot" w:pos="9962"/>
        </w:tabs>
        <w:rPr>
          <w:rFonts w:asciiTheme="minorHAnsi" w:eastAsiaTheme="minorEastAsia" w:hAnsiTheme="minorHAnsi" w:cstheme="minorBidi"/>
          <w:noProof/>
          <w:sz w:val="22"/>
          <w:szCs w:val="22"/>
        </w:rPr>
      </w:pPr>
      <w:hyperlink w:anchor="_Toc485812692" w:history="1">
        <w:r w:rsidR="002D46DA" w:rsidRPr="004571A7">
          <w:rPr>
            <w:rStyle w:val="Hyperlink"/>
            <w:noProof/>
            <w:lang w:val="fr-CA"/>
          </w:rPr>
          <w:t>1.1.5. Mémoire au Cabinet (MC)</w:t>
        </w:r>
        <w:r w:rsidR="002D46DA">
          <w:rPr>
            <w:noProof/>
            <w:webHidden/>
          </w:rPr>
          <w:tab/>
        </w:r>
        <w:r w:rsidR="002D46DA">
          <w:rPr>
            <w:noProof/>
            <w:webHidden/>
          </w:rPr>
          <w:fldChar w:fldCharType="begin"/>
        </w:r>
        <w:r w:rsidR="002D46DA">
          <w:rPr>
            <w:noProof/>
            <w:webHidden/>
          </w:rPr>
          <w:instrText xml:space="preserve"> PAGEREF _Toc485812692 \h </w:instrText>
        </w:r>
        <w:r w:rsidR="002D46DA">
          <w:rPr>
            <w:noProof/>
            <w:webHidden/>
          </w:rPr>
        </w:r>
        <w:r w:rsidR="002D46DA">
          <w:rPr>
            <w:noProof/>
            <w:webHidden/>
          </w:rPr>
          <w:fldChar w:fldCharType="separate"/>
        </w:r>
        <w:r w:rsidR="00E44CDA">
          <w:rPr>
            <w:noProof/>
            <w:webHidden/>
          </w:rPr>
          <w:t>7</w:t>
        </w:r>
        <w:r w:rsidR="002D46DA">
          <w:rPr>
            <w:noProof/>
            <w:webHidden/>
          </w:rPr>
          <w:fldChar w:fldCharType="end"/>
        </w:r>
      </w:hyperlink>
    </w:p>
    <w:p w:rsidR="002D46DA" w:rsidRDefault="0041316D" w:rsidP="002D46DA">
      <w:pPr>
        <w:pStyle w:val="TOC3"/>
        <w:tabs>
          <w:tab w:val="right" w:leader="dot" w:pos="9962"/>
        </w:tabs>
        <w:rPr>
          <w:rFonts w:asciiTheme="minorHAnsi" w:eastAsiaTheme="minorEastAsia" w:hAnsiTheme="minorHAnsi" w:cstheme="minorBidi"/>
          <w:noProof/>
          <w:sz w:val="22"/>
          <w:szCs w:val="22"/>
        </w:rPr>
      </w:pPr>
      <w:hyperlink w:anchor="_Toc485812693" w:history="1">
        <w:r w:rsidR="002D46DA" w:rsidRPr="004571A7">
          <w:rPr>
            <w:rStyle w:val="Hyperlink"/>
            <w:noProof/>
            <w:lang w:val="fr-CA"/>
          </w:rPr>
          <w:t>1.1.6. Présentations au Conseil du Trésor (CT)</w:t>
        </w:r>
        <w:r w:rsidR="002D46DA">
          <w:rPr>
            <w:noProof/>
            <w:webHidden/>
          </w:rPr>
          <w:tab/>
        </w:r>
        <w:r w:rsidR="002D46DA">
          <w:rPr>
            <w:noProof/>
            <w:webHidden/>
          </w:rPr>
          <w:fldChar w:fldCharType="begin"/>
        </w:r>
        <w:r w:rsidR="002D46DA">
          <w:rPr>
            <w:noProof/>
            <w:webHidden/>
          </w:rPr>
          <w:instrText xml:space="preserve"> PAGEREF _Toc485812693 \h </w:instrText>
        </w:r>
        <w:r w:rsidR="002D46DA">
          <w:rPr>
            <w:noProof/>
            <w:webHidden/>
          </w:rPr>
        </w:r>
        <w:r w:rsidR="002D46DA">
          <w:rPr>
            <w:noProof/>
            <w:webHidden/>
          </w:rPr>
          <w:fldChar w:fldCharType="separate"/>
        </w:r>
        <w:r w:rsidR="00E44CDA">
          <w:rPr>
            <w:noProof/>
            <w:webHidden/>
          </w:rPr>
          <w:t>8</w:t>
        </w:r>
        <w:r w:rsidR="002D46DA">
          <w:rPr>
            <w:noProof/>
            <w:webHidden/>
          </w:rPr>
          <w:fldChar w:fldCharType="end"/>
        </w:r>
      </w:hyperlink>
    </w:p>
    <w:p w:rsidR="002D46DA" w:rsidRDefault="0041316D" w:rsidP="002D46DA">
      <w:pPr>
        <w:pStyle w:val="TOC4"/>
        <w:tabs>
          <w:tab w:val="left" w:pos="2272"/>
          <w:tab w:val="right" w:leader="dot" w:pos="9962"/>
        </w:tabs>
        <w:rPr>
          <w:rFonts w:asciiTheme="minorHAnsi" w:eastAsiaTheme="minorEastAsia" w:hAnsiTheme="minorHAnsi" w:cstheme="minorBidi"/>
          <w:noProof/>
          <w:sz w:val="22"/>
          <w:szCs w:val="22"/>
        </w:rPr>
      </w:pPr>
      <w:hyperlink w:anchor="_Toc485812694" w:history="1">
        <w:r w:rsidR="002D46DA" w:rsidRPr="004571A7">
          <w:rPr>
            <w:rStyle w:val="Hyperlink"/>
            <w:noProof/>
            <w:lang w:val="fr-CA"/>
          </w:rPr>
          <w:t>1.1.6.1</w:t>
        </w:r>
        <w:r w:rsidR="002D46DA">
          <w:rPr>
            <w:rFonts w:asciiTheme="minorHAnsi" w:eastAsiaTheme="minorEastAsia" w:hAnsiTheme="minorHAnsi" w:cstheme="minorBidi"/>
            <w:noProof/>
            <w:sz w:val="22"/>
            <w:szCs w:val="22"/>
          </w:rPr>
          <w:tab/>
        </w:r>
        <w:r w:rsidR="002D46DA" w:rsidRPr="004571A7">
          <w:rPr>
            <w:rStyle w:val="Hyperlink"/>
            <w:noProof/>
            <w:lang w:val="fr-CA"/>
          </w:rPr>
          <w:t>L’instrument pour autorisations financières et l’instrument pour autorisations mineures</w:t>
        </w:r>
        <w:r w:rsidR="002D46DA">
          <w:rPr>
            <w:noProof/>
            <w:webHidden/>
          </w:rPr>
          <w:tab/>
        </w:r>
        <w:r w:rsidR="002D46DA">
          <w:rPr>
            <w:noProof/>
            <w:webHidden/>
          </w:rPr>
          <w:fldChar w:fldCharType="begin"/>
        </w:r>
        <w:r w:rsidR="002D46DA">
          <w:rPr>
            <w:noProof/>
            <w:webHidden/>
          </w:rPr>
          <w:instrText xml:space="preserve"> PAGEREF _Toc485812694 \h </w:instrText>
        </w:r>
        <w:r w:rsidR="002D46DA">
          <w:rPr>
            <w:noProof/>
            <w:webHidden/>
          </w:rPr>
        </w:r>
        <w:r w:rsidR="002D46DA">
          <w:rPr>
            <w:noProof/>
            <w:webHidden/>
          </w:rPr>
          <w:fldChar w:fldCharType="separate"/>
        </w:r>
        <w:r w:rsidR="00E44CDA">
          <w:rPr>
            <w:noProof/>
            <w:webHidden/>
          </w:rPr>
          <w:t>8</w:t>
        </w:r>
        <w:r w:rsidR="002D46DA">
          <w:rPr>
            <w:noProof/>
            <w:webHidden/>
          </w:rPr>
          <w:fldChar w:fldCharType="end"/>
        </w:r>
      </w:hyperlink>
    </w:p>
    <w:p w:rsidR="002D46DA" w:rsidRDefault="0041316D" w:rsidP="002D46DA">
      <w:pPr>
        <w:pStyle w:val="TOC3"/>
        <w:tabs>
          <w:tab w:val="right" w:leader="dot" w:pos="9962"/>
        </w:tabs>
        <w:rPr>
          <w:rFonts w:asciiTheme="minorHAnsi" w:eastAsiaTheme="minorEastAsia" w:hAnsiTheme="minorHAnsi" w:cstheme="minorBidi"/>
          <w:noProof/>
          <w:sz w:val="22"/>
          <w:szCs w:val="22"/>
        </w:rPr>
      </w:pPr>
      <w:hyperlink w:anchor="_Toc485812695" w:history="1">
        <w:r w:rsidR="002D46DA" w:rsidRPr="004571A7">
          <w:rPr>
            <w:rStyle w:val="Hyperlink"/>
            <w:noProof/>
            <w:lang w:val="fr-CA"/>
          </w:rPr>
          <w:t>1.1.7. Budget des dépenses</w:t>
        </w:r>
        <w:r w:rsidR="002D46DA">
          <w:rPr>
            <w:noProof/>
            <w:webHidden/>
          </w:rPr>
          <w:tab/>
        </w:r>
        <w:r w:rsidR="002D46DA">
          <w:rPr>
            <w:noProof/>
            <w:webHidden/>
          </w:rPr>
          <w:fldChar w:fldCharType="begin"/>
        </w:r>
        <w:r w:rsidR="002D46DA">
          <w:rPr>
            <w:noProof/>
            <w:webHidden/>
          </w:rPr>
          <w:instrText xml:space="preserve"> PAGEREF _Toc485812695 \h </w:instrText>
        </w:r>
        <w:r w:rsidR="002D46DA">
          <w:rPr>
            <w:noProof/>
            <w:webHidden/>
          </w:rPr>
        </w:r>
        <w:r w:rsidR="002D46DA">
          <w:rPr>
            <w:noProof/>
            <w:webHidden/>
          </w:rPr>
          <w:fldChar w:fldCharType="separate"/>
        </w:r>
        <w:r w:rsidR="00E44CDA">
          <w:rPr>
            <w:noProof/>
            <w:webHidden/>
          </w:rPr>
          <w:t>8</w:t>
        </w:r>
        <w:r w:rsidR="002D46DA">
          <w:rPr>
            <w:noProof/>
            <w:webHidden/>
          </w:rPr>
          <w:fldChar w:fldCharType="end"/>
        </w:r>
      </w:hyperlink>
    </w:p>
    <w:p w:rsidR="002D46DA" w:rsidRDefault="0041316D" w:rsidP="002D46DA">
      <w:pPr>
        <w:pStyle w:val="TOC3"/>
        <w:tabs>
          <w:tab w:val="right" w:leader="dot" w:pos="9962"/>
        </w:tabs>
        <w:rPr>
          <w:rFonts w:asciiTheme="minorHAnsi" w:eastAsiaTheme="minorEastAsia" w:hAnsiTheme="minorHAnsi" w:cstheme="minorBidi"/>
          <w:noProof/>
          <w:sz w:val="22"/>
          <w:szCs w:val="22"/>
        </w:rPr>
      </w:pPr>
      <w:hyperlink w:anchor="_Toc485812696" w:history="1">
        <w:r w:rsidR="002D46DA" w:rsidRPr="004571A7">
          <w:rPr>
            <w:rStyle w:val="Hyperlink"/>
            <w:noProof/>
            <w:lang w:val="fr-CA"/>
          </w:rPr>
          <w:t>1.1.8. Budget supplémentaire des dépenses</w:t>
        </w:r>
        <w:r w:rsidR="002D46DA">
          <w:rPr>
            <w:noProof/>
            <w:webHidden/>
          </w:rPr>
          <w:tab/>
        </w:r>
        <w:r w:rsidR="002D46DA">
          <w:rPr>
            <w:noProof/>
            <w:webHidden/>
          </w:rPr>
          <w:fldChar w:fldCharType="begin"/>
        </w:r>
        <w:r w:rsidR="002D46DA">
          <w:rPr>
            <w:noProof/>
            <w:webHidden/>
          </w:rPr>
          <w:instrText xml:space="preserve"> PAGEREF _Toc485812696 \h </w:instrText>
        </w:r>
        <w:r w:rsidR="002D46DA">
          <w:rPr>
            <w:noProof/>
            <w:webHidden/>
          </w:rPr>
        </w:r>
        <w:r w:rsidR="002D46DA">
          <w:rPr>
            <w:noProof/>
            <w:webHidden/>
          </w:rPr>
          <w:fldChar w:fldCharType="separate"/>
        </w:r>
        <w:r w:rsidR="00E44CDA">
          <w:rPr>
            <w:noProof/>
            <w:webHidden/>
          </w:rPr>
          <w:t>9</w:t>
        </w:r>
        <w:r w:rsidR="002D46DA">
          <w:rPr>
            <w:noProof/>
            <w:webHidden/>
          </w:rPr>
          <w:fldChar w:fldCharType="end"/>
        </w:r>
      </w:hyperlink>
    </w:p>
    <w:p w:rsidR="002D46DA" w:rsidRDefault="0041316D" w:rsidP="002D46DA">
      <w:pPr>
        <w:pStyle w:val="TOC3"/>
        <w:tabs>
          <w:tab w:val="right" w:leader="dot" w:pos="9962"/>
        </w:tabs>
        <w:rPr>
          <w:rFonts w:asciiTheme="minorHAnsi" w:eastAsiaTheme="minorEastAsia" w:hAnsiTheme="minorHAnsi" w:cstheme="minorBidi"/>
          <w:noProof/>
          <w:sz w:val="22"/>
          <w:szCs w:val="22"/>
        </w:rPr>
      </w:pPr>
      <w:hyperlink w:anchor="_Toc485812697" w:history="1">
        <w:r w:rsidR="002D46DA" w:rsidRPr="004571A7">
          <w:rPr>
            <w:rStyle w:val="Hyperlink"/>
            <w:noProof/>
            <w:lang w:val="fr-CA"/>
          </w:rPr>
          <w:t>1.1.9. Projets de loi de crédits</w:t>
        </w:r>
        <w:r w:rsidR="002D46DA">
          <w:rPr>
            <w:noProof/>
            <w:webHidden/>
          </w:rPr>
          <w:tab/>
        </w:r>
        <w:r w:rsidR="002D46DA">
          <w:rPr>
            <w:noProof/>
            <w:webHidden/>
          </w:rPr>
          <w:fldChar w:fldCharType="begin"/>
        </w:r>
        <w:r w:rsidR="002D46DA">
          <w:rPr>
            <w:noProof/>
            <w:webHidden/>
          </w:rPr>
          <w:instrText xml:space="preserve"> PAGEREF _Toc485812697 \h </w:instrText>
        </w:r>
        <w:r w:rsidR="002D46DA">
          <w:rPr>
            <w:noProof/>
            <w:webHidden/>
          </w:rPr>
        </w:r>
        <w:r w:rsidR="002D46DA">
          <w:rPr>
            <w:noProof/>
            <w:webHidden/>
          </w:rPr>
          <w:fldChar w:fldCharType="separate"/>
        </w:r>
        <w:r w:rsidR="00E44CDA">
          <w:rPr>
            <w:noProof/>
            <w:webHidden/>
          </w:rPr>
          <w:t>9</w:t>
        </w:r>
        <w:r w:rsidR="002D46DA">
          <w:rPr>
            <w:noProof/>
            <w:webHidden/>
          </w:rPr>
          <w:fldChar w:fldCharType="end"/>
        </w:r>
      </w:hyperlink>
    </w:p>
    <w:p w:rsidR="002D46DA" w:rsidRDefault="0041316D" w:rsidP="002D46DA">
      <w:pPr>
        <w:pStyle w:val="TOC2"/>
        <w:rPr>
          <w:rFonts w:asciiTheme="minorHAnsi" w:eastAsiaTheme="minorEastAsia" w:hAnsiTheme="minorHAnsi" w:cstheme="minorBidi"/>
          <w:noProof/>
          <w:szCs w:val="22"/>
        </w:rPr>
      </w:pPr>
      <w:hyperlink w:anchor="_Toc485812698" w:history="1">
        <w:r w:rsidR="002D46DA" w:rsidRPr="004571A7">
          <w:rPr>
            <w:rStyle w:val="Hyperlink"/>
            <w:noProof/>
            <w:lang w:val="fr-CA"/>
          </w:rPr>
          <w:t>1.2 PROVENANCE DES FONDS</w:t>
        </w:r>
        <w:r w:rsidR="002D46DA">
          <w:rPr>
            <w:noProof/>
            <w:webHidden/>
          </w:rPr>
          <w:tab/>
        </w:r>
        <w:r w:rsidR="002D46DA">
          <w:rPr>
            <w:noProof/>
            <w:webHidden/>
          </w:rPr>
          <w:fldChar w:fldCharType="begin"/>
        </w:r>
        <w:r w:rsidR="002D46DA">
          <w:rPr>
            <w:noProof/>
            <w:webHidden/>
          </w:rPr>
          <w:instrText xml:space="preserve"> PAGEREF _Toc485812698 \h </w:instrText>
        </w:r>
        <w:r w:rsidR="002D46DA">
          <w:rPr>
            <w:noProof/>
            <w:webHidden/>
          </w:rPr>
        </w:r>
        <w:r w:rsidR="002D46DA">
          <w:rPr>
            <w:noProof/>
            <w:webHidden/>
          </w:rPr>
          <w:fldChar w:fldCharType="separate"/>
        </w:r>
        <w:r w:rsidR="00E44CDA">
          <w:rPr>
            <w:noProof/>
            <w:webHidden/>
          </w:rPr>
          <w:t>10</w:t>
        </w:r>
        <w:r w:rsidR="002D46DA">
          <w:rPr>
            <w:noProof/>
            <w:webHidden/>
          </w:rPr>
          <w:fldChar w:fldCharType="end"/>
        </w:r>
      </w:hyperlink>
    </w:p>
    <w:p w:rsidR="002D46DA" w:rsidRDefault="0041316D" w:rsidP="002D46DA">
      <w:pPr>
        <w:pStyle w:val="TOC3"/>
        <w:tabs>
          <w:tab w:val="right" w:leader="dot" w:pos="9962"/>
        </w:tabs>
        <w:rPr>
          <w:rFonts w:asciiTheme="minorHAnsi" w:eastAsiaTheme="minorEastAsia" w:hAnsiTheme="minorHAnsi" w:cstheme="minorBidi"/>
          <w:noProof/>
          <w:sz w:val="22"/>
          <w:szCs w:val="22"/>
        </w:rPr>
      </w:pPr>
      <w:hyperlink w:anchor="_Toc485812699" w:history="1">
        <w:r w:rsidR="002D46DA" w:rsidRPr="004571A7">
          <w:rPr>
            <w:rStyle w:val="Hyperlink"/>
            <w:noProof/>
            <w:lang w:val="fr-CA"/>
          </w:rPr>
          <w:t>1.2.1. Comptes à fins déterminées (CFD)</w:t>
        </w:r>
        <w:r w:rsidR="002D46DA">
          <w:rPr>
            <w:noProof/>
            <w:webHidden/>
          </w:rPr>
          <w:tab/>
        </w:r>
        <w:r w:rsidR="002D46DA">
          <w:rPr>
            <w:noProof/>
            <w:webHidden/>
          </w:rPr>
          <w:fldChar w:fldCharType="begin"/>
        </w:r>
        <w:r w:rsidR="002D46DA">
          <w:rPr>
            <w:noProof/>
            <w:webHidden/>
          </w:rPr>
          <w:instrText xml:space="preserve"> PAGEREF _Toc485812699 \h </w:instrText>
        </w:r>
        <w:r w:rsidR="002D46DA">
          <w:rPr>
            <w:noProof/>
            <w:webHidden/>
          </w:rPr>
        </w:r>
        <w:r w:rsidR="002D46DA">
          <w:rPr>
            <w:noProof/>
            <w:webHidden/>
          </w:rPr>
          <w:fldChar w:fldCharType="separate"/>
        </w:r>
        <w:r w:rsidR="00E44CDA">
          <w:rPr>
            <w:noProof/>
            <w:webHidden/>
          </w:rPr>
          <w:t>11</w:t>
        </w:r>
        <w:r w:rsidR="002D46DA">
          <w:rPr>
            <w:noProof/>
            <w:webHidden/>
          </w:rPr>
          <w:fldChar w:fldCharType="end"/>
        </w:r>
      </w:hyperlink>
    </w:p>
    <w:p w:rsidR="002D46DA" w:rsidRDefault="0041316D" w:rsidP="002D46DA">
      <w:pPr>
        <w:pStyle w:val="TOC4"/>
        <w:tabs>
          <w:tab w:val="right" w:leader="dot" w:pos="9962"/>
        </w:tabs>
        <w:rPr>
          <w:rFonts w:asciiTheme="minorHAnsi" w:eastAsiaTheme="minorEastAsia" w:hAnsiTheme="minorHAnsi" w:cstheme="minorBidi"/>
          <w:noProof/>
          <w:sz w:val="22"/>
          <w:szCs w:val="22"/>
        </w:rPr>
      </w:pPr>
      <w:hyperlink w:anchor="_Toc485812700" w:history="1">
        <w:r w:rsidR="002D46DA" w:rsidRPr="004571A7">
          <w:rPr>
            <w:rStyle w:val="Hyperlink"/>
            <w:noProof/>
            <w:lang w:val="fr-CA"/>
          </w:rPr>
          <w:t>1.2.1.1. Compte des opérations de l’assurance-emploi</w:t>
        </w:r>
        <w:r w:rsidR="002D46DA">
          <w:rPr>
            <w:noProof/>
            <w:webHidden/>
          </w:rPr>
          <w:tab/>
        </w:r>
        <w:r w:rsidR="002D46DA">
          <w:rPr>
            <w:noProof/>
            <w:webHidden/>
          </w:rPr>
          <w:fldChar w:fldCharType="begin"/>
        </w:r>
        <w:r w:rsidR="002D46DA">
          <w:rPr>
            <w:noProof/>
            <w:webHidden/>
          </w:rPr>
          <w:instrText xml:space="preserve"> PAGEREF _Toc485812700 \h </w:instrText>
        </w:r>
        <w:r w:rsidR="002D46DA">
          <w:rPr>
            <w:noProof/>
            <w:webHidden/>
          </w:rPr>
        </w:r>
        <w:r w:rsidR="002D46DA">
          <w:rPr>
            <w:noProof/>
            <w:webHidden/>
          </w:rPr>
          <w:fldChar w:fldCharType="separate"/>
        </w:r>
        <w:r w:rsidR="00E44CDA">
          <w:rPr>
            <w:noProof/>
            <w:webHidden/>
          </w:rPr>
          <w:t>11</w:t>
        </w:r>
        <w:r w:rsidR="002D46DA">
          <w:rPr>
            <w:noProof/>
            <w:webHidden/>
          </w:rPr>
          <w:fldChar w:fldCharType="end"/>
        </w:r>
      </w:hyperlink>
    </w:p>
    <w:p w:rsidR="002D46DA" w:rsidRDefault="0041316D" w:rsidP="002D46DA">
      <w:pPr>
        <w:pStyle w:val="TOC4"/>
        <w:tabs>
          <w:tab w:val="right" w:leader="dot" w:pos="9962"/>
        </w:tabs>
        <w:rPr>
          <w:rFonts w:asciiTheme="minorHAnsi" w:eastAsiaTheme="minorEastAsia" w:hAnsiTheme="minorHAnsi" w:cstheme="minorBidi"/>
          <w:noProof/>
          <w:sz w:val="22"/>
          <w:szCs w:val="22"/>
        </w:rPr>
      </w:pPr>
      <w:hyperlink w:anchor="_Toc485812701" w:history="1">
        <w:r w:rsidR="002D46DA" w:rsidRPr="004571A7">
          <w:rPr>
            <w:rStyle w:val="Hyperlink"/>
            <w:noProof/>
            <w:lang w:val="fr-CA"/>
          </w:rPr>
          <w:t>1.2.1.2. Régime de pensions du Canada (RPC)</w:t>
        </w:r>
        <w:r w:rsidR="002D46DA">
          <w:rPr>
            <w:noProof/>
            <w:webHidden/>
          </w:rPr>
          <w:tab/>
        </w:r>
        <w:r w:rsidR="002D46DA">
          <w:rPr>
            <w:noProof/>
            <w:webHidden/>
          </w:rPr>
          <w:fldChar w:fldCharType="begin"/>
        </w:r>
        <w:r w:rsidR="002D46DA">
          <w:rPr>
            <w:noProof/>
            <w:webHidden/>
          </w:rPr>
          <w:instrText xml:space="preserve"> PAGEREF _Toc485812701 \h </w:instrText>
        </w:r>
        <w:r w:rsidR="002D46DA">
          <w:rPr>
            <w:noProof/>
            <w:webHidden/>
          </w:rPr>
        </w:r>
        <w:r w:rsidR="002D46DA">
          <w:rPr>
            <w:noProof/>
            <w:webHidden/>
          </w:rPr>
          <w:fldChar w:fldCharType="separate"/>
        </w:r>
        <w:r w:rsidR="00E44CDA">
          <w:rPr>
            <w:noProof/>
            <w:webHidden/>
          </w:rPr>
          <w:t>11</w:t>
        </w:r>
        <w:r w:rsidR="002D46DA">
          <w:rPr>
            <w:noProof/>
            <w:webHidden/>
          </w:rPr>
          <w:fldChar w:fldCharType="end"/>
        </w:r>
      </w:hyperlink>
    </w:p>
    <w:p w:rsidR="002D46DA" w:rsidRDefault="0041316D" w:rsidP="002D46DA">
      <w:pPr>
        <w:pStyle w:val="TOC4"/>
        <w:tabs>
          <w:tab w:val="right" w:leader="dot" w:pos="9962"/>
        </w:tabs>
        <w:rPr>
          <w:rFonts w:asciiTheme="minorHAnsi" w:eastAsiaTheme="minorEastAsia" w:hAnsiTheme="minorHAnsi" w:cstheme="minorBidi"/>
          <w:noProof/>
          <w:sz w:val="22"/>
          <w:szCs w:val="22"/>
        </w:rPr>
      </w:pPr>
      <w:hyperlink w:anchor="_Toc485812702" w:history="1">
        <w:r w:rsidR="002D46DA" w:rsidRPr="004571A7">
          <w:rPr>
            <w:rStyle w:val="Hyperlink"/>
            <w:noProof/>
            <w:lang w:val="fr-CA"/>
          </w:rPr>
          <w:t>1.2.1.3. Compte des rentes sur l’État</w:t>
        </w:r>
        <w:r w:rsidR="002D46DA">
          <w:rPr>
            <w:noProof/>
            <w:webHidden/>
          </w:rPr>
          <w:tab/>
        </w:r>
        <w:r w:rsidR="002D46DA">
          <w:rPr>
            <w:noProof/>
            <w:webHidden/>
          </w:rPr>
          <w:fldChar w:fldCharType="begin"/>
        </w:r>
        <w:r w:rsidR="002D46DA">
          <w:rPr>
            <w:noProof/>
            <w:webHidden/>
          </w:rPr>
          <w:instrText xml:space="preserve"> PAGEREF _Toc485812702 \h </w:instrText>
        </w:r>
        <w:r w:rsidR="002D46DA">
          <w:rPr>
            <w:noProof/>
            <w:webHidden/>
          </w:rPr>
        </w:r>
        <w:r w:rsidR="002D46DA">
          <w:rPr>
            <w:noProof/>
            <w:webHidden/>
          </w:rPr>
          <w:fldChar w:fldCharType="separate"/>
        </w:r>
        <w:r w:rsidR="00E44CDA">
          <w:rPr>
            <w:noProof/>
            <w:webHidden/>
          </w:rPr>
          <w:t>11</w:t>
        </w:r>
        <w:r w:rsidR="002D46DA">
          <w:rPr>
            <w:noProof/>
            <w:webHidden/>
          </w:rPr>
          <w:fldChar w:fldCharType="end"/>
        </w:r>
      </w:hyperlink>
    </w:p>
    <w:p w:rsidR="002D46DA" w:rsidRDefault="0041316D" w:rsidP="002D46DA">
      <w:pPr>
        <w:pStyle w:val="TOC4"/>
        <w:tabs>
          <w:tab w:val="right" w:leader="dot" w:pos="9962"/>
        </w:tabs>
        <w:rPr>
          <w:rFonts w:asciiTheme="minorHAnsi" w:eastAsiaTheme="minorEastAsia" w:hAnsiTheme="minorHAnsi" w:cstheme="minorBidi"/>
          <w:noProof/>
          <w:sz w:val="22"/>
          <w:szCs w:val="22"/>
        </w:rPr>
      </w:pPr>
      <w:hyperlink w:anchor="_Toc485812703" w:history="1">
        <w:r w:rsidR="002D46DA" w:rsidRPr="004571A7">
          <w:rPr>
            <w:rStyle w:val="Hyperlink"/>
            <w:noProof/>
            <w:lang w:val="fr-CA"/>
          </w:rPr>
          <w:t>1.2.1.4. Fonds d’assurance du service civil</w:t>
        </w:r>
        <w:r w:rsidR="002D46DA">
          <w:rPr>
            <w:noProof/>
            <w:webHidden/>
          </w:rPr>
          <w:tab/>
        </w:r>
        <w:r w:rsidR="002D46DA">
          <w:rPr>
            <w:noProof/>
            <w:webHidden/>
          </w:rPr>
          <w:fldChar w:fldCharType="begin"/>
        </w:r>
        <w:r w:rsidR="002D46DA">
          <w:rPr>
            <w:noProof/>
            <w:webHidden/>
          </w:rPr>
          <w:instrText xml:space="preserve"> PAGEREF _Toc485812703 \h </w:instrText>
        </w:r>
        <w:r w:rsidR="002D46DA">
          <w:rPr>
            <w:noProof/>
            <w:webHidden/>
          </w:rPr>
        </w:r>
        <w:r w:rsidR="002D46DA">
          <w:rPr>
            <w:noProof/>
            <w:webHidden/>
          </w:rPr>
          <w:fldChar w:fldCharType="separate"/>
        </w:r>
        <w:r w:rsidR="00E44CDA">
          <w:rPr>
            <w:noProof/>
            <w:webHidden/>
          </w:rPr>
          <w:t>12</w:t>
        </w:r>
        <w:r w:rsidR="002D46DA">
          <w:rPr>
            <w:noProof/>
            <w:webHidden/>
          </w:rPr>
          <w:fldChar w:fldCharType="end"/>
        </w:r>
      </w:hyperlink>
    </w:p>
    <w:p w:rsidR="002D46DA" w:rsidRDefault="0041316D" w:rsidP="002D46DA">
      <w:pPr>
        <w:pStyle w:val="TOC1"/>
        <w:tabs>
          <w:tab w:val="right" w:leader="dot" w:pos="9962"/>
        </w:tabs>
        <w:rPr>
          <w:rFonts w:asciiTheme="minorHAnsi" w:eastAsiaTheme="minorEastAsia" w:hAnsiTheme="minorHAnsi" w:cstheme="minorBidi"/>
          <w:noProof/>
          <w:sz w:val="22"/>
          <w:szCs w:val="22"/>
        </w:rPr>
      </w:pPr>
      <w:hyperlink w:anchor="_Toc485812704" w:history="1">
        <w:r w:rsidR="002D46DA" w:rsidRPr="004571A7">
          <w:rPr>
            <w:rStyle w:val="Hyperlink"/>
            <w:noProof/>
            <w:lang w:val="fr-CA"/>
          </w:rPr>
          <w:t>2. AFFECTATION DES RESSOURCES</w:t>
        </w:r>
        <w:r w:rsidR="002D46DA">
          <w:rPr>
            <w:noProof/>
            <w:webHidden/>
          </w:rPr>
          <w:tab/>
        </w:r>
        <w:r w:rsidR="002D46DA">
          <w:rPr>
            <w:noProof/>
            <w:webHidden/>
          </w:rPr>
          <w:fldChar w:fldCharType="begin"/>
        </w:r>
        <w:r w:rsidR="002D46DA">
          <w:rPr>
            <w:noProof/>
            <w:webHidden/>
          </w:rPr>
          <w:instrText xml:space="preserve"> PAGEREF _Toc485812704 \h </w:instrText>
        </w:r>
        <w:r w:rsidR="002D46DA">
          <w:rPr>
            <w:noProof/>
            <w:webHidden/>
          </w:rPr>
        </w:r>
        <w:r w:rsidR="002D46DA">
          <w:rPr>
            <w:noProof/>
            <w:webHidden/>
          </w:rPr>
          <w:fldChar w:fldCharType="separate"/>
        </w:r>
        <w:r w:rsidR="00E44CDA">
          <w:rPr>
            <w:noProof/>
            <w:webHidden/>
          </w:rPr>
          <w:t>12</w:t>
        </w:r>
        <w:r w:rsidR="002D46DA">
          <w:rPr>
            <w:noProof/>
            <w:webHidden/>
          </w:rPr>
          <w:fldChar w:fldCharType="end"/>
        </w:r>
      </w:hyperlink>
    </w:p>
    <w:p w:rsidR="002D46DA" w:rsidRDefault="0041316D" w:rsidP="002D46DA">
      <w:pPr>
        <w:pStyle w:val="TOC2"/>
        <w:rPr>
          <w:rFonts w:asciiTheme="minorHAnsi" w:eastAsiaTheme="minorEastAsia" w:hAnsiTheme="minorHAnsi" w:cstheme="minorBidi"/>
          <w:noProof/>
          <w:szCs w:val="22"/>
        </w:rPr>
      </w:pPr>
      <w:hyperlink w:anchor="_Toc485812705" w:history="1">
        <w:r w:rsidR="002D46DA" w:rsidRPr="004571A7">
          <w:rPr>
            <w:rStyle w:val="Hyperlink"/>
            <w:noProof/>
            <w:lang w:val="fr-CA"/>
          </w:rPr>
          <w:t>2.1. STRUCTURE DE GOUVERNANCE</w:t>
        </w:r>
        <w:r w:rsidR="002D46DA">
          <w:rPr>
            <w:noProof/>
            <w:webHidden/>
          </w:rPr>
          <w:tab/>
        </w:r>
        <w:r w:rsidR="002D46DA">
          <w:rPr>
            <w:noProof/>
            <w:webHidden/>
          </w:rPr>
          <w:fldChar w:fldCharType="begin"/>
        </w:r>
        <w:r w:rsidR="002D46DA">
          <w:rPr>
            <w:noProof/>
            <w:webHidden/>
          </w:rPr>
          <w:instrText xml:space="preserve"> PAGEREF _Toc485812705 \h </w:instrText>
        </w:r>
        <w:r w:rsidR="002D46DA">
          <w:rPr>
            <w:noProof/>
            <w:webHidden/>
          </w:rPr>
        </w:r>
        <w:r w:rsidR="002D46DA">
          <w:rPr>
            <w:noProof/>
            <w:webHidden/>
          </w:rPr>
          <w:fldChar w:fldCharType="separate"/>
        </w:r>
        <w:r w:rsidR="00E44CDA">
          <w:rPr>
            <w:noProof/>
            <w:webHidden/>
          </w:rPr>
          <w:t>12</w:t>
        </w:r>
        <w:r w:rsidR="002D46DA">
          <w:rPr>
            <w:noProof/>
            <w:webHidden/>
          </w:rPr>
          <w:fldChar w:fldCharType="end"/>
        </w:r>
      </w:hyperlink>
    </w:p>
    <w:p w:rsidR="002D46DA" w:rsidRDefault="0041316D" w:rsidP="002D46DA">
      <w:pPr>
        <w:pStyle w:val="TOC2"/>
        <w:rPr>
          <w:rFonts w:asciiTheme="minorHAnsi" w:eastAsiaTheme="minorEastAsia" w:hAnsiTheme="minorHAnsi" w:cstheme="minorBidi"/>
          <w:noProof/>
          <w:szCs w:val="22"/>
        </w:rPr>
      </w:pPr>
      <w:hyperlink w:anchor="_Toc485812706" w:history="1">
        <w:r w:rsidR="002D46DA" w:rsidRPr="004571A7">
          <w:rPr>
            <w:rStyle w:val="Hyperlink"/>
            <w:noProof/>
            <w:lang w:val="fr-CA"/>
          </w:rPr>
          <w:t>2.2. PLANIFICATION OPÉRATIONNELLE</w:t>
        </w:r>
        <w:r w:rsidR="002D46DA">
          <w:rPr>
            <w:noProof/>
            <w:webHidden/>
          </w:rPr>
          <w:tab/>
        </w:r>
        <w:r w:rsidR="002D46DA">
          <w:rPr>
            <w:noProof/>
            <w:webHidden/>
          </w:rPr>
          <w:fldChar w:fldCharType="begin"/>
        </w:r>
        <w:r w:rsidR="002D46DA">
          <w:rPr>
            <w:noProof/>
            <w:webHidden/>
          </w:rPr>
          <w:instrText xml:space="preserve"> PAGEREF _Toc485812706 \h </w:instrText>
        </w:r>
        <w:r w:rsidR="002D46DA">
          <w:rPr>
            <w:noProof/>
            <w:webHidden/>
          </w:rPr>
        </w:r>
        <w:r w:rsidR="002D46DA">
          <w:rPr>
            <w:noProof/>
            <w:webHidden/>
          </w:rPr>
          <w:fldChar w:fldCharType="separate"/>
        </w:r>
        <w:r w:rsidR="00E44CDA">
          <w:rPr>
            <w:noProof/>
            <w:webHidden/>
          </w:rPr>
          <w:t>12</w:t>
        </w:r>
        <w:r w:rsidR="002D46DA">
          <w:rPr>
            <w:noProof/>
            <w:webHidden/>
          </w:rPr>
          <w:fldChar w:fldCharType="end"/>
        </w:r>
      </w:hyperlink>
    </w:p>
    <w:p w:rsidR="002D46DA" w:rsidRDefault="0041316D" w:rsidP="002D46DA">
      <w:pPr>
        <w:pStyle w:val="TOC3"/>
        <w:tabs>
          <w:tab w:val="right" w:leader="dot" w:pos="9962"/>
        </w:tabs>
        <w:rPr>
          <w:rFonts w:asciiTheme="minorHAnsi" w:eastAsiaTheme="minorEastAsia" w:hAnsiTheme="minorHAnsi" w:cstheme="minorBidi"/>
          <w:noProof/>
          <w:sz w:val="22"/>
          <w:szCs w:val="22"/>
        </w:rPr>
      </w:pPr>
      <w:hyperlink w:anchor="_Toc485812707" w:history="1">
        <w:r w:rsidR="002D46DA" w:rsidRPr="004571A7">
          <w:rPr>
            <w:rStyle w:val="Hyperlink"/>
            <w:noProof/>
            <w:lang w:val="fr-CA"/>
          </w:rPr>
          <w:t>2.2.1. Processus de planification intégrée des activités</w:t>
        </w:r>
        <w:r w:rsidR="002D46DA">
          <w:rPr>
            <w:noProof/>
            <w:webHidden/>
          </w:rPr>
          <w:tab/>
        </w:r>
        <w:r w:rsidR="002D46DA">
          <w:rPr>
            <w:noProof/>
            <w:webHidden/>
          </w:rPr>
          <w:fldChar w:fldCharType="begin"/>
        </w:r>
        <w:r w:rsidR="002D46DA">
          <w:rPr>
            <w:noProof/>
            <w:webHidden/>
          </w:rPr>
          <w:instrText xml:space="preserve"> PAGEREF _Toc485812707 \h </w:instrText>
        </w:r>
        <w:r w:rsidR="002D46DA">
          <w:rPr>
            <w:noProof/>
            <w:webHidden/>
          </w:rPr>
        </w:r>
        <w:r w:rsidR="002D46DA">
          <w:rPr>
            <w:noProof/>
            <w:webHidden/>
          </w:rPr>
          <w:fldChar w:fldCharType="separate"/>
        </w:r>
        <w:r w:rsidR="00E44CDA">
          <w:rPr>
            <w:noProof/>
            <w:webHidden/>
          </w:rPr>
          <w:t>12</w:t>
        </w:r>
        <w:r w:rsidR="002D46DA">
          <w:rPr>
            <w:noProof/>
            <w:webHidden/>
          </w:rPr>
          <w:fldChar w:fldCharType="end"/>
        </w:r>
      </w:hyperlink>
    </w:p>
    <w:p w:rsidR="002D46DA" w:rsidRDefault="0041316D" w:rsidP="002D46DA">
      <w:pPr>
        <w:pStyle w:val="TOC3"/>
        <w:tabs>
          <w:tab w:val="right" w:leader="dot" w:pos="9962"/>
        </w:tabs>
        <w:rPr>
          <w:rFonts w:asciiTheme="minorHAnsi" w:eastAsiaTheme="minorEastAsia" w:hAnsiTheme="minorHAnsi" w:cstheme="minorBidi"/>
          <w:noProof/>
          <w:sz w:val="22"/>
          <w:szCs w:val="22"/>
        </w:rPr>
      </w:pPr>
      <w:hyperlink w:anchor="_Toc485812708" w:history="1">
        <w:r w:rsidR="002D46DA" w:rsidRPr="004571A7">
          <w:rPr>
            <w:rStyle w:val="Hyperlink"/>
            <w:noProof/>
            <w:lang w:val="fr-CA"/>
          </w:rPr>
          <w:t>2.2.2. Planification des investissements</w:t>
        </w:r>
        <w:r w:rsidR="002D46DA">
          <w:rPr>
            <w:noProof/>
            <w:webHidden/>
          </w:rPr>
          <w:tab/>
        </w:r>
        <w:r w:rsidR="002D46DA">
          <w:rPr>
            <w:noProof/>
            <w:webHidden/>
          </w:rPr>
          <w:fldChar w:fldCharType="begin"/>
        </w:r>
        <w:r w:rsidR="002D46DA">
          <w:rPr>
            <w:noProof/>
            <w:webHidden/>
          </w:rPr>
          <w:instrText xml:space="preserve"> PAGEREF _Toc485812708 \h </w:instrText>
        </w:r>
        <w:r w:rsidR="002D46DA">
          <w:rPr>
            <w:noProof/>
            <w:webHidden/>
          </w:rPr>
        </w:r>
        <w:r w:rsidR="002D46DA">
          <w:rPr>
            <w:noProof/>
            <w:webHidden/>
          </w:rPr>
          <w:fldChar w:fldCharType="separate"/>
        </w:r>
        <w:r w:rsidR="00E44CDA">
          <w:rPr>
            <w:noProof/>
            <w:webHidden/>
          </w:rPr>
          <w:t>12</w:t>
        </w:r>
        <w:r w:rsidR="002D46DA">
          <w:rPr>
            <w:noProof/>
            <w:webHidden/>
          </w:rPr>
          <w:fldChar w:fldCharType="end"/>
        </w:r>
      </w:hyperlink>
    </w:p>
    <w:p w:rsidR="002D46DA" w:rsidRDefault="0041316D" w:rsidP="002D46DA">
      <w:pPr>
        <w:pStyle w:val="TOC2"/>
        <w:rPr>
          <w:rFonts w:asciiTheme="minorHAnsi" w:eastAsiaTheme="minorEastAsia" w:hAnsiTheme="minorHAnsi" w:cstheme="minorBidi"/>
          <w:noProof/>
          <w:szCs w:val="22"/>
        </w:rPr>
      </w:pPr>
      <w:hyperlink w:anchor="_Toc485812709" w:history="1">
        <w:r w:rsidR="002D46DA" w:rsidRPr="004571A7">
          <w:rPr>
            <w:rStyle w:val="Hyperlink"/>
            <w:noProof/>
            <w:lang w:val="fr-CA"/>
          </w:rPr>
          <w:t>2.3. UTILISATION DES FONDS</w:t>
        </w:r>
        <w:r w:rsidR="002D46DA">
          <w:rPr>
            <w:noProof/>
            <w:webHidden/>
          </w:rPr>
          <w:tab/>
        </w:r>
        <w:r w:rsidR="002D46DA">
          <w:rPr>
            <w:noProof/>
            <w:webHidden/>
          </w:rPr>
          <w:fldChar w:fldCharType="begin"/>
        </w:r>
        <w:r w:rsidR="002D46DA">
          <w:rPr>
            <w:noProof/>
            <w:webHidden/>
          </w:rPr>
          <w:instrText xml:space="preserve"> PAGEREF _Toc485812709 \h </w:instrText>
        </w:r>
        <w:r w:rsidR="002D46DA">
          <w:rPr>
            <w:noProof/>
            <w:webHidden/>
          </w:rPr>
        </w:r>
        <w:r w:rsidR="002D46DA">
          <w:rPr>
            <w:noProof/>
            <w:webHidden/>
          </w:rPr>
          <w:fldChar w:fldCharType="separate"/>
        </w:r>
        <w:r w:rsidR="00E44CDA">
          <w:rPr>
            <w:noProof/>
            <w:webHidden/>
          </w:rPr>
          <w:t>13</w:t>
        </w:r>
        <w:r w:rsidR="002D46DA">
          <w:rPr>
            <w:noProof/>
            <w:webHidden/>
          </w:rPr>
          <w:fldChar w:fldCharType="end"/>
        </w:r>
      </w:hyperlink>
    </w:p>
    <w:p w:rsidR="002D46DA" w:rsidRDefault="0041316D" w:rsidP="002D46DA">
      <w:pPr>
        <w:pStyle w:val="TOC3"/>
        <w:tabs>
          <w:tab w:val="right" w:leader="dot" w:pos="9962"/>
        </w:tabs>
        <w:rPr>
          <w:rFonts w:asciiTheme="minorHAnsi" w:eastAsiaTheme="minorEastAsia" w:hAnsiTheme="minorHAnsi" w:cstheme="minorBidi"/>
          <w:noProof/>
          <w:sz w:val="22"/>
          <w:szCs w:val="22"/>
        </w:rPr>
      </w:pPr>
      <w:hyperlink w:anchor="_Toc485812710" w:history="1">
        <w:r w:rsidR="002D46DA" w:rsidRPr="004571A7">
          <w:rPr>
            <w:rStyle w:val="Hyperlink"/>
            <w:noProof/>
            <w:lang w:val="fr-CA"/>
          </w:rPr>
          <w:t>2.3.1. Calcul des budgets de fonctionnement de base</w:t>
        </w:r>
        <w:r w:rsidR="002D46DA">
          <w:rPr>
            <w:noProof/>
            <w:webHidden/>
          </w:rPr>
          <w:tab/>
        </w:r>
        <w:r w:rsidR="002D46DA">
          <w:rPr>
            <w:noProof/>
            <w:webHidden/>
          </w:rPr>
          <w:fldChar w:fldCharType="begin"/>
        </w:r>
        <w:r w:rsidR="002D46DA">
          <w:rPr>
            <w:noProof/>
            <w:webHidden/>
          </w:rPr>
          <w:instrText xml:space="preserve"> PAGEREF _Toc485812710 \h </w:instrText>
        </w:r>
        <w:r w:rsidR="002D46DA">
          <w:rPr>
            <w:noProof/>
            <w:webHidden/>
          </w:rPr>
        </w:r>
        <w:r w:rsidR="002D46DA">
          <w:rPr>
            <w:noProof/>
            <w:webHidden/>
          </w:rPr>
          <w:fldChar w:fldCharType="separate"/>
        </w:r>
        <w:r w:rsidR="00E44CDA">
          <w:rPr>
            <w:noProof/>
            <w:webHidden/>
          </w:rPr>
          <w:t>13</w:t>
        </w:r>
        <w:r w:rsidR="002D46DA">
          <w:rPr>
            <w:noProof/>
            <w:webHidden/>
          </w:rPr>
          <w:fldChar w:fldCharType="end"/>
        </w:r>
      </w:hyperlink>
    </w:p>
    <w:p w:rsidR="002D46DA" w:rsidRDefault="0041316D" w:rsidP="002D46DA">
      <w:pPr>
        <w:pStyle w:val="TOC3"/>
        <w:tabs>
          <w:tab w:val="right" w:leader="dot" w:pos="9962"/>
        </w:tabs>
        <w:rPr>
          <w:rFonts w:asciiTheme="minorHAnsi" w:eastAsiaTheme="minorEastAsia" w:hAnsiTheme="minorHAnsi" w:cstheme="minorBidi"/>
          <w:noProof/>
          <w:sz w:val="22"/>
          <w:szCs w:val="22"/>
        </w:rPr>
      </w:pPr>
      <w:hyperlink w:anchor="_Toc485812711" w:history="1">
        <w:r w:rsidR="002D46DA" w:rsidRPr="004571A7">
          <w:rPr>
            <w:rStyle w:val="Hyperlink"/>
            <w:noProof/>
            <w:lang w:val="fr-CA"/>
          </w:rPr>
          <w:t>2.3.2. Profil du financement des subventions et contributions</w:t>
        </w:r>
        <w:r w:rsidR="002D46DA">
          <w:rPr>
            <w:noProof/>
            <w:webHidden/>
          </w:rPr>
          <w:tab/>
        </w:r>
        <w:r w:rsidR="002D46DA">
          <w:rPr>
            <w:noProof/>
            <w:webHidden/>
          </w:rPr>
          <w:fldChar w:fldCharType="begin"/>
        </w:r>
        <w:r w:rsidR="002D46DA">
          <w:rPr>
            <w:noProof/>
            <w:webHidden/>
          </w:rPr>
          <w:instrText xml:space="preserve"> PAGEREF _Toc485812711 \h </w:instrText>
        </w:r>
        <w:r w:rsidR="002D46DA">
          <w:rPr>
            <w:noProof/>
            <w:webHidden/>
          </w:rPr>
        </w:r>
        <w:r w:rsidR="002D46DA">
          <w:rPr>
            <w:noProof/>
            <w:webHidden/>
          </w:rPr>
          <w:fldChar w:fldCharType="separate"/>
        </w:r>
        <w:r w:rsidR="00E44CDA">
          <w:rPr>
            <w:noProof/>
            <w:webHidden/>
          </w:rPr>
          <w:t>13</w:t>
        </w:r>
        <w:r w:rsidR="002D46DA">
          <w:rPr>
            <w:noProof/>
            <w:webHidden/>
          </w:rPr>
          <w:fldChar w:fldCharType="end"/>
        </w:r>
      </w:hyperlink>
    </w:p>
    <w:p w:rsidR="002D46DA" w:rsidRDefault="0041316D" w:rsidP="002D46DA">
      <w:pPr>
        <w:pStyle w:val="TOC4"/>
        <w:tabs>
          <w:tab w:val="right" w:leader="dot" w:pos="9962"/>
        </w:tabs>
        <w:rPr>
          <w:rFonts w:asciiTheme="minorHAnsi" w:eastAsiaTheme="minorEastAsia" w:hAnsiTheme="minorHAnsi" w:cstheme="minorBidi"/>
          <w:noProof/>
          <w:sz w:val="22"/>
          <w:szCs w:val="22"/>
        </w:rPr>
      </w:pPr>
      <w:hyperlink w:anchor="_Toc485812712" w:history="1">
        <w:r w:rsidR="002D46DA" w:rsidRPr="004571A7">
          <w:rPr>
            <w:rStyle w:val="Hyperlink"/>
            <w:noProof/>
            <w:lang w:val="fr-CA"/>
          </w:rPr>
          <w:t>2.3.2.1. Subventions et contributions autorisées par loi de crédit (Trésor)</w:t>
        </w:r>
        <w:r w:rsidR="002D46DA">
          <w:rPr>
            <w:noProof/>
            <w:webHidden/>
          </w:rPr>
          <w:tab/>
        </w:r>
        <w:r w:rsidR="002D46DA">
          <w:rPr>
            <w:noProof/>
            <w:webHidden/>
          </w:rPr>
          <w:fldChar w:fldCharType="begin"/>
        </w:r>
        <w:r w:rsidR="002D46DA">
          <w:rPr>
            <w:noProof/>
            <w:webHidden/>
          </w:rPr>
          <w:instrText xml:space="preserve"> PAGEREF _Toc485812712 \h </w:instrText>
        </w:r>
        <w:r w:rsidR="002D46DA">
          <w:rPr>
            <w:noProof/>
            <w:webHidden/>
          </w:rPr>
        </w:r>
        <w:r w:rsidR="002D46DA">
          <w:rPr>
            <w:noProof/>
            <w:webHidden/>
          </w:rPr>
          <w:fldChar w:fldCharType="separate"/>
        </w:r>
        <w:r w:rsidR="00E44CDA">
          <w:rPr>
            <w:noProof/>
            <w:webHidden/>
          </w:rPr>
          <w:t>14</w:t>
        </w:r>
        <w:r w:rsidR="002D46DA">
          <w:rPr>
            <w:noProof/>
            <w:webHidden/>
          </w:rPr>
          <w:fldChar w:fldCharType="end"/>
        </w:r>
      </w:hyperlink>
    </w:p>
    <w:p w:rsidR="002D46DA" w:rsidRDefault="0041316D" w:rsidP="002D46DA">
      <w:pPr>
        <w:pStyle w:val="TOC4"/>
        <w:tabs>
          <w:tab w:val="right" w:leader="dot" w:pos="9962"/>
        </w:tabs>
        <w:rPr>
          <w:rFonts w:asciiTheme="minorHAnsi" w:eastAsiaTheme="minorEastAsia" w:hAnsiTheme="minorHAnsi" w:cstheme="minorBidi"/>
          <w:noProof/>
          <w:sz w:val="22"/>
          <w:szCs w:val="22"/>
        </w:rPr>
      </w:pPr>
      <w:hyperlink w:anchor="_Toc485812713" w:history="1">
        <w:r w:rsidR="002D46DA" w:rsidRPr="004571A7">
          <w:rPr>
            <w:rStyle w:val="Hyperlink"/>
            <w:noProof/>
            <w:lang w:val="fr-CA"/>
          </w:rPr>
          <w:t xml:space="preserve">2.3.2.2. Prestations d’emploi et mesures de soutien (fonds applicables à la partie II de la </w:t>
        </w:r>
        <w:r w:rsidR="002D46DA" w:rsidRPr="004571A7">
          <w:rPr>
            <w:rStyle w:val="Hyperlink"/>
            <w:i/>
            <w:noProof/>
            <w:lang w:val="fr-CA"/>
          </w:rPr>
          <w:t>Loi sur l’assurance-emploi</w:t>
        </w:r>
        <w:r w:rsidR="002D46DA" w:rsidRPr="004571A7">
          <w:rPr>
            <w:rStyle w:val="Hyperlink"/>
            <w:noProof/>
            <w:lang w:val="fr-CA"/>
          </w:rPr>
          <w:t>)</w:t>
        </w:r>
        <w:r w:rsidR="002D46DA">
          <w:rPr>
            <w:noProof/>
            <w:webHidden/>
          </w:rPr>
          <w:tab/>
        </w:r>
        <w:r w:rsidR="002D46DA">
          <w:rPr>
            <w:noProof/>
            <w:webHidden/>
          </w:rPr>
          <w:fldChar w:fldCharType="begin"/>
        </w:r>
        <w:r w:rsidR="002D46DA">
          <w:rPr>
            <w:noProof/>
            <w:webHidden/>
          </w:rPr>
          <w:instrText xml:space="preserve"> PAGEREF _Toc485812713 \h </w:instrText>
        </w:r>
        <w:r w:rsidR="002D46DA">
          <w:rPr>
            <w:noProof/>
            <w:webHidden/>
          </w:rPr>
        </w:r>
        <w:r w:rsidR="002D46DA">
          <w:rPr>
            <w:noProof/>
            <w:webHidden/>
          </w:rPr>
          <w:fldChar w:fldCharType="separate"/>
        </w:r>
        <w:r w:rsidR="00E44CDA">
          <w:rPr>
            <w:noProof/>
            <w:webHidden/>
          </w:rPr>
          <w:t>14</w:t>
        </w:r>
        <w:r w:rsidR="002D46DA">
          <w:rPr>
            <w:noProof/>
            <w:webHidden/>
          </w:rPr>
          <w:fldChar w:fldCharType="end"/>
        </w:r>
      </w:hyperlink>
    </w:p>
    <w:p w:rsidR="002D46DA" w:rsidRDefault="0041316D" w:rsidP="002D46DA">
      <w:pPr>
        <w:pStyle w:val="TOC3"/>
        <w:tabs>
          <w:tab w:val="right" w:leader="dot" w:pos="9962"/>
        </w:tabs>
        <w:rPr>
          <w:rFonts w:asciiTheme="minorHAnsi" w:eastAsiaTheme="minorEastAsia" w:hAnsiTheme="minorHAnsi" w:cstheme="minorBidi"/>
          <w:noProof/>
          <w:sz w:val="22"/>
          <w:szCs w:val="22"/>
        </w:rPr>
      </w:pPr>
      <w:hyperlink w:anchor="_Toc485812714" w:history="1">
        <w:r w:rsidR="002D46DA" w:rsidRPr="004571A7">
          <w:rPr>
            <w:rStyle w:val="Hyperlink"/>
            <w:noProof/>
            <w:lang w:val="fr-CA"/>
          </w:rPr>
          <w:t>2.3.3. Dépenses législatives</w:t>
        </w:r>
        <w:r w:rsidR="002D46DA">
          <w:rPr>
            <w:noProof/>
            <w:webHidden/>
          </w:rPr>
          <w:tab/>
        </w:r>
        <w:r w:rsidR="002D46DA">
          <w:rPr>
            <w:noProof/>
            <w:webHidden/>
          </w:rPr>
          <w:fldChar w:fldCharType="begin"/>
        </w:r>
        <w:r w:rsidR="002D46DA">
          <w:rPr>
            <w:noProof/>
            <w:webHidden/>
          </w:rPr>
          <w:instrText xml:space="preserve"> PAGEREF _Toc485812714 \h </w:instrText>
        </w:r>
        <w:r w:rsidR="002D46DA">
          <w:rPr>
            <w:noProof/>
            <w:webHidden/>
          </w:rPr>
        </w:r>
        <w:r w:rsidR="002D46DA">
          <w:rPr>
            <w:noProof/>
            <w:webHidden/>
          </w:rPr>
          <w:fldChar w:fldCharType="separate"/>
        </w:r>
        <w:r w:rsidR="00E44CDA">
          <w:rPr>
            <w:noProof/>
            <w:webHidden/>
          </w:rPr>
          <w:t>14</w:t>
        </w:r>
        <w:r w:rsidR="002D46DA">
          <w:rPr>
            <w:noProof/>
            <w:webHidden/>
          </w:rPr>
          <w:fldChar w:fldCharType="end"/>
        </w:r>
      </w:hyperlink>
    </w:p>
    <w:p w:rsidR="002D46DA" w:rsidRDefault="0041316D" w:rsidP="002D46DA">
      <w:pPr>
        <w:pStyle w:val="TOC2"/>
        <w:rPr>
          <w:rFonts w:asciiTheme="minorHAnsi" w:eastAsiaTheme="minorEastAsia" w:hAnsiTheme="minorHAnsi" w:cstheme="minorBidi"/>
          <w:noProof/>
          <w:szCs w:val="22"/>
        </w:rPr>
      </w:pPr>
      <w:hyperlink w:anchor="_Toc485812715" w:history="1">
        <w:r w:rsidR="002D46DA" w:rsidRPr="004571A7">
          <w:rPr>
            <w:rStyle w:val="Hyperlink"/>
            <w:noProof/>
            <w:lang w:val="fr-CA"/>
          </w:rPr>
          <w:t>2.4. ÉTABLISSEMENT DES COÛTS</w:t>
        </w:r>
        <w:r w:rsidR="002D46DA">
          <w:rPr>
            <w:noProof/>
            <w:webHidden/>
          </w:rPr>
          <w:tab/>
        </w:r>
        <w:r w:rsidR="002D46DA">
          <w:rPr>
            <w:noProof/>
            <w:webHidden/>
          </w:rPr>
          <w:fldChar w:fldCharType="begin"/>
        </w:r>
        <w:r w:rsidR="002D46DA">
          <w:rPr>
            <w:noProof/>
            <w:webHidden/>
          </w:rPr>
          <w:instrText xml:space="preserve"> PAGEREF _Toc485812715 \h </w:instrText>
        </w:r>
        <w:r w:rsidR="002D46DA">
          <w:rPr>
            <w:noProof/>
            <w:webHidden/>
          </w:rPr>
        </w:r>
        <w:r w:rsidR="002D46DA">
          <w:rPr>
            <w:noProof/>
            <w:webHidden/>
          </w:rPr>
          <w:fldChar w:fldCharType="separate"/>
        </w:r>
        <w:r w:rsidR="00E44CDA">
          <w:rPr>
            <w:noProof/>
            <w:webHidden/>
          </w:rPr>
          <w:t>15</w:t>
        </w:r>
        <w:r w:rsidR="002D46DA">
          <w:rPr>
            <w:noProof/>
            <w:webHidden/>
          </w:rPr>
          <w:fldChar w:fldCharType="end"/>
        </w:r>
      </w:hyperlink>
    </w:p>
    <w:p w:rsidR="002D46DA" w:rsidRDefault="0041316D" w:rsidP="002D46DA">
      <w:pPr>
        <w:pStyle w:val="TOC3"/>
        <w:tabs>
          <w:tab w:val="right" w:leader="dot" w:pos="9962"/>
        </w:tabs>
        <w:rPr>
          <w:rFonts w:asciiTheme="minorHAnsi" w:eastAsiaTheme="minorEastAsia" w:hAnsiTheme="minorHAnsi" w:cstheme="minorBidi"/>
          <w:noProof/>
          <w:sz w:val="22"/>
          <w:szCs w:val="22"/>
        </w:rPr>
      </w:pPr>
      <w:hyperlink w:anchor="_Toc485812716" w:history="1">
        <w:r w:rsidR="002D46DA" w:rsidRPr="004571A7">
          <w:rPr>
            <w:rStyle w:val="Hyperlink"/>
            <w:noProof/>
            <w:lang w:val="fr-CA"/>
          </w:rPr>
          <w:t>2.4.1. Politique d’établissement des coûts d’EDSC</w:t>
        </w:r>
        <w:r w:rsidR="002D46DA">
          <w:rPr>
            <w:noProof/>
            <w:webHidden/>
          </w:rPr>
          <w:tab/>
        </w:r>
        <w:r w:rsidR="002D46DA">
          <w:rPr>
            <w:noProof/>
            <w:webHidden/>
          </w:rPr>
          <w:fldChar w:fldCharType="begin"/>
        </w:r>
        <w:r w:rsidR="002D46DA">
          <w:rPr>
            <w:noProof/>
            <w:webHidden/>
          </w:rPr>
          <w:instrText xml:space="preserve"> PAGEREF _Toc485812716 \h </w:instrText>
        </w:r>
        <w:r w:rsidR="002D46DA">
          <w:rPr>
            <w:noProof/>
            <w:webHidden/>
          </w:rPr>
        </w:r>
        <w:r w:rsidR="002D46DA">
          <w:rPr>
            <w:noProof/>
            <w:webHidden/>
          </w:rPr>
          <w:fldChar w:fldCharType="separate"/>
        </w:r>
        <w:r w:rsidR="00E44CDA">
          <w:rPr>
            <w:noProof/>
            <w:webHidden/>
          </w:rPr>
          <w:t>15</w:t>
        </w:r>
        <w:r w:rsidR="002D46DA">
          <w:rPr>
            <w:noProof/>
            <w:webHidden/>
          </w:rPr>
          <w:fldChar w:fldCharType="end"/>
        </w:r>
      </w:hyperlink>
    </w:p>
    <w:p w:rsidR="002D46DA" w:rsidRDefault="0041316D" w:rsidP="002D46DA">
      <w:pPr>
        <w:pStyle w:val="TOC3"/>
        <w:tabs>
          <w:tab w:val="right" w:leader="dot" w:pos="9962"/>
        </w:tabs>
        <w:rPr>
          <w:rFonts w:asciiTheme="minorHAnsi" w:eastAsiaTheme="minorEastAsia" w:hAnsiTheme="minorHAnsi" w:cstheme="minorBidi"/>
          <w:noProof/>
          <w:sz w:val="22"/>
          <w:szCs w:val="22"/>
        </w:rPr>
      </w:pPr>
      <w:hyperlink w:anchor="_Toc485812717" w:history="1">
        <w:r w:rsidR="002D46DA" w:rsidRPr="004571A7">
          <w:rPr>
            <w:rStyle w:val="Hyperlink"/>
            <w:noProof/>
            <w:lang w:val="fr-CA"/>
          </w:rPr>
          <w:t>2.4.2. Modèles de détermination des ressources (MDR)</w:t>
        </w:r>
        <w:r w:rsidR="002D46DA">
          <w:rPr>
            <w:noProof/>
            <w:webHidden/>
          </w:rPr>
          <w:tab/>
        </w:r>
        <w:r w:rsidR="002D46DA">
          <w:rPr>
            <w:noProof/>
            <w:webHidden/>
          </w:rPr>
          <w:fldChar w:fldCharType="begin"/>
        </w:r>
        <w:r w:rsidR="002D46DA">
          <w:rPr>
            <w:noProof/>
            <w:webHidden/>
          </w:rPr>
          <w:instrText xml:space="preserve"> PAGEREF _Toc485812717 \h </w:instrText>
        </w:r>
        <w:r w:rsidR="002D46DA">
          <w:rPr>
            <w:noProof/>
            <w:webHidden/>
          </w:rPr>
        </w:r>
        <w:r w:rsidR="002D46DA">
          <w:rPr>
            <w:noProof/>
            <w:webHidden/>
          </w:rPr>
          <w:fldChar w:fldCharType="separate"/>
        </w:r>
        <w:r w:rsidR="00E44CDA">
          <w:rPr>
            <w:noProof/>
            <w:webHidden/>
          </w:rPr>
          <w:t>15</w:t>
        </w:r>
        <w:r w:rsidR="002D46DA">
          <w:rPr>
            <w:noProof/>
            <w:webHidden/>
          </w:rPr>
          <w:fldChar w:fldCharType="end"/>
        </w:r>
      </w:hyperlink>
    </w:p>
    <w:p w:rsidR="002D46DA" w:rsidRDefault="0041316D" w:rsidP="002D46DA">
      <w:pPr>
        <w:pStyle w:val="TOC1"/>
        <w:tabs>
          <w:tab w:val="right" w:leader="dot" w:pos="9962"/>
        </w:tabs>
        <w:rPr>
          <w:rFonts w:asciiTheme="minorHAnsi" w:eastAsiaTheme="minorEastAsia" w:hAnsiTheme="minorHAnsi" w:cstheme="minorBidi"/>
          <w:noProof/>
          <w:sz w:val="22"/>
          <w:szCs w:val="22"/>
        </w:rPr>
      </w:pPr>
      <w:hyperlink w:anchor="_Toc485812718" w:history="1">
        <w:r w:rsidR="002D46DA" w:rsidRPr="004571A7">
          <w:rPr>
            <w:rStyle w:val="Hyperlink"/>
            <w:noProof/>
            <w:lang w:val="fr-CA"/>
          </w:rPr>
          <w:t>3. GESTION DES RESSOURCES</w:t>
        </w:r>
        <w:r w:rsidR="002D46DA">
          <w:rPr>
            <w:noProof/>
            <w:webHidden/>
          </w:rPr>
          <w:tab/>
        </w:r>
        <w:r w:rsidR="002D46DA">
          <w:rPr>
            <w:noProof/>
            <w:webHidden/>
          </w:rPr>
          <w:fldChar w:fldCharType="begin"/>
        </w:r>
        <w:r w:rsidR="002D46DA">
          <w:rPr>
            <w:noProof/>
            <w:webHidden/>
          </w:rPr>
          <w:instrText xml:space="preserve"> PAGEREF _Toc485812718 \h </w:instrText>
        </w:r>
        <w:r w:rsidR="002D46DA">
          <w:rPr>
            <w:noProof/>
            <w:webHidden/>
          </w:rPr>
        </w:r>
        <w:r w:rsidR="002D46DA">
          <w:rPr>
            <w:noProof/>
            <w:webHidden/>
          </w:rPr>
          <w:fldChar w:fldCharType="separate"/>
        </w:r>
        <w:r w:rsidR="00E44CDA">
          <w:rPr>
            <w:noProof/>
            <w:webHidden/>
          </w:rPr>
          <w:t>15</w:t>
        </w:r>
        <w:r w:rsidR="002D46DA">
          <w:rPr>
            <w:noProof/>
            <w:webHidden/>
          </w:rPr>
          <w:fldChar w:fldCharType="end"/>
        </w:r>
      </w:hyperlink>
    </w:p>
    <w:p w:rsidR="002D46DA" w:rsidRDefault="0041316D" w:rsidP="002D46DA">
      <w:pPr>
        <w:pStyle w:val="TOC2"/>
        <w:rPr>
          <w:rFonts w:asciiTheme="minorHAnsi" w:eastAsiaTheme="minorEastAsia" w:hAnsiTheme="minorHAnsi" w:cstheme="minorBidi"/>
          <w:noProof/>
          <w:szCs w:val="22"/>
        </w:rPr>
      </w:pPr>
      <w:hyperlink w:anchor="_Toc485812719" w:history="1">
        <w:r w:rsidR="002D46DA" w:rsidRPr="004571A7">
          <w:rPr>
            <w:rStyle w:val="Hyperlink"/>
            <w:noProof/>
            <w:lang w:val="fr-CA"/>
          </w:rPr>
          <w:t>3.1. POLITIQUE FINANCIÈRE</w:t>
        </w:r>
        <w:r w:rsidR="002D46DA">
          <w:rPr>
            <w:noProof/>
            <w:webHidden/>
          </w:rPr>
          <w:tab/>
        </w:r>
        <w:r w:rsidR="002D46DA">
          <w:rPr>
            <w:noProof/>
            <w:webHidden/>
          </w:rPr>
          <w:fldChar w:fldCharType="begin"/>
        </w:r>
        <w:r w:rsidR="002D46DA">
          <w:rPr>
            <w:noProof/>
            <w:webHidden/>
          </w:rPr>
          <w:instrText xml:space="preserve"> PAGEREF _Toc485812719 \h </w:instrText>
        </w:r>
        <w:r w:rsidR="002D46DA">
          <w:rPr>
            <w:noProof/>
            <w:webHidden/>
          </w:rPr>
        </w:r>
        <w:r w:rsidR="002D46DA">
          <w:rPr>
            <w:noProof/>
            <w:webHidden/>
          </w:rPr>
          <w:fldChar w:fldCharType="separate"/>
        </w:r>
        <w:r w:rsidR="00E44CDA">
          <w:rPr>
            <w:noProof/>
            <w:webHidden/>
          </w:rPr>
          <w:t>16</w:t>
        </w:r>
        <w:r w:rsidR="002D46DA">
          <w:rPr>
            <w:noProof/>
            <w:webHidden/>
          </w:rPr>
          <w:fldChar w:fldCharType="end"/>
        </w:r>
      </w:hyperlink>
    </w:p>
    <w:p w:rsidR="002D46DA" w:rsidRDefault="0041316D" w:rsidP="002D46DA">
      <w:pPr>
        <w:pStyle w:val="TOC3"/>
        <w:tabs>
          <w:tab w:val="right" w:leader="dot" w:pos="9962"/>
        </w:tabs>
        <w:rPr>
          <w:rFonts w:asciiTheme="minorHAnsi" w:eastAsiaTheme="minorEastAsia" w:hAnsiTheme="minorHAnsi" w:cstheme="minorBidi"/>
          <w:noProof/>
          <w:sz w:val="22"/>
          <w:szCs w:val="22"/>
        </w:rPr>
      </w:pPr>
      <w:hyperlink w:anchor="_Toc485812720" w:history="1">
        <w:r w:rsidR="002D46DA" w:rsidRPr="004571A7">
          <w:rPr>
            <w:rStyle w:val="Hyperlink"/>
            <w:noProof/>
            <w:lang w:val="fr-CA"/>
          </w:rPr>
          <w:t>3.1.1. Initiative de renouvellement des politiques du Secrétariat du Conseil du Trésor du Canada</w:t>
        </w:r>
        <w:r w:rsidR="002D46DA">
          <w:rPr>
            <w:noProof/>
            <w:webHidden/>
          </w:rPr>
          <w:tab/>
        </w:r>
        <w:r w:rsidR="002D46DA">
          <w:rPr>
            <w:noProof/>
            <w:webHidden/>
          </w:rPr>
          <w:fldChar w:fldCharType="begin"/>
        </w:r>
        <w:r w:rsidR="002D46DA">
          <w:rPr>
            <w:noProof/>
            <w:webHidden/>
          </w:rPr>
          <w:instrText xml:space="preserve"> PAGEREF _Toc485812720 \h </w:instrText>
        </w:r>
        <w:r w:rsidR="002D46DA">
          <w:rPr>
            <w:noProof/>
            <w:webHidden/>
          </w:rPr>
        </w:r>
        <w:r w:rsidR="002D46DA">
          <w:rPr>
            <w:noProof/>
            <w:webHidden/>
          </w:rPr>
          <w:fldChar w:fldCharType="separate"/>
        </w:r>
        <w:r w:rsidR="00E44CDA">
          <w:rPr>
            <w:noProof/>
            <w:webHidden/>
          </w:rPr>
          <w:t>16</w:t>
        </w:r>
        <w:r w:rsidR="002D46DA">
          <w:rPr>
            <w:noProof/>
            <w:webHidden/>
          </w:rPr>
          <w:fldChar w:fldCharType="end"/>
        </w:r>
      </w:hyperlink>
    </w:p>
    <w:p w:rsidR="002D46DA" w:rsidRDefault="0041316D" w:rsidP="002D46DA">
      <w:pPr>
        <w:pStyle w:val="TOC3"/>
        <w:tabs>
          <w:tab w:val="right" w:leader="dot" w:pos="9962"/>
        </w:tabs>
        <w:rPr>
          <w:rFonts w:asciiTheme="minorHAnsi" w:eastAsiaTheme="minorEastAsia" w:hAnsiTheme="minorHAnsi" w:cstheme="minorBidi"/>
          <w:noProof/>
          <w:sz w:val="22"/>
          <w:szCs w:val="22"/>
        </w:rPr>
      </w:pPr>
      <w:hyperlink w:anchor="_Toc485812721" w:history="1">
        <w:r w:rsidR="002D46DA" w:rsidRPr="004571A7">
          <w:rPr>
            <w:rStyle w:val="Hyperlink"/>
            <w:noProof/>
            <w:lang w:val="fr-CA"/>
          </w:rPr>
          <w:t>3.1.2. Politiques de gestion financière</w:t>
        </w:r>
        <w:r w:rsidR="002D46DA">
          <w:rPr>
            <w:noProof/>
            <w:webHidden/>
          </w:rPr>
          <w:tab/>
        </w:r>
        <w:r w:rsidR="002D46DA">
          <w:rPr>
            <w:noProof/>
            <w:webHidden/>
          </w:rPr>
          <w:fldChar w:fldCharType="begin"/>
        </w:r>
        <w:r w:rsidR="002D46DA">
          <w:rPr>
            <w:noProof/>
            <w:webHidden/>
          </w:rPr>
          <w:instrText xml:space="preserve"> PAGEREF _Toc485812721 \h </w:instrText>
        </w:r>
        <w:r w:rsidR="002D46DA">
          <w:rPr>
            <w:noProof/>
            <w:webHidden/>
          </w:rPr>
        </w:r>
        <w:r w:rsidR="002D46DA">
          <w:rPr>
            <w:noProof/>
            <w:webHidden/>
          </w:rPr>
          <w:fldChar w:fldCharType="separate"/>
        </w:r>
        <w:r w:rsidR="00E44CDA">
          <w:rPr>
            <w:noProof/>
            <w:webHidden/>
          </w:rPr>
          <w:t>17</w:t>
        </w:r>
        <w:r w:rsidR="002D46DA">
          <w:rPr>
            <w:noProof/>
            <w:webHidden/>
          </w:rPr>
          <w:fldChar w:fldCharType="end"/>
        </w:r>
      </w:hyperlink>
    </w:p>
    <w:p w:rsidR="002D46DA" w:rsidRDefault="0041316D" w:rsidP="002D46DA">
      <w:pPr>
        <w:pStyle w:val="TOC2"/>
        <w:rPr>
          <w:rFonts w:asciiTheme="minorHAnsi" w:eastAsiaTheme="minorEastAsia" w:hAnsiTheme="minorHAnsi" w:cstheme="minorBidi"/>
          <w:noProof/>
          <w:szCs w:val="22"/>
        </w:rPr>
      </w:pPr>
      <w:hyperlink w:anchor="_Toc485812722" w:history="1">
        <w:r w:rsidR="002D46DA" w:rsidRPr="004571A7">
          <w:rPr>
            <w:rStyle w:val="Hyperlink"/>
            <w:noProof/>
            <w:lang w:val="fr-CA"/>
          </w:rPr>
          <w:t>3.2. CONTRÔLE INTERNE</w:t>
        </w:r>
        <w:r w:rsidR="002D46DA">
          <w:rPr>
            <w:noProof/>
            <w:webHidden/>
          </w:rPr>
          <w:tab/>
        </w:r>
        <w:r w:rsidR="002D46DA">
          <w:rPr>
            <w:noProof/>
            <w:webHidden/>
          </w:rPr>
          <w:fldChar w:fldCharType="begin"/>
        </w:r>
        <w:r w:rsidR="002D46DA">
          <w:rPr>
            <w:noProof/>
            <w:webHidden/>
          </w:rPr>
          <w:instrText xml:space="preserve"> PAGEREF _Toc485812722 \h </w:instrText>
        </w:r>
        <w:r w:rsidR="002D46DA">
          <w:rPr>
            <w:noProof/>
            <w:webHidden/>
          </w:rPr>
        </w:r>
        <w:r w:rsidR="002D46DA">
          <w:rPr>
            <w:noProof/>
            <w:webHidden/>
          </w:rPr>
          <w:fldChar w:fldCharType="separate"/>
        </w:r>
        <w:r w:rsidR="00E44CDA">
          <w:rPr>
            <w:noProof/>
            <w:webHidden/>
          </w:rPr>
          <w:t>17</w:t>
        </w:r>
        <w:r w:rsidR="002D46DA">
          <w:rPr>
            <w:noProof/>
            <w:webHidden/>
          </w:rPr>
          <w:fldChar w:fldCharType="end"/>
        </w:r>
      </w:hyperlink>
    </w:p>
    <w:p w:rsidR="002D46DA" w:rsidRDefault="0041316D" w:rsidP="002D46DA">
      <w:pPr>
        <w:pStyle w:val="TOC3"/>
        <w:tabs>
          <w:tab w:val="right" w:leader="dot" w:pos="9962"/>
        </w:tabs>
        <w:rPr>
          <w:rFonts w:asciiTheme="minorHAnsi" w:eastAsiaTheme="minorEastAsia" w:hAnsiTheme="minorHAnsi" w:cstheme="minorBidi"/>
          <w:noProof/>
          <w:sz w:val="22"/>
          <w:szCs w:val="22"/>
        </w:rPr>
      </w:pPr>
      <w:hyperlink w:anchor="_Toc485812723" w:history="1">
        <w:r w:rsidR="002D46DA" w:rsidRPr="004571A7">
          <w:rPr>
            <w:rStyle w:val="Hyperlink"/>
            <w:noProof/>
            <w:lang w:val="fr-CA"/>
          </w:rPr>
          <w:t>3.2.1. Délégation de pouvoirs (pouvoirs de signature en matière de finances)</w:t>
        </w:r>
        <w:r w:rsidR="002D46DA">
          <w:rPr>
            <w:noProof/>
            <w:webHidden/>
          </w:rPr>
          <w:tab/>
        </w:r>
        <w:r w:rsidR="002D46DA">
          <w:rPr>
            <w:noProof/>
            <w:webHidden/>
          </w:rPr>
          <w:fldChar w:fldCharType="begin"/>
        </w:r>
        <w:r w:rsidR="002D46DA">
          <w:rPr>
            <w:noProof/>
            <w:webHidden/>
          </w:rPr>
          <w:instrText xml:space="preserve"> PAGEREF _Toc485812723 \h </w:instrText>
        </w:r>
        <w:r w:rsidR="002D46DA">
          <w:rPr>
            <w:noProof/>
            <w:webHidden/>
          </w:rPr>
        </w:r>
        <w:r w:rsidR="002D46DA">
          <w:rPr>
            <w:noProof/>
            <w:webHidden/>
          </w:rPr>
          <w:fldChar w:fldCharType="separate"/>
        </w:r>
        <w:r w:rsidR="00E44CDA">
          <w:rPr>
            <w:noProof/>
            <w:webHidden/>
          </w:rPr>
          <w:t>17</w:t>
        </w:r>
        <w:r w:rsidR="002D46DA">
          <w:rPr>
            <w:noProof/>
            <w:webHidden/>
          </w:rPr>
          <w:fldChar w:fldCharType="end"/>
        </w:r>
      </w:hyperlink>
    </w:p>
    <w:p w:rsidR="002D46DA" w:rsidRDefault="0041316D" w:rsidP="002D46DA">
      <w:pPr>
        <w:pStyle w:val="TOC2"/>
        <w:rPr>
          <w:rFonts w:asciiTheme="minorHAnsi" w:eastAsiaTheme="minorEastAsia" w:hAnsiTheme="minorHAnsi" w:cstheme="minorBidi"/>
          <w:noProof/>
          <w:szCs w:val="22"/>
        </w:rPr>
      </w:pPr>
      <w:hyperlink w:anchor="_Toc485812724" w:history="1">
        <w:r w:rsidR="002D46DA" w:rsidRPr="004571A7">
          <w:rPr>
            <w:rStyle w:val="Hyperlink"/>
            <w:noProof/>
            <w:lang w:val="fr-CA"/>
          </w:rPr>
          <w:t>3.3. CONTRÔLE BUDGÉTAIRE</w:t>
        </w:r>
        <w:r w:rsidR="002D46DA">
          <w:rPr>
            <w:noProof/>
            <w:webHidden/>
          </w:rPr>
          <w:tab/>
        </w:r>
        <w:r w:rsidR="002D46DA">
          <w:rPr>
            <w:noProof/>
            <w:webHidden/>
          </w:rPr>
          <w:fldChar w:fldCharType="begin"/>
        </w:r>
        <w:r w:rsidR="002D46DA">
          <w:rPr>
            <w:noProof/>
            <w:webHidden/>
          </w:rPr>
          <w:instrText xml:space="preserve"> PAGEREF _Toc485812724 \h </w:instrText>
        </w:r>
        <w:r w:rsidR="002D46DA">
          <w:rPr>
            <w:noProof/>
            <w:webHidden/>
          </w:rPr>
        </w:r>
        <w:r w:rsidR="002D46DA">
          <w:rPr>
            <w:noProof/>
            <w:webHidden/>
          </w:rPr>
          <w:fldChar w:fldCharType="separate"/>
        </w:r>
        <w:r w:rsidR="00E44CDA">
          <w:rPr>
            <w:noProof/>
            <w:webHidden/>
          </w:rPr>
          <w:t>18</w:t>
        </w:r>
        <w:r w:rsidR="002D46DA">
          <w:rPr>
            <w:noProof/>
            <w:webHidden/>
          </w:rPr>
          <w:fldChar w:fldCharType="end"/>
        </w:r>
      </w:hyperlink>
    </w:p>
    <w:p w:rsidR="002D46DA" w:rsidRDefault="0041316D" w:rsidP="002D46DA">
      <w:pPr>
        <w:pStyle w:val="TOC3"/>
        <w:tabs>
          <w:tab w:val="right" w:leader="dot" w:pos="9962"/>
        </w:tabs>
        <w:rPr>
          <w:rFonts w:asciiTheme="minorHAnsi" w:eastAsiaTheme="minorEastAsia" w:hAnsiTheme="minorHAnsi" w:cstheme="minorBidi"/>
          <w:noProof/>
          <w:sz w:val="22"/>
          <w:szCs w:val="22"/>
        </w:rPr>
      </w:pPr>
      <w:hyperlink w:anchor="_Toc485812725" w:history="1">
        <w:r w:rsidR="002D46DA" w:rsidRPr="004571A7">
          <w:rPr>
            <w:rStyle w:val="Hyperlink"/>
            <w:noProof/>
            <w:lang w:val="fr-CA"/>
          </w:rPr>
          <w:t>3.3.1. Contrôle des affectations</w:t>
        </w:r>
        <w:r w:rsidR="002D46DA">
          <w:rPr>
            <w:noProof/>
            <w:webHidden/>
          </w:rPr>
          <w:tab/>
        </w:r>
        <w:r w:rsidR="002D46DA">
          <w:rPr>
            <w:noProof/>
            <w:webHidden/>
          </w:rPr>
          <w:fldChar w:fldCharType="begin"/>
        </w:r>
        <w:r w:rsidR="002D46DA">
          <w:rPr>
            <w:noProof/>
            <w:webHidden/>
          </w:rPr>
          <w:instrText xml:space="preserve"> PAGEREF _Toc485812725 \h </w:instrText>
        </w:r>
        <w:r w:rsidR="002D46DA">
          <w:rPr>
            <w:noProof/>
            <w:webHidden/>
          </w:rPr>
        </w:r>
        <w:r w:rsidR="002D46DA">
          <w:rPr>
            <w:noProof/>
            <w:webHidden/>
          </w:rPr>
          <w:fldChar w:fldCharType="separate"/>
        </w:r>
        <w:r w:rsidR="00E44CDA">
          <w:rPr>
            <w:noProof/>
            <w:webHidden/>
          </w:rPr>
          <w:t>18</w:t>
        </w:r>
        <w:r w:rsidR="002D46DA">
          <w:rPr>
            <w:noProof/>
            <w:webHidden/>
          </w:rPr>
          <w:fldChar w:fldCharType="end"/>
        </w:r>
      </w:hyperlink>
    </w:p>
    <w:p w:rsidR="002D46DA" w:rsidRDefault="0041316D" w:rsidP="002D46DA">
      <w:pPr>
        <w:pStyle w:val="TOC3"/>
        <w:tabs>
          <w:tab w:val="right" w:leader="dot" w:pos="9962"/>
        </w:tabs>
        <w:rPr>
          <w:rFonts w:asciiTheme="minorHAnsi" w:eastAsiaTheme="minorEastAsia" w:hAnsiTheme="minorHAnsi" w:cstheme="minorBidi"/>
          <w:noProof/>
          <w:sz w:val="22"/>
          <w:szCs w:val="22"/>
        </w:rPr>
      </w:pPr>
      <w:hyperlink w:anchor="_Toc485812726" w:history="1">
        <w:r w:rsidR="002D46DA" w:rsidRPr="004571A7">
          <w:rPr>
            <w:rStyle w:val="Hyperlink"/>
            <w:noProof/>
            <w:lang w:val="fr-CA"/>
          </w:rPr>
          <w:t>3.3.2. Contrôle de caisse</w:t>
        </w:r>
        <w:r w:rsidR="002D46DA">
          <w:rPr>
            <w:noProof/>
            <w:webHidden/>
          </w:rPr>
          <w:tab/>
        </w:r>
        <w:r w:rsidR="002D46DA">
          <w:rPr>
            <w:noProof/>
            <w:webHidden/>
          </w:rPr>
          <w:fldChar w:fldCharType="begin"/>
        </w:r>
        <w:r w:rsidR="002D46DA">
          <w:rPr>
            <w:noProof/>
            <w:webHidden/>
          </w:rPr>
          <w:instrText xml:space="preserve"> PAGEREF _Toc485812726 \h </w:instrText>
        </w:r>
        <w:r w:rsidR="002D46DA">
          <w:rPr>
            <w:noProof/>
            <w:webHidden/>
          </w:rPr>
        </w:r>
        <w:r w:rsidR="002D46DA">
          <w:rPr>
            <w:noProof/>
            <w:webHidden/>
          </w:rPr>
          <w:fldChar w:fldCharType="separate"/>
        </w:r>
        <w:r w:rsidR="00E44CDA">
          <w:rPr>
            <w:noProof/>
            <w:webHidden/>
          </w:rPr>
          <w:t>18</w:t>
        </w:r>
        <w:r w:rsidR="002D46DA">
          <w:rPr>
            <w:noProof/>
            <w:webHidden/>
          </w:rPr>
          <w:fldChar w:fldCharType="end"/>
        </w:r>
      </w:hyperlink>
    </w:p>
    <w:p w:rsidR="002D46DA" w:rsidRDefault="0041316D" w:rsidP="002D46DA">
      <w:pPr>
        <w:pStyle w:val="TOC4"/>
        <w:tabs>
          <w:tab w:val="right" w:leader="dot" w:pos="9962"/>
        </w:tabs>
        <w:rPr>
          <w:rFonts w:asciiTheme="minorHAnsi" w:eastAsiaTheme="minorEastAsia" w:hAnsiTheme="minorHAnsi" w:cstheme="minorBidi"/>
          <w:noProof/>
          <w:sz w:val="22"/>
          <w:szCs w:val="22"/>
        </w:rPr>
      </w:pPr>
      <w:hyperlink w:anchor="_Toc485812727" w:history="1">
        <w:r w:rsidR="002D46DA" w:rsidRPr="004571A7">
          <w:rPr>
            <w:rStyle w:val="Hyperlink"/>
            <w:noProof/>
            <w:lang w:val="fr-CA"/>
          </w:rPr>
          <w:t>3.3.3.1. Points de contrôle budgétaire du SAP</w:t>
        </w:r>
        <w:r w:rsidR="002D46DA">
          <w:rPr>
            <w:noProof/>
            <w:webHidden/>
          </w:rPr>
          <w:tab/>
        </w:r>
        <w:r w:rsidR="002D46DA">
          <w:rPr>
            <w:noProof/>
            <w:webHidden/>
          </w:rPr>
          <w:fldChar w:fldCharType="begin"/>
        </w:r>
        <w:r w:rsidR="002D46DA">
          <w:rPr>
            <w:noProof/>
            <w:webHidden/>
          </w:rPr>
          <w:instrText xml:space="preserve"> PAGEREF _Toc485812727 \h </w:instrText>
        </w:r>
        <w:r w:rsidR="002D46DA">
          <w:rPr>
            <w:noProof/>
            <w:webHidden/>
          </w:rPr>
        </w:r>
        <w:r w:rsidR="002D46DA">
          <w:rPr>
            <w:noProof/>
            <w:webHidden/>
          </w:rPr>
          <w:fldChar w:fldCharType="separate"/>
        </w:r>
        <w:r w:rsidR="00E44CDA">
          <w:rPr>
            <w:noProof/>
            <w:webHidden/>
          </w:rPr>
          <w:t>19</w:t>
        </w:r>
        <w:r w:rsidR="002D46DA">
          <w:rPr>
            <w:noProof/>
            <w:webHidden/>
          </w:rPr>
          <w:fldChar w:fldCharType="end"/>
        </w:r>
      </w:hyperlink>
    </w:p>
    <w:p w:rsidR="002D46DA" w:rsidRDefault="0041316D" w:rsidP="002D46DA">
      <w:pPr>
        <w:pStyle w:val="TOC4"/>
        <w:tabs>
          <w:tab w:val="right" w:leader="dot" w:pos="9962"/>
        </w:tabs>
        <w:rPr>
          <w:rFonts w:asciiTheme="minorHAnsi" w:eastAsiaTheme="minorEastAsia" w:hAnsiTheme="minorHAnsi" w:cstheme="minorBidi"/>
          <w:noProof/>
          <w:sz w:val="22"/>
          <w:szCs w:val="22"/>
        </w:rPr>
      </w:pPr>
      <w:hyperlink w:anchor="_Toc485812728" w:history="1">
        <w:r w:rsidR="002D46DA" w:rsidRPr="004571A7">
          <w:rPr>
            <w:rStyle w:val="Hyperlink"/>
            <w:noProof/>
            <w:lang w:val="fr-CA"/>
          </w:rPr>
          <w:t>3.3.3.2. Facteurs d’actualisation pour les subventions et contributions</w:t>
        </w:r>
        <w:r w:rsidR="002D46DA">
          <w:rPr>
            <w:noProof/>
            <w:webHidden/>
          </w:rPr>
          <w:tab/>
        </w:r>
        <w:r w:rsidR="002D46DA">
          <w:rPr>
            <w:noProof/>
            <w:webHidden/>
          </w:rPr>
          <w:fldChar w:fldCharType="begin"/>
        </w:r>
        <w:r w:rsidR="002D46DA">
          <w:rPr>
            <w:noProof/>
            <w:webHidden/>
          </w:rPr>
          <w:instrText xml:space="preserve"> PAGEREF _Toc485812728 \h </w:instrText>
        </w:r>
        <w:r w:rsidR="002D46DA">
          <w:rPr>
            <w:noProof/>
            <w:webHidden/>
          </w:rPr>
        </w:r>
        <w:r w:rsidR="002D46DA">
          <w:rPr>
            <w:noProof/>
            <w:webHidden/>
          </w:rPr>
          <w:fldChar w:fldCharType="separate"/>
        </w:r>
        <w:r w:rsidR="00E44CDA">
          <w:rPr>
            <w:noProof/>
            <w:webHidden/>
          </w:rPr>
          <w:t>19</w:t>
        </w:r>
        <w:r w:rsidR="002D46DA">
          <w:rPr>
            <w:noProof/>
            <w:webHidden/>
          </w:rPr>
          <w:fldChar w:fldCharType="end"/>
        </w:r>
      </w:hyperlink>
    </w:p>
    <w:p w:rsidR="002D46DA" w:rsidRDefault="0041316D" w:rsidP="002D46DA">
      <w:pPr>
        <w:pStyle w:val="TOC3"/>
        <w:tabs>
          <w:tab w:val="right" w:leader="dot" w:pos="9962"/>
        </w:tabs>
        <w:rPr>
          <w:rFonts w:asciiTheme="minorHAnsi" w:eastAsiaTheme="minorEastAsia" w:hAnsiTheme="minorHAnsi" w:cstheme="minorBidi"/>
          <w:noProof/>
          <w:sz w:val="22"/>
          <w:szCs w:val="22"/>
        </w:rPr>
      </w:pPr>
      <w:hyperlink w:anchor="_Toc485812729" w:history="1">
        <w:r w:rsidR="002D46DA" w:rsidRPr="004571A7">
          <w:rPr>
            <w:rStyle w:val="Hyperlink"/>
            <w:noProof/>
            <w:lang w:val="fr-CA"/>
          </w:rPr>
          <w:t>3.3.5. Calcul des budgets de base et grand livre des subventions et contributions</w:t>
        </w:r>
        <w:r w:rsidR="002D46DA">
          <w:rPr>
            <w:noProof/>
            <w:webHidden/>
          </w:rPr>
          <w:tab/>
        </w:r>
        <w:r w:rsidR="002D46DA">
          <w:rPr>
            <w:noProof/>
            <w:webHidden/>
          </w:rPr>
          <w:fldChar w:fldCharType="begin"/>
        </w:r>
        <w:r w:rsidR="002D46DA">
          <w:rPr>
            <w:noProof/>
            <w:webHidden/>
          </w:rPr>
          <w:instrText xml:space="preserve"> PAGEREF _Toc485812729 \h </w:instrText>
        </w:r>
        <w:r w:rsidR="002D46DA">
          <w:rPr>
            <w:noProof/>
            <w:webHidden/>
          </w:rPr>
        </w:r>
        <w:r w:rsidR="002D46DA">
          <w:rPr>
            <w:noProof/>
            <w:webHidden/>
          </w:rPr>
          <w:fldChar w:fldCharType="separate"/>
        </w:r>
        <w:r w:rsidR="00E44CDA">
          <w:rPr>
            <w:noProof/>
            <w:webHidden/>
          </w:rPr>
          <w:t>19</w:t>
        </w:r>
        <w:r w:rsidR="002D46DA">
          <w:rPr>
            <w:noProof/>
            <w:webHidden/>
          </w:rPr>
          <w:fldChar w:fldCharType="end"/>
        </w:r>
      </w:hyperlink>
    </w:p>
    <w:p w:rsidR="002D46DA" w:rsidRDefault="0041316D" w:rsidP="002D46DA">
      <w:pPr>
        <w:pStyle w:val="TOC3"/>
        <w:tabs>
          <w:tab w:val="right" w:leader="dot" w:pos="9962"/>
        </w:tabs>
        <w:rPr>
          <w:rFonts w:asciiTheme="minorHAnsi" w:eastAsiaTheme="minorEastAsia" w:hAnsiTheme="minorHAnsi" w:cstheme="minorBidi"/>
          <w:noProof/>
          <w:sz w:val="22"/>
          <w:szCs w:val="22"/>
        </w:rPr>
      </w:pPr>
      <w:hyperlink w:anchor="_Toc485812730" w:history="1">
        <w:r w:rsidR="002D46DA" w:rsidRPr="004571A7">
          <w:rPr>
            <w:rStyle w:val="Hyperlink"/>
            <w:noProof/>
            <w:lang w:val="fr-CA"/>
          </w:rPr>
          <w:t>3.3.6. Ajustements budgétaires</w:t>
        </w:r>
        <w:r w:rsidR="002D46DA">
          <w:rPr>
            <w:noProof/>
            <w:webHidden/>
          </w:rPr>
          <w:tab/>
        </w:r>
        <w:r w:rsidR="002D46DA">
          <w:rPr>
            <w:noProof/>
            <w:webHidden/>
          </w:rPr>
          <w:fldChar w:fldCharType="begin"/>
        </w:r>
        <w:r w:rsidR="002D46DA">
          <w:rPr>
            <w:noProof/>
            <w:webHidden/>
          </w:rPr>
          <w:instrText xml:space="preserve"> PAGEREF _Toc485812730 \h </w:instrText>
        </w:r>
        <w:r w:rsidR="002D46DA">
          <w:rPr>
            <w:noProof/>
            <w:webHidden/>
          </w:rPr>
        </w:r>
        <w:r w:rsidR="002D46DA">
          <w:rPr>
            <w:noProof/>
            <w:webHidden/>
          </w:rPr>
          <w:fldChar w:fldCharType="separate"/>
        </w:r>
        <w:r w:rsidR="00E44CDA">
          <w:rPr>
            <w:noProof/>
            <w:webHidden/>
          </w:rPr>
          <w:t>20</w:t>
        </w:r>
        <w:r w:rsidR="002D46DA">
          <w:rPr>
            <w:noProof/>
            <w:webHidden/>
          </w:rPr>
          <w:fldChar w:fldCharType="end"/>
        </w:r>
      </w:hyperlink>
    </w:p>
    <w:p w:rsidR="002D46DA" w:rsidRDefault="0041316D" w:rsidP="002D46DA">
      <w:pPr>
        <w:pStyle w:val="TOC3"/>
        <w:tabs>
          <w:tab w:val="right" w:leader="dot" w:pos="9962"/>
        </w:tabs>
        <w:rPr>
          <w:rFonts w:asciiTheme="minorHAnsi" w:eastAsiaTheme="minorEastAsia" w:hAnsiTheme="minorHAnsi" w:cstheme="minorBidi"/>
          <w:noProof/>
          <w:sz w:val="22"/>
          <w:szCs w:val="22"/>
        </w:rPr>
      </w:pPr>
      <w:hyperlink w:anchor="_Toc485812731" w:history="1">
        <w:r w:rsidR="002D46DA" w:rsidRPr="004571A7">
          <w:rPr>
            <w:rStyle w:val="Hyperlink"/>
            <w:noProof/>
            <w:lang w:val="fr-CA"/>
          </w:rPr>
          <w:t>3.3.7. Politique budgétaire</w:t>
        </w:r>
        <w:r w:rsidR="002D46DA">
          <w:rPr>
            <w:noProof/>
            <w:webHidden/>
          </w:rPr>
          <w:tab/>
        </w:r>
        <w:r w:rsidR="002D46DA">
          <w:rPr>
            <w:noProof/>
            <w:webHidden/>
          </w:rPr>
          <w:fldChar w:fldCharType="begin"/>
        </w:r>
        <w:r w:rsidR="002D46DA">
          <w:rPr>
            <w:noProof/>
            <w:webHidden/>
          </w:rPr>
          <w:instrText xml:space="preserve"> PAGEREF _Toc485812731 \h </w:instrText>
        </w:r>
        <w:r w:rsidR="002D46DA">
          <w:rPr>
            <w:noProof/>
            <w:webHidden/>
          </w:rPr>
        </w:r>
        <w:r w:rsidR="002D46DA">
          <w:rPr>
            <w:noProof/>
            <w:webHidden/>
          </w:rPr>
          <w:fldChar w:fldCharType="separate"/>
        </w:r>
        <w:r w:rsidR="00E44CDA">
          <w:rPr>
            <w:noProof/>
            <w:webHidden/>
          </w:rPr>
          <w:t>20</w:t>
        </w:r>
        <w:r w:rsidR="002D46DA">
          <w:rPr>
            <w:noProof/>
            <w:webHidden/>
          </w:rPr>
          <w:fldChar w:fldCharType="end"/>
        </w:r>
      </w:hyperlink>
    </w:p>
    <w:p w:rsidR="002D46DA" w:rsidRDefault="0041316D" w:rsidP="002D46DA">
      <w:pPr>
        <w:pStyle w:val="TOC2"/>
        <w:rPr>
          <w:rFonts w:asciiTheme="minorHAnsi" w:eastAsiaTheme="minorEastAsia" w:hAnsiTheme="minorHAnsi" w:cstheme="minorBidi"/>
          <w:noProof/>
          <w:szCs w:val="22"/>
        </w:rPr>
      </w:pPr>
      <w:hyperlink w:anchor="_Toc485812732" w:history="1">
        <w:r w:rsidR="002D46DA" w:rsidRPr="004571A7">
          <w:rPr>
            <w:rStyle w:val="Hyperlink"/>
            <w:noProof/>
            <w:lang w:val="fr-CA"/>
          </w:rPr>
          <w:t>3.4. RAPPORT SUR LA GESTION INTERNE</w:t>
        </w:r>
        <w:r w:rsidR="002D46DA">
          <w:rPr>
            <w:noProof/>
            <w:webHidden/>
          </w:rPr>
          <w:tab/>
        </w:r>
        <w:r w:rsidR="002D46DA">
          <w:rPr>
            <w:noProof/>
            <w:webHidden/>
          </w:rPr>
          <w:fldChar w:fldCharType="begin"/>
        </w:r>
        <w:r w:rsidR="002D46DA">
          <w:rPr>
            <w:noProof/>
            <w:webHidden/>
          </w:rPr>
          <w:instrText xml:space="preserve"> PAGEREF _Toc485812732 \h </w:instrText>
        </w:r>
        <w:r w:rsidR="002D46DA">
          <w:rPr>
            <w:noProof/>
            <w:webHidden/>
          </w:rPr>
        </w:r>
        <w:r w:rsidR="002D46DA">
          <w:rPr>
            <w:noProof/>
            <w:webHidden/>
          </w:rPr>
          <w:fldChar w:fldCharType="separate"/>
        </w:r>
        <w:r w:rsidR="00E44CDA">
          <w:rPr>
            <w:noProof/>
            <w:webHidden/>
          </w:rPr>
          <w:t>21</w:t>
        </w:r>
        <w:r w:rsidR="002D46DA">
          <w:rPr>
            <w:noProof/>
            <w:webHidden/>
          </w:rPr>
          <w:fldChar w:fldCharType="end"/>
        </w:r>
      </w:hyperlink>
    </w:p>
    <w:p w:rsidR="002D46DA" w:rsidRDefault="0041316D" w:rsidP="002D46DA">
      <w:pPr>
        <w:pStyle w:val="TOC3"/>
        <w:tabs>
          <w:tab w:val="right" w:leader="dot" w:pos="9962"/>
        </w:tabs>
        <w:rPr>
          <w:rFonts w:asciiTheme="minorHAnsi" w:eastAsiaTheme="minorEastAsia" w:hAnsiTheme="minorHAnsi" w:cstheme="minorBidi"/>
          <w:noProof/>
          <w:sz w:val="22"/>
          <w:szCs w:val="22"/>
        </w:rPr>
      </w:pPr>
      <w:hyperlink w:anchor="_Toc485812733" w:history="1">
        <w:r w:rsidR="002D46DA" w:rsidRPr="004571A7">
          <w:rPr>
            <w:rStyle w:val="Hyperlink"/>
            <w:noProof/>
            <w:lang w:val="fr-CA"/>
          </w:rPr>
          <w:t>3.4.1 Politique prévisionnelle</w:t>
        </w:r>
        <w:r w:rsidR="002D46DA">
          <w:rPr>
            <w:noProof/>
            <w:webHidden/>
          </w:rPr>
          <w:tab/>
        </w:r>
        <w:r w:rsidR="002D46DA">
          <w:rPr>
            <w:noProof/>
            <w:webHidden/>
          </w:rPr>
          <w:fldChar w:fldCharType="begin"/>
        </w:r>
        <w:r w:rsidR="002D46DA">
          <w:rPr>
            <w:noProof/>
            <w:webHidden/>
          </w:rPr>
          <w:instrText xml:space="preserve"> PAGEREF _Toc485812733 \h </w:instrText>
        </w:r>
        <w:r w:rsidR="002D46DA">
          <w:rPr>
            <w:noProof/>
            <w:webHidden/>
          </w:rPr>
        </w:r>
        <w:r w:rsidR="002D46DA">
          <w:rPr>
            <w:noProof/>
            <w:webHidden/>
          </w:rPr>
          <w:fldChar w:fldCharType="separate"/>
        </w:r>
        <w:r w:rsidR="00E44CDA">
          <w:rPr>
            <w:noProof/>
            <w:webHidden/>
          </w:rPr>
          <w:t>21</w:t>
        </w:r>
        <w:r w:rsidR="002D46DA">
          <w:rPr>
            <w:noProof/>
            <w:webHidden/>
          </w:rPr>
          <w:fldChar w:fldCharType="end"/>
        </w:r>
      </w:hyperlink>
    </w:p>
    <w:p w:rsidR="002D46DA" w:rsidRDefault="0041316D" w:rsidP="002D46DA">
      <w:pPr>
        <w:pStyle w:val="TOC3"/>
        <w:tabs>
          <w:tab w:val="right" w:leader="dot" w:pos="9962"/>
        </w:tabs>
        <w:rPr>
          <w:rFonts w:asciiTheme="minorHAnsi" w:eastAsiaTheme="minorEastAsia" w:hAnsiTheme="minorHAnsi" w:cstheme="minorBidi"/>
          <w:noProof/>
          <w:sz w:val="22"/>
          <w:szCs w:val="22"/>
        </w:rPr>
      </w:pPr>
      <w:hyperlink w:anchor="_Toc485812734" w:history="1">
        <w:r w:rsidR="002D46DA" w:rsidRPr="004571A7">
          <w:rPr>
            <w:rStyle w:val="Hyperlink"/>
            <w:noProof/>
            <w:lang w:val="fr-CA"/>
          </w:rPr>
          <w:t>3.4.2. Rapport financier ministériel (RFM)</w:t>
        </w:r>
        <w:r w:rsidR="002D46DA">
          <w:rPr>
            <w:noProof/>
            <w:webHidden/>
          </w:rPr>
          <w:tab/>
        </w:r>
        <w:r w:rsidR="002D46DA">
          <w:rPr>
            <w:noProof/>
            <w:webHidden/>
          </w:rPr>
          <w:fldChar w:fldCharType="begin"/>
        </w:r>
        <w:r w:rsidR="002D46DA">
          <w:rPr>
            <w:noProof/>
            <w:webHidden/>
          </w:rPr>
          <w:instrText xml:space="preserve"> PAGEREF _Toc485812734 \h </w:instrText>
        </w:r>
        <w:r w:rsidR="002D46DA">
          <w:rPr>
            <w:noProof/>
            <w:webHidden/>
          </w:rPr>
        </w:r>
        <w:r w:rsidR="002D46DA">
          <w:rPr>
            <w:noProof/>
            <w:webHidden/>
          </w:rPr>
          <w:fldChar w:fldCharType="separate"/>
        </w:r>
        <w:r w:rsidR="00E44CDA">
          <w:rPr>
            <w:noProof/>
            <w:webHidden/>
          </w:rPr>
          <w:t>23</w:t>
        </w:r>
        <w:r w:rsidR="002D46DA">
          <w:rPr>
            <w:noProof/>
            <w:webHidden/>
          </w:rPr>
          <w:fldChar w:fldCharType="end"/>
        </w:r>
      </w:hyperlink>
    </w:p>
    <w:p w:rsidR="002D46DA" w:rsidRDefault="0041316D" w:rsidP="002D46DA">
      <w:pPr>
        <w:pStyle w:val="TOC2"/>
        <w:rPr>
          <w:rFonts w:asciiTheme="minorHAnsi" w:eastAsiaTheme="minorEastAsia" w:hAnsiTheme="minorHAnsi" w:cstheme="minorBidi"/>
          <w:noProof/>
          <w:szCs w:val="22"/>
        </w:rPr>
      </w:pPr>
      <w:hyperlink w:anchor="_Toc485812735" w:history="1">
        <w:r w:rsidR="002D46DA" w:rsidRPr="004571A7">
          <w:rPr>
            <w:rStyle w:val="Hyperlink"/>
            <w:noProof/>
            <w:lang w:val="fr-CA"/>
          </w:rPr>
          <w:t>3.5. AUTRES PRINCIPES DE GESTION DES RESSOURCES</w:t>
        </w:r>
        <w:r w:rsidR="002D46DA">
          <w:rPr>
            <w:noProof/>
            <w:webHidden/>
          </w:rPr>
          <w:tab/>
        </w:r>
        <w:r w:rsidR="002D46DA">
          <w:rPr>
            <w:noProof/>
            <w:webHidden/>
          </w:rPr>
          <w:fldChar w:fldCharType="begin"/>
        </w:r>
        <w:r w:rsidR="002D46DA">
          <w:rPr>
            <w:noProof/>
            <w:webHidden/>
          </w:rPr>
          <w:instrText xml:space="preserve"> PAGEREF _Toc485812735 \h </w:instrText>
        </w:r>
        <w:r w:rsidR="002D46DA">
          <w:rPr>
            <w:noProof/>
            <w:webHidden/>
          </w:rPr>
        </w:r>
        <w:r w:rsidR="002D46DA">
          <w:rPr>
            <w:noProof/>
            <w:webHidden/>
          </w:rPr>
          <w:fldChar w:fldCharType="separate"/>
        </w:r>
        <w:r w:rsidR="00E44CDA">
          <w:rPr>
            <w:noProof/>
            <w:webHidden/>
          </w:rPr>
          <w:t>23</w:t>
        </w:r>
        <w:r w:rsidR="002D46DA">
          <w:rPr>
            <w:noProof/>
            <w:webHidden/>
          </w:rPr>
          <w:fldChar w:fldCharType="end"/>
        </w:r>
      </w:hyperlink>
    </w:p>
    <w:p w:rsidR="002D46DA" w:rsidRDefault="0041316D" w:rsidP="002D46DA">
      <w:pPr>
        <w:pStyle w:val="TOC3"/>
        <w:tabs>
          <w:tab w:val="right" w:leader="dot" w:pos="9962"/>
        </w:tabs>
        <w:rPr>
          <w:rFonts w:asciiTheme="minorHAnsi" w:eastAsiaTheme="minorEastAsia" w:hAnsiTheme="minorHAnsi" w:cstheme="minorBidi"/>
          <w:noProof/>
          <w:sz w:val="22"/>
          <w:szCs w:val="22"/>
        </w:rPr>
      </w:pPr>
      <w:hyperlink w:anchor="_Toc485812736" w:history="1">
        <w:r w:rsidR="002D46DA" w:rsidRPr="004571A7">
          <w:rPr>
            <w:rStyle w:val="Hyperlink"/>
            <w:noProof/>
            <w:lang w:val="fr-CA"/>
          </w:rPr>
          <w:t>3.5.1. Politique de report</w:t>
        </w:r>
        <w:r w:rsidR="002D46DA">
          <w:rPr>
            <w:noProof/>
            <w:webHidden/>
          </w:rPr>
          <w:tab/>
        </w:r>
        <w:r w:rsidR="002D46DA">
          <w:rPr>
            <w:noProof/>
            <w:webHidden/>
          </w:rPr>
          <w:fldChar w:fldCharType="begin"/>
        </w:r>
        <w:r w:rsidR="002D46DA">
          <w:rPr>
            <w:noProof/>
            <w:webHidden/>
          </w:rPr>
          <w:instrText xml:space="preserve"> PAGEREF _Toc485812736 \h </w:instrText>
        </w:r>
        <w:r w:rsidR="002D46DA">
          <w:rPr>
            <w:noProof/>
            <w:webHidden/>
          </w:rPr>
        </w:r>
        <w:r w:rsidR="002D46DA">
          <w:rPr>
            <w:noProof/>
            <w:webHidden/>
          </w:rPr>
          <w:fldChar w:fldCharType="separate"/>
        </w:r>
        <w:r w:rsidR="00E44CDA">
          <w:rPr>
            <w:noProof/>
            <w:webHidden/>
          </w:rPr>
          <w:t>23</w:t>
        </w:r>
        <w:r w:rsidR="002D46DA">
          <w:rPr>
            <w:noProof/>
            <w:webHidden/>
          </w:rPr>
          <w:fldChar w:fldCharType="end"/>
        </w:r>
      </w:hyperlink>
    </w:p>
    <w:p w:rsidR="002D46DA" w:rsidRDefault="0041316D" w:rsidP="002D46DA">
      <w:pPr>
        <w:pStyle w:val="TOC3"/>
        <w:tabs>
          <w:tab w:val="right" w:leader="dot" w:pos="9962"/>
        </w:tabs>
        <w:rPr>
          <w:rFonts w:asciiTheme="minorHAnsi" w:eastAsiaTheme="minorEastAsia" w:hAnsiTheme="minorHAnsi" w:cstheme="minorBidi"/>
          <w:noProof/>
          <w:sz w:val="22"/>
          <w:szCs w:val="22"/>
        </w:rPr>
      </w:pPr>
      <w:hyperlink w:anchor="_Toc485812737" w:history="1">
        <w:r w:rsidR="002D46DA" w:rsidRPr="004571A7">
          <w:rPr>
            <w:rStyle w:val="Hyperlink"/>
            <w:noProof/>
            <w:lang w:val="fr-CA"/>
          </w:rPr>
          <w:t>3.5.2. Demandes de report</w:t>
        </w:r>
        <w:r w:rsidR="002D46DA">
          <w:rPr>
            <w:noProof/>
            <w:webHidden/>
          </w:rPr>
          <w:tab/>
        </w:r>
        <w:r w:rsidR="002D46DA">
          <w:rPr>
            <w:noProof/>
            <w:webHidden/>
          </w:rPr>
          <w:fldChar w:fldCharType="begin"/>
        </w:r>
        <w:r w:rsidR="002D46DA">
          <w:rPr>
            <w:noProof/>
            <w:webHidden/>
          </w:rPr>
          <w:instrText xml:space="preserve"> PAGEREF _Toc485812737 \h </w:instrText>
        </w:r>
        <w:r w:rsidR="002D46DA">
          <w:rPr>
            <w:noProof/>
            <w:webHidden/>
          </w:rPr>
        </w:r>
        <w:r w:rsidR="002D46DA">
          <w:rPr>
            <w:noProof/>
            <w:webHidden/>
          </w:rPr>
          <w:fldChar w:fldCharType="separate"/>
        </w:r>
        <w:r w:rsidR="00E44CDA">
          <w:rPr>
            <w:noProof/>
            <w:webHidden/>
          </w:rPr>
          <w:t>23</w:t>
        </w:r>
        <w:r w:rsidR="002D46DA">
          <w:rPr>
            <w:noProof/>
            <w:webHidden/>
          </w:rPr>
          <w:fldChar w:fldCharType="end"/>
        </w:r>
      </w:hyperlink>
    </w:p>
    <w:p w:rsidR="002D46DA" w:rsidRDefault="0041316D" w:rsidP="002D46DA">
      <w:pPr>
        <w:pStyle w:val="TOC1"/>
        <w:tabs>
          <w:tab w:val="right" w:leader="dot" w:pos="9962"/>
        </w:tabs>
        <w:rPr>
          <w:rFonts w:asciiTheme="minorHAnsi" w:eastAsiaTheme="minorEastAsia" w:hAnsiTheme="minorHAnsi" w:cstheme="minorBidi"/>
          <w:noProof/>
          <w:sz w:val="22"/>
          <w:szCs w:val="22"/>
        </w:rPr>
      </w:pPr>
      <w:hyperlink w:anchor="_Toc485812738" w:history="1">
        <w:r w:rsidR="002D46DA" w:rsidRPr="004571A7">
          <w:rPr>
            <w:rStyle w:val="Hyperlink"/>
            <w:noProof/>
            <w:lang w:val="fr-CA"/>
          </w:rPr>
          <w:t>4. RAPPORTS ET SUIVI MINISTÉRIELS</w:t>
        </w:r>
        <w:r w:rsidR="002D46DA">
          <w:rPr>
            <w:noProof/>
            <w:webHidden/>
          </w:rPr>
          <w:tab/>
        </w:r>
        <w:r w:rsidR="002D46DA">
          <w:rPr>
            <w:noProof/>
            <w:webHidden/>
          </w:rPr>
          <w:fldChar w:fldCharType="begin"/>
        </w:r>
        <w:r w:rsidR="002D46DA">
          <w:rPr>
            <w:noProof/>
            <w:webHidden/>
          </w:rPr>
          <w:instrText xml:space="preserve"> PAGEREF _Toc485812738 \h </w:instrText>
        </w:r>
        <w:r w:rsidR="002D46DA">
          <w:rPr>
            <w:noProof/>
            <w:webHidden/>
          </w:rPr>
        </w:r>
        <w:r w:rsidR="002D46DA">
          <w:rPr>
            <w:noProof/>
            <w:webHidden/>
          </w:rPr>
          <w:fldChar w:fldCharType="separate"/>
        </w:r>
        <w:r w:rsidR="00E44CDA">
          <w:rPr>
            <w:noProof/>
            <w:webHidden/>
          </w:rPr>
          <w:t>24</w:t>
        </w:r>
        <w:r w:rsidR="002D46DA">
          <w:rPr>
            <w:noProof/>
            <w:webHidden/>
          </w:rPr>
          <w:fldChar w:fldCharType="end"/>
        </w:r>
      </w:hyperlink>
    </w:p>
    <w:p w:rsidR="002D46DA" w:rsidRDefault="0041316D" w:rsidP="002D46DA">
      <w:pPr>
        <w:pStyle w:val="TOC2"/>
        <w:rPr>
          <w:rFonts w:asciiTheme="minorHAnsi" w:eastAsiaTheme="minorEastAsia" w:hAnsiTheme="minorHAnsi" w:cstheme="minorBidi"/>
          <w:noProof/>
          <w:szCs w:val="22"/>
        </w:rPr>
      </w:pPr>
      <w:hyperlink w:anchor="_Toc485812739" w:history="1">
        <w:r w:rsidR="002D46DA" w:rsidRPr="004571A7">
          <w:rPr>
            <w:rStyle w:val="Hyperlink"/>
            <w:noProof/>
            <w:lang w:val="fr-CA"/>
          </w:rPr>
          <w:t>4.1. RAPPORTS EXTERNES SUR LE RENDEMENT</w:t>
        </w:r>
        <w:r w:rsidR="002D46DA">
          <w:rPr>
            <w:noProof/>
            <w:webHidden/>
          </w:rPr>
          <w:tab/>
        </w:r>
        <w:r w:rsidR="002D46DA">
          <w:rPr>
            <w:noProof/>
            <w:webHidden/>
          </w:rPr>
          <w:fldChar w:fldCharType="begin"/>
        </w:r>
        <w:r w:rsidR="002D46DA">
          <w:rPr>
            <w:noProof/>
            <w:webHidden/>
          </w:rPr>
          <w:instrText xml:space="preserve"> PAGEREF _Toc485812739 \h </w:instrText>
        </w:r>
        <w:r w:rsidR="002D46DA">
          <w:rPr>
            <w:noProof/>
            <w:webHidden/>
          </w:rPr>
        </w:r>
        <w:r w:rsidR="002D46DA">
          <w:rPr>
            <w:noProof/>
            <w:webHidden/>
          </w:rPr>
          <w:fldChar w:fldCharType="separate"/>
        </w:r>
        <w:r w:rsidR="00E44CDA">
          <w:rPr>
            <w:noProof/>
            <w:webHidden/>
          </w:rPr>
          <w:t>24</w:t>
        </w:r>
        <w:r w:rsidR="002D46DA">
          <w:rPr>
            <w:noProof/>
            <w:webHidden/>
          </w:rPr>
          <w:fldChar w:fldCharType="end"/>
        </w:r>
      </w:hyperlink>
    </w:p>
    <w:p w:rsidR="002D46DA" w:rsidRDefault="0041316D" w:rsidP="002D46DA">
      <w:pPr>
        <w:pStyle w:val="TOC3"/>
        <w:tabs>
          <w:tab w:val="right" w:leader="dot" w:pos="9962"/>
        </w:tabs>
        <w:rPr>
          <w:rFonts w:asciiTheme="minorHAnsi" w:eastAsiaTheme="minorEastAsia" w:hAnsiTheme="minorHAnsi" w:cstheme="minorBidi"/>
          <w:noProof/>
          <w:sz w:val="22"/>
          <w:szCs w:val="22"/>
        </w:rPr>
      </w:pPr>
      <w:hyperlink w:anchor="_Toc485812740" w:history="1">
        <w:r w:rsidR="002D46DA" w:rsidRPr="004571A7">
          <w:rPr>
            <w:rStyle w:val="Hyperlink"/>
            <w:noProof/>
            <w:lang w:val="fr-CA"/>
          </w:rPr>
          <w:t>4.1.1. Cadre de responsabilisation de gestion (CRG)</w:t>
        </w:r>
        <w:r w:rsidR="002D46DA">
          <w:rPr>
            <w:noProof/>
            <w:webHidden/>
          </w:rPr>
          <w:tab/>
        </w:r>
        <w:r w:rsidR="002D46DA">
          <w:rPr>
            <w:noProof/>
            <w:webHidden/>
          </w:rPr>
          <w:fldChar w:fldCharType="begin"/>
        </w:r>
        <w:r w:rsidR="002D46DA">
          <w:rPr>
            <w:noProof/>
            <w:webHidden/>
          </w:rPr>
          <w:instrText xml:space="preserve"> PAGEREF _Toc485812740 \h </w:instrText>
        </w:r>
        <w:r w:rsidR="002D46DA">
          <w:rPr>
            <w:noProof/>
            <w:webHidden/>
          </w:rPr>
        </w:r>
        <w:r w:rsidR="002D46DA">
          <w:rPr>
            <w:noProof/>
            <w:webHidden/>
          </w:rPr>
          <w:fldChar w:fldCharType="separate"/>
        </w:r>
        <w:r w:rsidR="00E44CDA">
          <w:rPr>
            <w:noProof/>
            <w:webHidden/>
          </w:rPr>
          <w:t>24</w:t>
        </w:r>
        <w:r w:rsidR="002D46DA">
          <w:rPr>
            <w:noProof/>
            <w:webHidden/>
          </w:rPr>
          <w:fldChar w:fldCharType="end"/>
        </w:r>
      </w:hyperlink>
    </w:p>
    <w:p w:rsidR="002D46DA" w:rsidRDefault="0041316D" w:rsidP="002D46DA">
      <w:pPr>
        <w:pStyle w:val="TOC3"/>
        <w:tabs>
          <w:tab w:val="right" w:leader="dot" w:pos="9962"/>
        </w:tabs>
        <w:rPr>
          <w:rFonts w:asciiTheme="minorHAnsi" w:eastAsiaTheme="minorEastAsia" w:hAnsiTheme="minorHAnsi" w:cstheme="minorBidi"/>
          <w:noProof/>
          <w:sz w:val="22"/>
          <w:szCs w:val="22"/>
        </w:rPr>
      </w:pPr>
      <w:hyperlink w:anchor="_Toc485812741" w:history="1">
        <w:r w:rsidR="002D46DA" w:rsidRPr="004571A7">
          <w:rPr>
            <w:rStyle w:val="Hyperlink"/>
            <w:noProof/>
            <w:lang w:val="fr-CA"/>
          </w:rPr>
          <w:t>4.1.2. Rapport financier ministériel trimestriel</w:t>
        </w:r>
        <w:r w:rsidR="002D46DA">
          <w:rPr>
            <w:noProof/>
            <w:webHidden/>
          </w:rPr>
          <w:tab/>
        </w:r>
        <w:r w:rsidR="002D46DA">
          <w:rPr>
            <w:noProof/>
            <w:webHidden/>
          </w:rPr>
          <w:fldChar w:fldCharType="begin"/>
        </w:r>
        <w:r w:rsidR="002D46DA">
          <w:rPr>
            <w:noProof/>
            <w:webHidden/>
          </w:rPr>
          <w:instrText xml:space="preserve"> PAGEREF _Toc485812741 \h </w:instrText>
        </w:r>
        <w:r w:rsidR="002D46DA">
          <w:rPr>
            <w:noProof/>
            <w:webHidden/>
          </w:rPr>
        </w:r>
        <w:r w:rsidR="002D46DA">
          <w:rPr>
            <w:noProof/>
            <w:webHidden/>
          </w:rPr>
          <w:fldChar w:fldCharType="separate"/>
        </w:r>
        <w:r w:rsidR="00E44CDA">
          <w:rPr>
            <w:noProof/>
            <w:webHidden/>
          </w:rPr>
          <w:t>24</w:t>
        </w:r>
        <w:r w:rsidR="002D46DA">
          <w:rPr>
            <w:noProof/>
            <w:webHidden/>
          </w:rPr>
          <w:fldChar w:fldCharType="end"/>
        </w:r>
      </w:hyperlink>
    </w:p>
    <w:p w:rsidR="002D46DA" w:rsidRDefault="0041316D" w:rsidP="002D46DA">
      <w:pPr>
        <w:pStyle w:val="TOC3"/>
        <w:tabs>
          <w:tab w:val="right" w:leader="dot" w:pos="9962"/>
        </w:tabs>
        <w:rPr>
          <w:rFonts w:asciiTheme="minorHAnsi" w:eastAsiaTheme="minorEastAsia" w:hAnsiTheme="minorHAnsi" w:cstheme="minorBidi"/>
          <w:noProof/>
          <w:sz w:val="22"/>
          <w:szCs w:val="22"/>
        </w:rPr>
      </w:pPr>
      <w:hyperlink w:anchor="_Toc485812742" w:history="1">
        <w:r w:rsidR="002D46DA" w:rsidRPr="004571A7">
          <w:rPr>
            <w:rStyle w:val="Hyperlink"/>
            <w:noProof/>
            <w:lang w:val="fr-CA"/>
          </w:rPr>
          <w:t>4.1.3. Comptes publics du Canada</w:t>
        </w:r>
        <w:r w:rsidR="002D46DA">
          <w:rPr>
            <w:noProof/>
            <w:webHidden/>
          </w:rPr>
          <w:tab/>
        </w:r>
        <w:r w:rsidR="002D46DA">
          <w:rPr>
            <w:noProof/>
            <w:webHidden/>
          </w:rPr>
          <w:fldChar w:fldCharType="begin"/>
        </w:r>
        <w:r w:rsidR="002D46DA">
          <w:rPr>
            <w:noProof/>
            <w:webHidden/>
          </w:rPr>
          <w:instrText xml:space="preserve"> PAGEREF _Toc485812742 \h </w:instrText>
        </w:r>
        <w:r w:rsidR="002D46DA">
          <w:rPr>
            <w:noProof/>
            <w:webHidden/>
          </w:rPr>
        </w:r>
        <w:r w:rsidR="002D46DA">
          <w:rPr>
            <w:noProof/>
            <w:webHidden/>
          </w:rPr>
          <w:fldChar w:fldCharType="separate"/>
        </w:r>
        <w:r w:rsidR="00E44CDA">
          <w:rPr>
            <w:noProof/>
            <w:webHidden/>
          </w:rPr>
          <w:t>24</w:t>
        </w:r>
        <w:r w:rsidR="002D46DA">
          <w:rPr>
            <w:noProof/>
            <w:webHidden/>
          </w:rPr>
          <w:fldChar w:fldCharType="end"/>
        </w:r>
      </w:hyperlink>
    </w:p>
    <w:p w:rsidR="002D46DA" w:rsidRDefault="0041316D" w:rsidP="002D46DA">
      <w:pPr>
        <w:pStyle w:val="TOC3"/>
        <w:tabs>
          <w:tab w:val="right" w:leader="dot" w:pos="9962"/>
        </w:tabs>
        <w:rPr>
          <w:rFonts w:asciiTheme="minorHAnsi" w:eastAsiaTheme="minorEastAsia" w:hAnsiTheme="minorHAnsi" w:cstheme="minorBidi"/>
          <w:noProof/>
          <w:sz w:val="22"/>
          <w:szCs w:val="22"/>
        </w:rPr>
      </w:pPr>
      <w:hyperlink w:anchor="_Toc485812743" w:history="1">
        <w:r w:rsidR="002D46DA" w:rsidRPr="004571A7">
          <w:rPr>
            <w:rStyle w:val="Hyperlink"/>
            <w:noProof/>
            <w:lang w:val="fr-CA"/>
          </w:rPr>
          <w:t>4.1.4. États financiers ministériels</w:t>
        </w:r>
        <w:r w:rsidR="002D46DA">
          <w:rPr>
            <w:noProof/>
            <w:webHidden/>
          </w:rPr>
          <w:tab/>
        </w:r>
        <w:r w:rsidR="002D46DA">
          <w:rPr>
            <w:noProof/>
            <w:webHidden/>
          </w:rPr>
          <w:fldChar w:fldCharType="begin"/>
        </w:r>
        <w:r w:rsidR="002D46DA">
          <w:rPr>
            <w:noProof/>
            <w:webHidden/>
          </w:rPr>
          <w:instrText xml:space="preserve"> PAGEREF _Toc485812743 \h </w:instrText>
        </w:r>
        <w:r w:rsidR="002D46DA">
          <w:rPr>
            <w:noProof/>
            <w:webHidden/>
          </w:rPr>
        </w:r>
        <w:r w:rsidR="002D46DA">
          <w:rPr>
            <w:noProof/>
            <w:webHidden/>
          </w:rPr>
          <w:fldChar w:fldCharType="separate"/>
        </w:r>
        <w:r w:rsidR="00E44CDA">
          <w:rPr>
            <w:noProof/>
            <w:webHidden/>
          </w:rPr>
          <w:t>25</w:t>
        </w:r>
        <w:r w:rsidR="002D46DA">
          <w:rPr>
            <w:noProof/>
            <w:webHidden/>
          </w:rPr>
          <w:fldChar w:fldCharType="end"/>
        </w:r>
      </w:hyperlink>
    </w:p>
    <w:p w:rsidR="002D46DA" w:rsidRDefault="0041316D" w:rsidP="002D46DA">
      <w:pPr>
        <w:pStyle w:val="TOC3"/>
        <w:tabs>
          <w:tab w:val="right" w:leader="dot" w:pos="9962"/>
        </w:tabs>
        <w:rPr>
          <w:rFonts w:asciiTheme="minorHAnsi" w:eastAsiaTheme="minorEastAsia" w:hAnsiTheme="minorHAnsi" w:cstheme="minorBidi"/>
          <w:noProof/>
          <w:sz w:val="22"/>
          <w:szCs w:val="22"/>
        </w:rPr>
      </w:pPr>
      <w:hyperlink w:anchor="_Toc485812744" w:history="1">
        <w:r w:rsidR="002D46DA" w:rsidRPr="004571A7">
          <w:rPr>
            <w:rStyle w:val="Hyperlink"/>
            <w:noProof/>
            <w:lang w:val="fr-CA"/>
          </w:rPr>
          <w:t>4.1.5. Rapports sur les résultats ministériels (RRM)</w:t>
        </w:r>
        <w:r w:rsidR="002D46DA">
          <w:rPr>
            <w:noProof/>
            <w:webHidden/>
          </w:rPr>
          <w:tab/>
        </w:r>
        <w:r w:rsidR="002D46DA">
          <w:rPr>
            <w:noProof/>
            <w:webHidden/>
          </w:rPr>
          <w:fldChar w:fldCharType="begin"/>
        </w:r>
        <w:r w:rsidR="002D46DA">
          <w:rPr>
            <w:noProof/>
            <w:webHidden/>
          </w:rPr>
          <w:instrText xml:space="preserve"> PAGEREF _Toc485812744 \h </w:instrText>
        </w:r>
        <w:r w:rsidR="002D46DA">
          <w:rPr>
            <w:noProof/>
            <w:webHidden/>
          </w:rPr>
        </w:r>
        <w:r w:rsidR="002D46DA">
          <w:rPr>
            <w:noProof/>
            <w:webHidden/>
          </w:rPr>
          <w:fldChar w:fldCharType="separate"/>
        </w:r>
        <w:r w:rsidR="00E44CDA">
          <w:rPr>
            <w:noProof/>
            <w:webHidden/>
          </w:rPr>
          <w:t>25</w:t>
        </w:r>
        <w:r w:rsidR="002D46DA">
          <w:rPr>
            <w:noProof/>
            <w:webHidden/>
          </w:rPr>
          <w:fldChar w:fldCharType="end"/>
        </w:r>
      </w:hyperlink>
    </w:p>
    <w:p w:rsidR="002D46DA" w:rsidRDefault="0041316D" w:rsidP="002D46DA">
      <w:pPr>
        <w:pStyle w:val="TOC2"/>
        <w:rPr>
          <w:rFonts w:asciiTheme="minorHAnsi" w:eastAsiaTheme="minorEastAsia" w:hAnsiTheme="minorHAnsi" w:cstheme="minorBidi"/>
          <w:noProof/>
          <w:szCs w:val="22"/>
        </w:rPr>
      </w:pPr>
      <w:hyperlink w:anchor="_Toc485812745" w:history="1">
        <w:r w:rsidR="002D46DA" w:rsidRPr="004571A7">
          <w:rPr>
            <w:rStyle w:val="Hyperlink"/>
            <w:noProof/>
            <w:lang w:val="fr-CA"/>
          </w:rPr>
          <w:t>Annexe A : Rôles et responsabilités à EDSC</w:t>
        </w:r>
        <w:r w:rsidR="002D46DA">
          <w:rPr>
            <w:noProof/>
            <w:webHidden/>
          </w:rPr>
          <w:tab/>
        </w:r>
        <w:r w:rsidR="002D46DA">
          <w:rPr>
            <w:noProof/>
            <w:webHidden/>
          </w:rPr>
          <w:fldChar w:fldCharType="begin"/>
        </w:r>
        <w:r w:rsidR="002D46DA">
          <w:rPr>
            <w:noProof/>
            <w:webHidden/>
          </w:rPr>
          <w:instrText xml:space="preserve"> PAGEREF _Toc485812745 \h </w:instrText>
        </w:r>
        <w:r w:rsidR="002D46DA">
          <w:rPr>
            <w:noProof/>
            <w:webHidden/>
          </w:rPr>
        </w:r>
        <w:r w:rsidR="002D46DA">
          <w:rPr>
            <w:noProof/>
            <w:webHidden/>
          </w:rPr>
          <w:fldChar w:fldCharType="separate"/>
        </w:r>
        <w:r w:rsidR="00E44CDA">
          <w:rPr>
            <w:noProof/>
            <w:webHidden/>
          </w:rPr>
          <w:t>26</w:t>
        </w:r>
        <w:r w:rsidR="002D46DA">
          <w:rPr>
            <w:noProof/>
            <w:webHidden/>
          </w:rPr>
          <w:fldChar w:fldCharType="end"/>
        </w:r>
      </w:hyperlink>
    </w:p>
    <w:p w:rsidR="002D46DA" w:rsidRDefault="0041316D" w:rsidP="002D46DA">
      <w:pPr>
        <w:pStyle w:val="TOC2"/>
        <w:rPr>
          <w:rFonts w:asciiTheme="minorHAnsi" w:eastAsiaTheme="minorEastAsia" w:hAnsiTheme="minorHAnsi" w:cstheme="minorBidi"/>
          <w:noProof/>
          <w:szCs w:val="22"/>
        </w:rPr>
      </w:pPr>
      <w:hyperlink w:anchor="_Toc485812746" w:history="1">
        <w:r w:rsidR="002D46DA" w:rsidRPr="004571A7">
          <w:rPr>
            <w:rStyle w:val="Hyperlink"/>
            <w:noProof/>
            <w:lang w:val="fr-CA"/>
          </w:rPr>
          <w:t>Annexe B : Aperçu du système de gestion des dépenses (SGD)</w:t>
        </w:r>
        <w:r w:rsidR="002D46DA">
          <w:rPr>
            <w:noProof/>
            <w:webHidden/>
          </w:rPr>
          <w:tab/>
        </w:r>
        <w:r w:rsidR="002D46DA">
          <w:rPr>
            <w:noProof/>
            <w:webHidden/>
          </w:rPr>
          <w:fldChar w:fldCharType="begin"/>
        </w:r>
        <w:r w:rsidR="002D46DA">
          <w:rPr>
            <w:noProof/>
            <w:webHidden/>
          </w:rPr>
          <w:instrText xml:space="preserve"> PAGEREF _Toc485812746 \h </w:instrText>
        </w:r>
        <w:r w:rsidR="002D46DA">
          <w:rPr>
            <w:noProof/>
            <w:webHidden/>
          </w:rPr>
        </w:r>
        <w:r w:rsidR="002D46DA">
          <w:rPr>
            <w:noProof/>
            <w:webHidden/>
          </w:rPr>
          <w:fldChar w:fldCharType="separate"/>
        </w:r>
        <w:r w:rsidR="00E44CDA">
          <w:rPr>
            <w:noProof/>
            <w:webHidden/>
          </w:rPr>
          <w:t>28</w:t>
        </w:r>
        <w:r w:rsidR="002D46DA">
          <w:rPr>
            <w:noProof/>
            <w:webHidden/>
          </w:rPr>
          <w:fldChar w:fldCharType="end"/>
        </w:r>
      </w:hyperlink>
    </w:p>
    <w:p w:rsidR="002D46DA" w:rsidRDefault="0041316D" w:rsidP="002D46DA">
      <w:pPr>
        <w:pStyle w:val="TOC2"/>
        <w:rPr>
          <w:rFonts w:asciiTheme="minorHAnsi" w:eastAsiaTheme="minorEastAsia" w:hAnsiTheme="minorHAnsi" w:cstheme="minorBidi"/>
          <w:noProof/>
          <w:szCs w:val="22"/>
        </w:rPr>
      </w:pPr>
      <w:hyperlink w:anchor="_Toc485812747" w:history="1">
        <w:r w:rsidR="002D46DA" w:rsidRPr="004571A7">
          <w:rPr>
            <w:rStyle w:val="Hyperlink"/>
            <w:noProof/>
            <w:lang w:val="fr-CA"/>
          </w:rPr>
          <w:t>Annexe C : Rôle des principaux organismes centraux en matière d’administration financière</w:t>
        </w:r>
        <w:r w:rsidR="002D46DA">
          <w:rPr>
            <w:noProof/>
            <w:webHidden/>
          </w:rPr>
          <w:tab/>
        </w:r>
        <w:r w:rsidR="002D46DA">
          <w:rPr>
            <w:noProof/>
            <w:webHidden/>
          </w:rPr>
          <w:fldChar w:fldCharType="begin"/>
        </w:r>
        <w:r w:rsidR="002D46DA">
          <w:rPr>
            <w:noProof/>
            <w:webHidden/>
          </w:rPr>
          <w:instrText xml:space="preserve"> PAGEREF _Toc485812747 \h </w:instrText>
        </w:r>
        <w:r w:rsidR="002D46DA">
          <w:rPr>
            <w:noProof/>
            <w:webHidden/>
          </w:rPr>
        </w:r>
        <w:r w:rsidR="002D46DA">
          <w:rPr>
            <w:noProof/>
            <w:webHidden/>
          </w:rPr>
          <w:fldChar w:fldCharType="separate"/>
        </w:r>
        <w:r w:rsidR="00E44CDA">
          <w:rPr>
            <w:noProof/>
            <w:webHidden/>
          </w:rPr>
          <w:t>29</w:t>
        </w:r>
        <w:r w:rsidR="002D46DA">
          <w:rPr>
            <w:noProof/>
            <w:webHidden/>
          </w:rPr>
          <w:fldChar w:fldCharType="end"/>
        </w:r>
      </w:hyperlink>
    </w:p>
    <w:p w:rsidR="002D46DA" w:rsidRDefault="0041316D" w:rsidP="002D46DA">
      <w:pPr>
        <w:pStyle w:val="TOC2"/>
        <w:rPr>
          <w:rFonts w:asciiTheme="minorHAnsi" w:eastAsiaTheme="minorEastAsia" w:hAnsiTheme="minorHAnsi" w:cstheme="minorBidi"/>
          <w:noProof/>
          <w:szCs w:val="22"/>
        </w:rPr>
      </w:pPr>
      <w:hyperlink w:anchor="_Toc485812748" w:history="1">
        <w:r w:rsidR="002D46DA" w:rsidRPr="004571A7">
          <w:rPr>
            <w:rStyle w:val="Hyperlink"/>
            <w:noProof/>
            <w:lang w:val="fr-CA"/>
          </w:rPr>
          <w:t>Annexe D : Comités ministériels d’EDSC</w:t>
        </w:r>
        <w:r w:rsidR="002D46DA">
          <w:rPr>
            <w:noProof/>
            <w:webHidden/>
          </w:rPr>
          <w:tab/>
        </w:r>
        <w:r w:rsidR="002D46DA">
          <w:rPr>
            <w:noProof/>
            <w:webHidden/>
          </w:rPr>
          <w:fldChar w:fldCharType="begin"/>
        </w:r>
        <w:r w:rsidR="002D46DA">
          <w:rPr>
            <w:noProof/>
            <w:webHidden/>
          </w:rPr>
          <w:instrText xml:space="preserve"> PAGEREF _Toc485812748 \h </w:instrText>
        </w:r>
        <w:r w:rsidR="002D46DA">
          <w:rPr>
            <w:noProof/>
            <w:webHidden/>
          </w:rPr>
        </w:r>
        <w:r w:rsidR="002D46DA">
          <w:rPr>
            <w:noProof/>
            <w:webHidden/>
          </w:rPr>
          <w:fldChar w:fldCharType="separate"/>
        </w:r>
        <w:r w:rsidR="00E44CDA">
          <w:rPr>
            <w:noProof/>
            <w:webHidden/>
          </w:rPr>
          <w:t>31</w:t>
        </w:r>
        <w:r w:rsidR="002D46DA">
          <w:rPr>
            <w:noProof/>
            <w:webHidden/>
          </w:rPr>
          <w:fldChar w:fldCharType="end"/>
        </w:r>
      </w:hyperlink>
    </w:p>
    <w:p w:rsidR="002D46DA" w:rsidRDefault="0041316D" w:rsidP="002D46DA">
      <w:pPr>
        <w:pStyle w:val="TOC2"/>
        <w:rPr>
          <w:rFonts w:asciiTheme="minorHAnsi" w:eastAsiaTheme="minorEastAsia" w:hAnsiTheme="minorHAnsi" w:cstheme="minorBidi"/>
          <w:noProof/>
          <w:szCs w:val="22"/>
        </w:rPr>
      </w:pPr>
      <w:hyperlink w:anchor="_Toc485812749" w:history="1">
        <w:r w:rsidR="002D46DA" w:rsidRPr="004571A7">
          <w:rPr>
            <w:rStyle w:val="Hyperlink"/>
            <w:noProof/>
            <w:lang w:val="fr-CA"/>
          </w:rPr>
          <w:t>Annexe E : Processus d’ajustement budgétaire</w:t>
        </w:r>
        <w:r w:rsidR="002D46DA">
          <w:rPr>
            <w:noProof/>
            <w:webHidden/>
          </w:rPr>
          <w:tab/>
        </w:r>
        <w:r w:rsidR="002D46DA">
          <w:rPr>
            <w:noProof/>
            <w:webHidden/>
          </w:rPr>
          <w:fldChar w:fldCharType="begin"/>
        </w:r>
        <w:r w:rsidR="002D46DA">
          <w:rPr>
            <w:noProof/>
            <w:webHidden/>
          </w:rPr>
          <w:instrText xml:space="preserve"> PAGEREF _Toc485812749 \h </w:instrText>
        </w:r>
        <w:r w:rsidR="002D46DA">
          <w:rPr>
            <w:noProof/>
            <w:webHidden/>
          </w:rPr>
        </w:r>
        <w:r w:rsidR="002D46DA">
          <w:rPr>
            <w:noProof/>
            <w:webHidden/>
          </w:rPr>
          <w:fldChar w:fldCharType="separate"/>
        </w:r>
        <w:r w:rsidR="00E44CDA">
          <w:rPr>
            <w:noProof/>
            <w:webHidden/>
          </w:rPr>
          <w:t>33</w:t>
        </w:r>
        <w:r w:rsidR="002D46DA">
          <w:rPr>
            <w:noProof/>
            <w:webHidden/>
          </w:rPr>
          <w:fldChar w:fldCharType="end"/>
        </w:r>
      </w:hyperlink>
    </w:p>
    <w:p w:rsidR="002D46DA" w:rsidRDefault="0041316D" w:rsidP="002D46DA">
      <w:pPr>
        <w:pStyle w:val="TOC2"/>
        <w:rPr>
          <w:rFonts w:asciiTheme="minorHAnsi" w:eastAsiaTheme="minorEastAsia" w:hAnsiTheme="minorHAnsi" w:cstheme="minorBidi"/>
          <w:noProof/>
          <w:szCs w:val="22"/>
        </w:rPr>
      </w:pPr>
      <w:hyperlink w:anchor="_Toc485812750" w:history="1">
        <w:r w:rsidR="002D46DA" w:rsidRPr="004571A7">
          <w:rPr>
            <w:rStyle w:val="Hyperlink"/>
            <w:noProof/>
            <w:lang w:val="fr-CA"/>
          </w:rPr>
          <w:t>Annexe F : Outils relatifs à la production de rapports, au codage et au système financier d’EDSC</w:t>
        </w:r>
        <w:r w:rsidR="002D46DA">
          <w:rPr>
            <w:noProof/>
            <w:webHidden/>
          </w:rPr>
          <w:tab/>
        </w:r>
        <w:r w:rsidR="002D46DA">
          <w:rPr>
            <w:noProof/>
            <w:webHidden/>
          </w:rPr>
          <w:fldChar w:fldCharType="begin"/>
        </w:r>
        <w:r w:rsidR="002D46DA">
          <w:rPr>
            <w:noProof/>
            <w:webHidden/>
          </w:rPr>
          <w:instrText xml:space="preserve"> PAGEREF _Toc485812750 \h </w:instrText>
        </w:r>
        <w:r w:rsidR="002D46DA">
          <w:rPr>
            <w:noProof/>
            <w:webHidden/>
          </w:rPr>
        </w:r>
        <w:r w:rsidR="002D46DA">
          <w:rPr>
            <w:noProof/>
            <w:webHidden/>
          </w:rPr>
          <w:fldChar w:fldCharType="separate"/>
        </w:r>
        <w:r w:rsidR="00E44CDA">
          <w:rPr>
            <w:noProof/>
            <w:webHidden/>
          </w:rPr>
          <w:t>36</w:t>
        </w:r>
        <w:r w:rsidR="002D46DA">
          <w:rPr>
            <w:noProof/>
            <w:webHidden/>
          </w:rPr>
          <w:fldChar w:fldCharType="end"/>
        </w:r>
      </w:hyperlink>
    </w:p>
    <w:p w:rsidR="002D46DA" w:rsidRDefault="0041316D" w:rsidP="002D46DA">
      <w:pPr>
        <w:pStyle w:val="TOC2"/>
        <w:rPr>
          <w:rFonts w:asciiTheme="minorHAnsi" w:eastAsiaTheme="minorEastAsia" w:hAnsiTheme="minorHAnsi" w:cstheme="minorBidi"/>
          <w:noProof/>
          <w:szCs w:val="22"/>
        </w:rPr>
      </w:pPr>
      <w:hyperlink w:anchor="_Toc485812751" w:history="1">
        <w:r w:rsidR="002D46DA" w:rsidRPr="004571A7">
          <w:rPr>
            <w:rStyle w:val="Hyperlink"/>
            <w:noProof/>
            <w:lang w:val="fr-CA"/>
          </w:rPr>
          <w:t>Annexe G : Acronymes</w:t>
        </w:r>
        <w:r w:rsidR="002D46DA">
          <w:rPr>
            <w:noProof/>
            <w:webHidden/>
          </w:rPr>
          <w:tab/>
        </w:r>
        <w:r w:rsidR="002D46DA">
          <w:rPr>
            <w:noProof/>
            <w:webHidden/>
          </w:rPr>
          <w:fldChar w:fldCharType="begin"/>
        </w:r>
        <w:r w:rsidR="002D46DA">
          <w:rPr>
            <w:noProof/>
            <w:webHidden/>
          </w:rPr>
          <w:instrText xml:space="preserve"> PAGEREF _Toc485812751 \h </w:instrText>
        </w:r>
        <w:r w:rsidR="002D46DA">
          <w:rPr>
            <w:noProof/>
            <w:webHidden/>
          </w:rPr>
        </w:r>
        <w:r w:rsidR="002D46DA">
          <w:rPr>
            <w:noProof/>
            <w:webHidden/>
          </w:rPr>
          <w:fldChar w:fldCharType="separate"/>
        </w:r>
        <w:r w:rsidR="00E44CDA">
          <w:rPr>
            <w:noProof/>
            <w:webHidden/>
          </w:rPr>
          <w:t>39</w:t>
        </w:r>
        <w:r w:rsidR="002D46DA">
          <w:rPr>
            <w:noProof/>
            <w:webHidden/>
          </w:rPr>
          <w:fldChar w:fldCharType="end"/>
        </w:r>
      </w:hyperlink>
    </w:p>
    <w:p w:rsidR="002D46DA" w:rsidRPr="00001E0D" w:rsidRDefault="002D46DA" w:rsidP="002D46DA">
      <w:pPr>
        <w:pStyle w:val="TOC2"/>
        <w:rPr>
          <w:rFonts w:cs="Arial"/>
          <w:sz w:val="20"/>
          <w:szCs w:val="20"/>
          <w:lang w:val="fr-CA"/>
        </w:rPr>
      </w:pPr>
      <w:r w:rsidRPr="00001E0D">
        <w:rPr>
          <w:rStyle w:val="Hyperlink"/>
          <w:noProof/>
          <w:lang w:val="fr-CA"/>
        </w:rPr>
        <w:fldChar w:fldCharType="end"/>
      </w:r>
    </w:p>
    <w:p w:rsidR="002D46DA" w:rsidRDefault="002D46DA" w:rsidP="002D46DA">
      <w:pPr>
        <w:rPr>
          <w:lang w:val="fr-CA"/>
        </w:rPr>
      </w:pPr>
    </w:p>
    <w:p w:rsidR="002D46DA" w:rsidRDefault="002D46DA" w:rsidP="002D46DA">
      <w:pPr>
        <w:rPr>
          <w:lang w:val="fr-CA"/>
        </w:rPr>
      </w:pPr>
    </w:p>
    <w:p w:rsidR="002D46DA" w:rsidRDefault="002D46DA" w:rsidP="002D46DA">
      <w:pPr>
        <w:rPr>
          <w:lang w:val="fr-CA"/>
        </w:rPr>
      </w:pPr>
    </w:p>
    <w:p w:rsidR="002D46DA" w:rsidRDefault="002D46DA" w:rsidP="002D46DA">
      <w:pPr>
        <w:rPr>
          <w:lang w:val="fr-CA"/>
        </w:rPr>
      </w:pPr>
    </w:p>
    <w:p w:rsidR="002D46DA" w:rsidRDefault="002D46DA" w:rsidP="002D46DA">
      <w:pPr>
        <w:rPr>
          <w:lang w:val="fr-CA"/>
        </w:rPr>
      </w:pPr>
    </w:p>
    <w:p w:rsidR="002D46DA" w:rsidRDefault="002D46DA" w:rsidP="002D46DA">
      <w:pPr>
        <w:rPr>
          <w:lang w:val="fr-CA"/>
        </w:rPr>
      </w:pPr>
    </w:p>
    <w:p w:rsidR="002D46DA" w:rsidRDefault="002D46DA" w:rsidP="002D46DA">
      <w:pPr>
        <w:rPr>
          <w:lang w:val="fr-CA"/>
        </w:rPr>
      </w:pPr>
    </w:p>
    <w:p w:rsidR="002D46DA" w:rsidRDefault="002D46DA" w:rsidP="002D46DA">
      <w:pPr>
        <w:rPr>
          <w:lang w:val="fr-CA"/>
        </w:rPr>
      </w:pPr>
    </w:p>
    <w:p w:rsidR="002D46DA" w:rsidRDefault="002D46DA" w:rsidP="002D46DA">
      <w:pPr>
        <w:rPr>
          <w:lang w:val="fr-CA"/>
        </w:rPr>
      </w:pPr>
    </w:p>
    <w:p w:rsidR="002D46DA" w:rsidRDefault="002D46DA" w:rsidP="002D46DA">
      <w:pPr>
        <w:rPr>
          <w:lang w:val="fr-CA"/>
        </w:rPr>
      </w:pPr>
    </w:p>
    <w:p w:rsidR="002D46DA" w:rsidRDefault="002D46DA" w:rsidP="002D46DA">
      <w:pPr>
        <w:rPr>
          <w:lang w:val="fr-CA"/>
        </w:rPr>
      </w:pPr>
    </w:p>
    <w:p w:rsidR="002D46DA" w:rsidRDefault="002D46DA" w:rsidP="002D46DA">
      <w:pPr>
        <w:rPr>
          <w:lang w:val="fr-CA"/>
        </w:rPr>
      </w:pPr>
    </w:p>
    <w:p w:rsidR="002D46DA" w:rsidRDefault="002D46DA" w:rsidP="002D46DA">
      <w:pPr>
        <w:rPr>
          <w:lang w:val="fr-CA"/>
        </w:rPr>
      </w:pPr>
    </w:p>
    <w:p w:rsidR="002D46DA" w:rsidRDefault="002D46DA" w:rsidP="002D46DA">
      <w:pPr>
        <w:rPr>
          <w:lang w:val="fr-CA"/>
        </w:rPr>
      </w:pPr>
    </w:p>
    <w:p w:rsidR="002D46DA" w:rsidRDefault="002D46DA" w:rsidP="002D46DA">
      <w:pPr>
        <w:rPr>
          <w:lang w:val="fr-CA"/>
        </w:rPr>
      </w:pPr>
    </w:p>
    <w:p w:rsidR="002D46DA" w:rsidRDefault="002D46DA" w:rsidP="002D46DA">
      <w:pPr>
        <w:rPr>
          <w:lang w:val="fr-CA"/>
        </w:rPr>
      </w:pPr>
    </w:p>
    <w:p w:rsidR="002D46DA" w:rsidRDefault="002D46DA" w:rsidP="002D46DA">
      <w:pPr>
        <w:rPr>
          <w:lang w:val="fr-CA"/>
        </w:rPr>
      </w:pPr>
    </w:p>
    <w:p w:rsidR="002D46DA" w:rsidRDefault="002D46DA" w:rsidP="002D46DA">
      <w:pPr>
        <w:rPr>
          <w:lang w:val="fr-CA"/>
        </w:rPr>
      </w:pPr>
    </w:p>
    <w:p w:rsidR="002D46DA" w:rsidRDefault="002D46DA" w:rsidP="002D46DA">
      <w:pPr>
        <w:rPr>
          <w:lang w:val="fr-CA"/>
        </w:rPr>
      </w:pPr>
    </w:p>
    <w:p w:rsidR="002D46DA" w:rsidRDefault="002D46DA" w:rsidP="002D46DA">
      <w:pPr>
        <w:rPr>
          <w:lang w:val="fr-CA"/>
        </w:rPr>
      </w:pPr>
    </w:p>
    <w:p w:rsidR="002D46DA" w:rsidRDefault="002D46DA" w:rsidP="002D46DA">
      <w:pPr>
        <w:rPr>
          <w:lang w:val="fr-CA"/>
        </w:rPr>
      </w:pPr>
    </w:p>
    <w:p w:rsidR="002D46DA" w:rsidRDefault="002D46DA" w:rsidP="002D46DA">
      <w:pPr>
        <w:rPr>
          <w:lang w:val="fr-CA"/>
        </w:rPr>
      </w:pPr>
    </w:p>
    <w:p w:rsidR="002D46DA" w:rsidRDefault="002D46DA" w:rsidP="002D46DA">
      <w:pPr>
        <w:rPr>
          <w:lang w:val="fr-CA"/>
        </w:rPr>
      </w:pPr>
    </w:p>
    <w:p w:rsidR="002D46DA" w:rsidRDefault="002D46DA" w:rsidP="002D46DA">
      <w:pPr>
        <w:rPr>
          <w:lang w:val="fr-CA"/>
        </w:rPr>
      </w:pPr>
    </w:p>
    <w:p w:rsidR="002D46DA" w:rsidRDefault="002D46DA" w:rsidP="002D46DA">
      <w:pPr>
        <w:rPr>
          <w:lang w:val="fr-CA"/>
        </w:rPr>
      </w:pPr>
    </w:p>
    <w:p w:rsidR="002D46DA" w:rsidRDefault="002D46DA" w:rsidP="002D46DA">
      <w:pPr>
        <w:rPr>
          <w:lang w:val="fr-CA"/>
        </w:rPr>
      </w:pPr>
    </w:p>
    <w:p w:rsidR="002D46DA" w:rsidRDefault="002D46DA" w:rsidP="002D46DA">
      <w:pPr>
        <w:rPr>
          <w:lang w:val="fr-CA"/>
        </w:rPr>
      </w:pPr>
    </w:p>
    <w:p w:rsidR="002D46DA" w:rsidRDefault="002D46DA" w:rsidP="002D46DA">
      <w:pPr>
        <w:rPr>
          <w:lang w:val="fr-CA"/>
        </w:rPr>
      </w:pPr>
    </w:p>
    <w:p w:rsidR="002D46DA" w:rsidRDefault="002D46DA" w:rsidP="002D46DA">
      <w:pPr>
        <w:rPr>
          <w:lang w:val="fr-CA"/>
        </w:rPr>
      </w:pPr>
    </w:p>
    <w:p w:rsidR="002D46DA" w:rsidRDefault="002D46DA" w:rsidP="002D46DA">
      <w:pPr>
        <w:rPr>
          <w:lang w:val="fr-CA"/>
        </w:rPr>
      </w:pPr>
    </w:p>
    <w:p w:rsidR="002D46DA" w:rsidRPr="00001E0D" w:rsidRDefault="002D46DA" w:rsidP="002D46DA">
      <w:pPr>
        <w:pStyle w:val="Heading1"/>
        <w:rPr>
          <w:lang w:val="fr-CA"/>
        </w:rPr>
      </w:pPr>
      <w:bookmarkStart w:id="1" w:name="_Toc485812684"/>
      <w:r>
        <w:rPr>
          <w:lang w:val="fr-CA"/>
        </w:rPr>
        <w:lastRenderedPageBreak/>
        <w:t>AVANT-PROPOS</w:t>
      </w:r>
      <w:bookmarkEnd w:id="1"/>
      <w:r w:rsidRPr="00001E0D">
        <w:rPr>
          <w:lang w:val="fr-CA"/>
        </w:rPr>
        <w:t xml:space="preserve"> </w:t>
      </w:r>
    </w:p>
    <w:p w:rsidR="002D46DA" w:rsidRPr="00001E0D" w:rsidRDefault="002D46DA" w:rsidP="002D46DA">
      <w:pPr>
        <w:rPr>
          <w:rFonts w:ascii="Arial" w:hAnsi="Arial" w:cs="Arial"/>
          <w:sz w:val="20"/>
          <w:szCs w:val="20"/>
          <w:lang w:val="fr-CA"/>
        </w:rPr>
      </w:pPr>
    </w:p>
    <w:p w:rsidR="002D46DA" w:rsidRPr="00B934B9" w:rsidRDefault="002D46DA" w:rsidP="002D46DA">
      <w:pPr>
        <w:rPr>
          <w:rFonts w:ascii="Arial" w:hAnsi="Arial" w:cs="Arial"/>
          <w:sz w:val="20"/>
          <w:szCs w:val="20"/>
          <w:lang w:val="fr-CA"/>
        </w:rPr>
      </w:pPr>
      <w:r w:rsidRPr="00B934B9">
        <w:rPr>
          <w:rFonts w:ascii="Arial" w:hAnsi="Arial" w:cs="Arial"/>
          <w:sz w:val="20"/>
          <w:szCs w:val="20"/>
          <w:lang w:val="fr-CA"/>
        </w:rPr>
        <w:t xml:space="preserve">Le présent document expose les principaux éléments de la gestion financière au sein d’Emploi et Développement social Canada (EDSC) portant sur les quatre grands éléments suivants : l’acquisition des ressources, l’affectation des ressources, la gestion des ressources, ainsi que la présentation de rapports et le suivi. Il présente de façon distincte des détails concernant chacun de ces éléments afin que le lecteur puisse mieux comprendre le cadre de gestion financière du </w:t>
      </w:r>
      <w:r w:rsidR="00B9516F">
        <w:rPr>
          <w:rFonts w:ascii="Arial" w:hAnsi="Arial" w:cs="Arial"/>
          <w:sz w:val="20"/>
          <w:szCs w:val="20"/>
          <w:lang w:val="fr-CA"/>
        </w:rPr>
        <w:t>ministère</w:t>
      </w:r>
      <w:r w:rsidRPr="00B934B9">
        <w:rPr>
          <w:rFonts w:ascii="Arial" w:hAnsi="Arial" w:cs="Arial"/>
          <w:sz w:val="20"/>
          <w:szCs w:val="20"/>
          <w:lang w:val="fr-CA"/>
        </w:rPr>
        <w:t>, son fonctionnement et son rôle en vue d’assurer une saine gestion des ressources.</w:t>
      </w:r>
    </w:p>
    <w:p w:rsidR="002D46DA" w:rsidRPr="00B934B9" w:rsidRDefault="002D46DA" w:rsidP="002D46DA">
      <w:pPr>
        <w:rPr>
          <w:rFonts w:ascii="Arial" w:hAnsi="Arial" w:cs="Arial"/>
          <w:sz w:val="20"/>
          <w:szCs w:val="20"/>
          <w:lang w:val="fr-CA"/>
        </w:rPr>
      </w:pPr>
      <w:bookmarkStart w:id="2" w:name="IA1"/>
      <w:bookmarkStart w:id="3" w:name="I"/>
      <w:bookmarkEnd w:id="2"/>
      <w:bookmarkEnd w:id="3"/>
    </w:p>
    <w:p w:rsidR="002D46DA" w:rsidRPr="00B934B9" w:rsidRDefault="002D46DA" w:rsidP="002D46DA">
      <w:pPr>
        <w:rPr>
          <w:rFonts w:ascii="Arial" w:hAnsi="Arial" w:cs="Arial"/>
          <w:sz w:val="20"/>
          <w:szCs w:val="20"/>
          <w:lang w:val="fr-CA"/>
        </w:rPr>
      </w:pPr>
      <w:r w:rsidRPr="00B934B9">
        <w:rPr>
          <w:rFonts w:ascii="Arial" w:hAnsi="Arial" w:cs="Arial"/>
          <w:sz w:val="20"/>
          <w:szCs w:val="20"/>
          <w:lang w:val="fr-CA"/>
        </w:rPr>
        <w:t>Il faut prendre note que le présent document a été élaboré dans le contexte d’initiatives centrales visant à renforcer la gestion du secteur public et à faire preuve d’une plus grande transparence dans l’utilisation des ressources publiques fédérales, et conformément à ces initiatives. Ce document est conforme avec l’objectif du gouvernement fédéral, qui consiste à créer un milieu favorisant une plus grande responsabilité financière et une meilleure reddition des comptes.</w:t>
      </w:r>
    </w:p>
    <w:p w:rsidR="002D46DA" w:rsidRPr="00B934B9" w:rsidRDefault="002D46DA" w:rsidP="002D46DA">
      <w:pPr>
        <w:rPr>
          <w:rFonts w:ascii="Arial" w:hAnsi="Arial" w:cs="Arial"/>
          <w:sz w:val="20"/>
          <w:szCs w:val="20"/>
          <w:lang w:val="fr-CA"/>
        </w:rPr>
      </w:pPr>
    </w:p>
    <w:p w:rsidR="002D46DA" w:rsidRPr="00B934B9" w:rsidRDefault="002D46DA" w:rsidP="002D46DA">
      <w:pPr>
        <w:rPr>
          <w:rFonts w:ascii="Arial" w:hAnsi="Arial" w:cs="Arial"/>
          <w:sz w:val="20"/>
          <w:szCs w:val="20"/>
          <w:lang w:val="fr-CA"/>
        </w:rPr>
      </w:pPr>
      <w:r w:rsidRPr="00B934B9">
        <w:rPr>
          <w:rFonts w:ascii="Arial" w:hAnsi="Arial" w:cs="Arial"/>
          <w:sz w:val="20"/>
          <w:szCs w:val="20"/>
          <w:lang w:val="fr-CA"/>
        </w:rPr>
        <w:t xml:space="preserve">Ce document a pour but d’aider les gestionnaires et les employés à mieux comprendre les différents processus de gestion financière et ainsi les aider à assumer leurs responsabilités en matière de gestion, ce qui est essentiel à l’utilisation efficace, efficiente et rentable des ressources du </w:t>
      </w:r>
      <w:r w:rsidR="00A65707">
        <w:rPr>
          <w:rFonts w:ascii="Arial" w:hAnsi="Arial" w:cs="Arial"/>
          <w:sz w:val="20"/>
          <w:szCs w:val="20"/>
          <w:lang w:val="fr-CA"/>
        </w:rPr>
        <w:t>ministère</w:t>
      </w:r>
      <w:r w:rsidRPr="00B934B9">
        <w:rPr>
          <w:rFonts w:ascii="Arial" w:hAnsi="Arial" w:cs="Arial"/>
          <w:sz w:val="20"/>
          <w:szCs w:val="20"/>
          <w:lang w:val="fr-CA"/>
        </w:rPr>
        <w:t xml:space="preserve">. Ces responsabilités ont une importance particulière en raison des complexités du </w:t>
      </w:r>
      <w:r w:rsidR="00A65707">
        <w:rPr>
          <w:rFonts w:ascii="Arial" w:hAnsi="Arial" w:cs="Arial"/>
          <w:sz w:val="20"/>
          <w:szCs w:val="20"/>
          <w:lang w:val="fr-CA"/>
        </w:rPr>
        <w:t>ministère</w:t>
      </w:r>
      <w:r w:rsidRPr="00B934B9">
        <w:rPr>
          <w:rFonts w:ascii="Arial" w:hAnsi="Arial" w:cs="Arial"/>
          <w:sz w:val="20"/>
          <w:szCs w:val="20"/>
          <w:lang w:val="fr-CA"/>
        </w:rPr>
        <w:t xml:space="preserve"> en ce qui concerne ses différentes sources de financement. (</w:t>
      </w:r>
      <w:r w:rsidRPr="00B934B9">
        <w:rPr>
          <w:rFonts w:ascii="Arial" w:hAnsi="Arial" w:cs="Arial"/>
          <w:i/>
          <w:sz w:val="20"/>
          <w:szCs w:val="20"/>
          <w:lang w:val="fr-CA"/>
        </w:rPr>
        <w:t>Veuillez également consulter l’</w:t>
      </w:r>
      <w:hyperlink w:anchor="_Annex_A:_" w:history="1">
        <w:r w:rsidRPr="00B934B9">
          <w:rPr>
            <w:rStyle w:val="Hyperlink"/>
            <w:rFonts w:ascii="Arial" w:hAnsi="Arial" w:cs="Arial"/>
            <w:i/>
            <w:sz w:val="20"/>
            <w:szCs w:val="20"/>
            <w:lang w:val="fr-CA"/>
          </w:rPr>
          <w:t>annexe A</w:t>
        </w:r>
      </w:hyperlink>
      <w:r w:rsidRPr="00B934B9">
        <w:rPr>
          <w:rFonts w:ascii="Arial" w:hAnsi="Arial" w:cs="Arial"/>
          <w:i/>
          <w:sz w:val="20"/>
          <w:szCs w:val="20"/>
          <w:lang w:val="fr-CA"/>
        </w:rPr>
        <w:t xml:space="preserve"> pour obtenir de plus amples renseignements sur les rôles et les responsabilités d’EDSC</w:t>
      </w:r>
      <w:r w:rsidRPr="00B934B9">
        <w:rPr>
          <w:rFonts w:ascii="Arial" w:hAnsi="Arial" w:cs="Arial"/>
          <w:sz w:val="20"/>
          <w:szCs w:val="20"/>
          <w:lang w:val="fr-CA"/>
        </w:rPr>
        <w:t>).</w:t>
      </w:r>
    </w:p>
    <w:p w:rsidR="002D46DA" w:rsidRPr="00001E0D" w:rsidRDefault="002D46DA" w:rsidP="002D46DA">
      <w:pPr>
        <w:rPr>
          <w:rFonts w:ascii="Arial" w:hAnsi="Arial" w:cs="Arial"/>
          <w:sz w:val="20"/>
          <w:szCs w:val="20"/>
          <w:lang w:val="fr-CA"/>
        </w:rPr>
      </w:pPr>
    </w:p>
    <w:p w:rsidR="002D46DA" w:rsidRPr="00001E0D" w:rsidRDefault="002D46DA" w:rsidP="002D46DA">
      <w:pPr>
        <w:rPr>
          <w:rFonts w:ascii="Arial" w:hAnsi="Arial" w:cs="Arial"/>
          <w:sz w:val="20"/>
          <w:szCs w:val="20"/>
          <w:lang w:val="fr-CA"/>
        </w:rPr>
      </w:pPr>
    </w:p>
    <w:p w:rsidR="002D46DA" w:rsidRPr="00001E0D" w:rsidRDefault="002D46DA" w:rsidP="002D46DA">
      <w:pPr>
        <w:rPr>
          <w:rFonts w:ascii="Arial" w:hAnsi="Arial" w:cs="Arial"/>
          <w:sz w:val="20"/>
          <w:szCs w:val="20"/>
          <w:lang w:val="fr-CA"/>
        </w:rPr>
      </w:pPr>
      <w:r w:rsidRPr="00D3212A">
        <w:rPr>
          <w:rFonts w:ascii="Arial" w:hAnsi="Arial" w:cs="Arial"/>
          <w:sz w:val="20"/>
          <w:szCs w:val="20"/>
          <w:lang w:val="fr-CA"/>
        </w:rPr>
        <w:t>Voici un résumé des principaux secteurs d’intervention du cadre</w:t>
      </w:r>
      <w:r>
        <w:rPr>
          <w:rFonts w:ascii="Arial" w:hAnsi="Arial" w:cs="Arial"/>
          <w:sz w:val="20"/>
          <w:szCs w:val="20"/>
          <w:lang w:val="fr-CA"/>
        </w:rPr>
        <w:t> </w:t>
      </w:r>
      <w:r w:rsidRPr="00001E0D">
        <w:rPr>
          <w:rFonts w:ascii="Arial" w:hAnsi="Arial" w:cs="Arial"/>
          <w:sz w:val="20"/>
          <w:szCs w:val="20"/>
          <w:lang w:val="fr-CA"/>
        </w:rPr>
        <w:t>:</w:t>
      </w:r>
    </w:p>
    <w:p w:rsidR="002D46DA" w:rsidRPr="00001E0D" w:rsidRDefault="002D46DA" w:rsidP="002D46DA">
      <w:pPr>
        <w:rPr>
          <w:rFonts w:ascii="Arial" w:hAnsi="Arial" w:cs="Arial"/>
          <w:sz w:val="20"/>
          <w:szCs w:val="20"/>
          <w:lang w:val="fr-CA"/>
        </w:rPr>
      </w:pPr>
    </w:p>
    <w:p w:rsidR="002D46DA" w:rsidRPr="00001E0D" w:rsidRDefault="002D46DA" w:rsidP="002D46DA">
      <w:pPr>
        <w:ind w:left="360"/>
        <w:rPr>
          <w:rFonts w:ascii="Arial" w:hAnsi="Arial" w:cs="Arial"/>
          <w:sz w:val="20"/>
          <w:szCs w:val="20"/>
          <w:lang w:val="fr-CA"/>
        </w:rPr>
      </w:pPr>
      <w:r w:rsidRPr="00001E0D">
        <w:rPr>
          <w:rFonts w:ascii="Arial" w:hAnsi="Arial" w:cs="Arial"/>
          <w:b/>
          <w:sz w:val="20"/>
          <w:szCs w:val="20"/>
          <w:lang w:val="fr-CA"/>
        </w:rPr>
        <w:t xml:space="preserve">Acquisition </w:t>
      </w:r>
      <w:r>
        <w:rPr>
          <w:rFonts w:ascii="Arial" w:hAnsi="Arial" w:cs="Arial"/>
          <w:b/>
          <w:sz w:val="20"/>
          <w:szCs w:val="20"/>
          <w:lang w:val="fr-CA"/>
        </w:rPr>
        <w:t>des ressources</w:t>
      </w:r>
      <w:r w:rsidRPr="00001E0D">
        <w:rPr>
          <w:rFonts w:ascii="Arial" w:hAnsi="Arial" w:cs="Arial"/>
          <w:sz w:val="20"/>
          <w:szCs w:val="20"/>
          <w:lang w:val="fr-CA"/>
        </w:rPr>
        <w:t xml:space="preserve"> – </w:t>
      </w:r>
      <w:r w:rsidRPr="00D3212A">
        <w:rPr>
          <w:rFonts w:ascii="Arial" w:hAnsi="Arial" w:cs="Arial"/>
          <w:sz w:val="20"/>
          <w:szCs w:val="20"/>
          <w:lang w:val="fr-CA"/>
        </w:rPr>
        <w:t xml:space="preserve">englobe les processus </w:t>
      </w:r>
      <w:r>
        <w:rPr>
          <w:rFonts w:ascii="Arial" w:hAnsi="Arial" w:cs="Arial"/>
          <w:sz w:val="20"/>
          <w:szCs w:val="20"/>
          <w:lang w:val="fr-CA"/>
        </w:rPr>
        <w:t>ex</w:t>
      </w:r>
      <w:r w:rsidRPr="00D3212A">
        <w:rPr>
          <w:rFonts w:ascii="Arial" w:hAnsi="Arial" w:cs="Arial"/>
          <w:sz w:val="20"/>
          <w:szCs w:val="20"/>
          <w:lang w:val="fr-CA"/>
        </w:rPr>
        <w:t xml:space="preserve">ternes dirigés par des organismes centraux par lesquels le </w:t>
      </w:r>
      <w:r w:rsidR="00A65707">
        <w:rPr>
          <w:rFonts w:ascii="Arial" w:hAnsi="Arial" w:cs="Arial"/>
          <w:sz w:val="20"/>
          <w:szCs w:val="20"/>
          <w:lang w:val="fr-CA"/>
        </w:rPr>
        <w:t>ministère</w:t>
      </w:r>
      <w:r w:rsidRPr="00D3212A">
        <w:rPr>
          <w:rFonts w:ascii="Arial" w:hAnsi="Arial" w:cs="Arial"/>
          <w:sz w:val="20"/>
          <w:szCs w:val="20"/>
          <w:lang w:val="fr-CA"/>
        </w:rPr>
        <w:t xml:space="preserve"> reçoit la confirmation que les fonds existants et les fonds supplémentaires permettent d’offrir ses divers programmes et services</w:t>
      </w:r>
      <w:r w:rsidRPr="00001E0D">
        <w:rPr>
          <w:rFonts w:ascii="Arial" w:hAnsi="Arial" w:cs="Arial"/>
          <w:sz w:val="20"/>
          <w:szCs w:val="20"/>
          <w:lang w:val="fr-CA"/>
        </w:rPr>
        <w:t>.</w:t>
      </w:r>
    </w:p>
    <w:p w:rsidR="002D46DA" w:rsidRPr="00001E0D" w:rsidRDefault="002D46DA" w:rsidP="002D46DA">
      <w:pPr>
        <w:ind w:left="360"/>
        <w:rPr>
          <w:rFonts w:ascii="Arial" w:hAnsi="Arial" w:cs="Arial"/>
          <w:sz w:val="20"/>
          <w:szCs w:val="20"/>
          <w:lang w:val="fr-CA"/>
        </w:rPr>
      </w:pPr>
    </w:p>
    <w:p w:rsidR="002D46DA" w:rsidRPr="00001E0D" w:rsidRDefault="002D46DA" w:rsidP="002D46DA">
      <w:pPr>
        <w:ind w:left="360"/>
        <w:rPr>
          <w:rFonts w:ascii="Arial" w:hAnsi="Arial" w:cs="Arial"/>
          <w:sz w:val="20"/>
          <w:szCs w:val="20"/>
          <w:lang w:val="fr-CA"/>
        </w:rPr>
      </w:pPr>
      <w:r>
        <w:rPr>
          <w:rFonts w:ascii="Arial" w:hAnsi="Arial" w:cs="Arial"/>
          <w:b/>
          <w:sz w:val="20"/>
          <w:szCs w:val="20"/>
          <w:lang w:val="fr-CA"/>
        </w:rPr>
        <w:t>Affectation des ressources</w:t>
      </w:r>
      <w:r w:rsidRPr="00001E0D">
        <w:rPr>
          <w:rFonts w:ascii="Arial" w:hAnsi="Arial" w:cs="Arial"/>
          <w:sz w:val="20"/>
          <w:szCs w:val="20"/>
          <w:lang w:val="fr-CA"/>
        </w:rPr>
        <w:t xml:space="preserve"> – </w:t>
      </w:r>
      <w:r w:rsidRPr="00D3212A">
        <w:rPr>
          <w:rFonts w:ascii="Arial" w:hAnsi="Arial" w:cs="Arial"/>
          <w:sz w:val="20"/>
          <w:szCs w:val="20"/>
          <w:lang w:val="fr-CA"/>
        </w:rPr>
        <w:t xml:space="preserve">décrit les processus et les pratiques internes qui permettent d’affecter les ressources disponibles pour réaliser le mandat du </w:t>
      </w:r>
      <w:r w:rsidR="00A65707">
        <w:rPr>
          <w:rFonts w:ascii="Arial" w:hAnsi="Arial" w:cs="Arial"/>
          <w:sz w:val="20"/>
          <w:szCs w:val="20"/>
          <w:lang w:val="fr-CA"/>
        </w:rPr>
        <w:t>ministère</w:t>
      </w:r>
      <w:r w:rsidRPr="00D3212A">
        <w:rPr>
          <w:rFonts w:ascii="Arial" w:hAnsi="Arial" w:cs="Arial"/>
          <w:sz w:val="20"/>
          <w:szCs w:val="20"/>
          <w:lang w:val="fr-CA"/>
        </w:rPr>
        <w:t xml:space="preserve"> et obtenir les résultats attendus</w:t>
      </w:r>
      <w:r w:rsidRPr="00001E0D">
        <w:rPr>
          <w:rFonts w:ascii="Arial" w:hAnsi="Arial" w:cs="Arial"/>
          <w:sz w:val="20"/>
          <w:szCs w:val="20"/>
          <w:lang w:val="fr-CA"/>
        </w:rPr>
        <w:t>.</w:t>
      </w:r>
    </w:p>
    <w:p w:rsidR="002D46DA" w:rsidRPr="00001E0D" w:rsidRDefault="002D46DA" w:rsidP="002D46DA">
      <w:pPr>
        <w:ind w:left="360"/>
        <w:rPr>
          <w:rFonts w:ascii="Arial" w:hAnsi="Arial" w:cs="Arial"/>
          <w:sz w:val="20"/>
          <w:szCs w:val="20"/>
          <w:lang w:val="fr-CA"/>
        </w:rPr>
      </w:pPr>
    </w:p>
    <w:p w:rsidR="002D46DA" w:rsidRPr="00001E0D" w:rsidRDefault="002D46DA" w:rsidP="002D46DA">
      <w:pPr>
        <w:ind w:left="360"/>
        <w:rPr>
          <w:rFonts w:ascii="Arial" w:hAnsi="Arial" w:cs="Arial"/>
          <w:sz w:val="20"/>
          <w:szCs w:val="20"/>
          <w:lang w:val="fr-CA"/>
        </w:rPr>
      </w:pPr>
      <w:r>
        <w:rPr>
          <w:rFonts w:ascii="Arial" w:hAnsi="Arial" w:cs="Arial"/>
          <w:b/>
          <w:sz w:val="20"/>
          <w:szCs w:val="20"/>
          <w:lang w:val="fr-CA"/>
        </w:rPr>
        <w:t>Gestion des ressources</w:t>
      </w:r>
      <w:r w:rsidRPr="00001E0D">
        <w:rPr>
          <w:rFonts w:ascii="Arial" w:hAnsi="Arial" w:cs="Arial"/>
          <w:sz w:val="20"/>
          <w:szCs w:val="20"/>
          <w:lang w:val="fr-CA"/>
        </w:rPr>
        <w:t xml:space="preserve"> – </w:t>
      </w:r>
      <w:r w:rsidRPr="00D3212A">
        <w:rPr>
          <w:rFonts w:ascii="Arial" w:hAnsi="Arial" w:cs="Arial"/>
          <w:sz w:val="20"/>
          <w:szCs w:val="20"/>
          <w:lang w:val="fr-CA"/>
        </w:rPr>
        <w:t>comprend les diverses mesures de contrôle mises en place pour assurer une protection appropriée des biens et une gérance adéquate des ressources</w:t>
      </w:r>
      <w:r w:rsidRPr="00001E0D">
        <w:rPr>
          <w:rFonts w:ascii="Arial" w:hAnsi="Arial" w:cs="Arial"/>
          <w:sz w:val="20"/>
          <w:szCs w:val="20"/>
          <w:lang w:val="fr-CA"/>
        </w:rPr>
        <w:t>.</w:t>
      </w:r>
    </w:p>
    <w:p w:rsidR="002D46DA" w:rsidRPr="00001E0D" w:rsidRDefault="002D46DA" w:rsidP="002D46DA">
      <w:pPr>
        <w:ind w:left="360"/>
        <w:rPr>
          <w:rFonts w:ascii="Arial" w:hAnsi="Arial" w:cs="Arial"/>
          <w:sz w:val="20"/>
          <w:szCs w:val="20"/>
          <w:lang w:val="fr-CA"/>
        </w:rPr>
      </w:pPr>
    </w:p>
    <w:p w:rsidR="002D46DA" w:rsidRPr="00001E0D" w:rsidRDefault="002D46DA" w:rsidP="002D46DA">
      <w:pPr>
        <w:ind w:left="360"/>
        <w:rPr>
          <w:rFonts w:ascii="Arial" w:hAnsi="Arial" w:cs="Arial"/>
          <w:sz w:val="20"/>
          <w:szCs w:val="20"/>
          <w:lang w:val="fr-CA"/>
        </w:rPr>
      </w:pPr>
      <w:r>
        <w:rPr>
          <w:rFonts w:ascii="Arial" w:hAnsi="Arial" w:cs="Arial"/>
          <w:b/>
          <w:sz w:val="20"/>
          <w:szCs w:val="20"/>
          <w:lang w:val="fr-CA"/>
        </w:rPr>
        <w:t>Présentation de rapports et suivi</w:t>
      </w:r>
      <w:r w:rsidRPr="00001E0D">
        <w:rPr>
          <w:rFonts w:ascii="Arial" w:hAnsi="Arial" w:cs="Arial"/>
          <w:sz w:val="20"/>
          <w:szCs w:val="20"/>
          <w:lang w:val="fr-CA"/>
        </w:rPr>
        <w:t xml:space="preserve"> – </w:t>
      </w:r>
      <w:r w:rsidRPr="00D3212A">
        <w:rPr>
          <w:rFonts w:ascii="Arial" w:hAnsi="Arial" w:cs="Arial"/>
          <w:sz w:val="20"/>
          <w:szCs w:val="20"/>
          <w:lang w:val="fr-CA"/>
        </w:rPr>
        <w:t>décrit les différentes pratiques externes permettant de présenter des rapports sur les priorités et les résultats obtenus, y compris le rendement financier</w:t>
      </w:r>
      <w:r w:rsidRPr="00001E0D">
        <w:rPr>
          <w:rFonts w:ascii="Arial" w:hAnsi="Arial" w:cs="Arial"/>
          <w:sz w:val="20"/>
          <w:szCs w:val="20"/>
          <w:lang w:val="fr-CA"/>
        </w:rPr>
        <w:t>.</w:t>
      </w:r>
    </w:p>
    <w:p w:rsidR="002D46DA" w:rsidRDefault="002D46DA" w:rsidP="002D46DA">
      <w:pPr>
        <w:rPr>
          <w:rFonts w:ascii="Arial" w:hAnsi="Arial" w:cs="Arial"/>
          <w:sz w:val="20"/>
          <w:szCs w:val="20"/>
          <w:lang w:val="fr-CA"/>
        </w:rPr>
      </w:pPr>
    </w:p>
    <w:p w:rsidR="002D46DA" w:rsidRDefault="002D46DA" w:rsidP="002D46DA">
      <w:pPr>
        <w:rPr>
          <w:rFonts w:ascii="Arial" w:hAnsi="Arial" w:cs="Arial"/>
          <w:sz w:val="20"/>
          <w:szCs w:val="20"/>
          <w:lang w:val="fr-CA"/>
        </w:rPr>
      </w:pPr>
    </w:p>
    <w:p w:rsidR="002D46DA" w:rsidRDefault="002D46DA" w:rsidP="002D46DA">
      <w:pPr>
        <w:rPr>
          <w:rFonts w:ascii="Arial" w:hAnsi="Arial" w:cs="Arial"/>
          <w:sz w:val="20"/>
          <w:szCs w:val="20"/>
          <w:lang w:val="fr-CA"/>
        </w:rPr>
      </w:pPr>
    </w:p>
    <w:p w:rsidR="002D46DA" w:rsidRDefault="002D46DA" w:rsidP="002D46DA">
      <w:pPr>
        <w:rPr>
          <w:rFonts w:ascii="Arial" w:hAnsi="Arial" w:cs="Arial"/>
          <w:sz w:val="20"/>
          <w:szCs w:val="20"/>
          <w:lang w:val="fr-CA"/>
        </w:rPr>
      </w:pPr>
    </w:p>
    <w:p w:rsidR="002D46DA" w:rsidRDefault="002D46DA" w:rsidP="002D46DA">
      <w:pPr>
        <w:rPr>
          <w:rFonts w:ascii="Arial" w:hAnsi="Arial" w:cs="Arial"/>
          <w:sz w:val="20"/>
          <w:szCs w:val="20"/>
          <w:lang w:val="fr-CA"/>
        </w:rPr>
      </w:pPr>
    </w:p>
    <w:p w:rsidR="002D46DA" w:rsidRDefault="002D46DA" w:rsidP="002D46DA">
      <w:pPr>
        <w:rPr>
          <w:rFonts w:ascii="Arial" w:hAnsi="Arial" w:cs="Arial"/>
          <w:sz w:val="20"/>
          <w:szCs w:val="20"/>
          <w:lang w:val="fr-CA"/>
        </w:rPr>
      </w:pPr>
    </w:p>
    <w:p w:rsidR="002D46DA" w:rsidRDefault="002D46DA" w:rsidP="002D46DA">
      <w:pPr>
        <w:rPr>
          <w:rFonts w:ascii="Arial" w:hAnsi="Arial" w:cs="Arial"/>
          <w:sz w:val="20"/>
          <w:szCs w:val="20"/>
          <w:lang w:val="fr-CA"/>
        </w:rPr>
      </w:pPr>
    </w:p>
    <w:p w:rsidR="002D46DA" w:rsidRDefault="002D46DA" w:rsidP="002D46DA">
      <w:pPr>
        <w:rPr>
          <w:rFonts w:ascii="Arial" w:hAnsi="Arial" w:cs="Arial"/>
          <w:sz w:val="20"/>
          <w:szCs w:val="20"/>
          <w:lang w:val="fr-CA"/>
        </w:rPr>
      </w:pPr>
    </w:p>
    <w:p w:rsidR="002D46DA" w:rsidRDefault="002D46DA" w:rsidP="002D46DA">
      <w:pPr>
        <w:rPr>
          <w:rFonts w:ascii="Arial" w:hAnsi="Arial" w:cs="Arial"/>
          <w:sz w:val="20"/>
          <w:szCs w:val="20"/>
          <w:lang w:val="fr-CA"/>
        </w:rPr>
      </w:pPr>
    </w:p>
    <w:p w:rsidR="002D46DA" w:rsidRDefault="002D46DA" w:rsidP="002D46DA">
      <w:pPr>
        <w:rPr>
          <w:rFonts w:ascii="Arial" w:hAnsi="Arial" w:cs="Arial"/>
          <w:sz w:val="20"/>
          <w:szCs w:val="20"/>
          <w:lang w:val="fr-CA"/>
        </w:rPr>
      </w:pPr>
    </w:p>
    <w:p w:rsidR="002D46DA" w:rsidRDefault="002D46DA" w:rsidP="002D46DA">
      <w:pPr>
        <w:rPr>
          <w:rFonts w:ascii="Arial" w:hAnsi="Arial" w:cs="Arial"/>
          <w:sz w:val="20"/>
          <w:szCs w:val="20"/>
          <w:lang w:val="fr-CA"/>
        </w:rPr>
      </w:pPr>
    </w:p>
    <w:p w:rsidR="002D46DA" w:rsidRDefault="002D46DA" w:rsidP="002D46DA">
      <w:pPr>
        <w:rPr>
          <w:rFonts w:ascii="Arial" w:hAnsi="Arial" w:cs="Arial"/>
          <w:sz w:val="20"/>
          <w:szCs w:val="20"/>
          <w:lang w:val="fr-CA"/>
        </w:rPr>
      </w:pPr>
    </w:p>
    <w:p w:rsidR="002D46DA" w:rsidRDefault="002D46DA" w:rsidP="002D46DA">
      <w:pPr>
        <w:rPr>
          <w:rFonts w:ascii="Arial" w:hAnsi="Arial" w:cs="Arial"/>
          <w:sz w:val="20"/>
          <w:szCs w:val="20"/>
          <w:lang w:val="fr-CA"/>
        </w:rPr>
      </w:pPr>
    </w:p>
    <w:p w:rsidR="002D46DA" w:rsidRDefault="002D46DA" w:rsidP="002D46DA">
      <w:pPr>
        <w:rPr>
          <w:rFonts w:ascii="Arial" w:hAnsi="Arial" w:cs="Arial"/>
          <w:sz w:val="20"/>
          <w:szCs w:val="20"/>
          <w:lang w:val="fr-CA"/>
        </w:rPr>
      </w:pPr>
    </w:p>
    <w:p w:rsidR="002D46DA" w:rsidRDefault="002D46DA" w:rsidP="002D46DA">
      <w:pPr>
        <w:rPr>
          <w:rFonts w:ascii="Arial" w:hAnsi="Arial" w:cs="Arial"/>
          <w:sz w:val="20"/>
          <w:szCs w:val="20"/>
          <w:lang w:val="fr-CA"/>
        </w:rPr>
      </w:pPr>
    </w:p>
    <w:p w:rsidR="002D46DA" w:rsidRDefault="002D46DA" w:rsidP="002D46DA">
      <w:pPr>
        <w:rPr>
          <w:rFonts w:ascii="Arial" w:hAnsi="Arial" w:cs="Arial"/>
          <w:sz w:val="20"/>
          <w:szCs w:val="20"/>
          <w:lang w:val="fr-CA"/>
        </w:rPr>
      </w:pPr>
    </w:p>
    <w:p w:rsidR="002D46DA" w:rsidRDefault="002D46DA" w:rsidP="002D46DA">
      <w:pPr>
        <w:rPr>
          <w:rFonts w:ascii="Arial" w:hAnsi="Arial" w:cs="Arial"/>
          <w:sz w:val="20"/>
          <w:szCs w:val="20"/>
          <w:lang w:val="fr-CA"/>
        </w:rPr>
      </w:pPr>
    </w:p>
    <w:p w:rsidR="002D46DA" w:rsidRDefault="002D46DA" w:rsidP="002D46DA">
      <w:pPr>
        <w:rPr>
          <w:rFonts w:ascii="Arial" w:hAnsi="Arial" w:cs="Arial"/>
          <w:sz w:val="20"/>
          <w:szCs w:val="20"/>
          <w:lang w:val="fr-CA"/>
        </w:rPr>
      </w:pPr>
    </w:p>
    <w:p w:rsidR="002D46DA" w:rsidRDefault="002D46DA" w:rsidP="002D46DA">
      <w:pPr>
        <w:rPr>
          <w:rFonts w:ascii="Arial" w:hAnsi="Arial" w:cs="Arial"/>
          <w:sz w:val="20"/>
          <w:szCs w:val="20"/>
          <w:lang w:val="fr-CA"/>
        </w:rPr>
      </w:pPr>
    </w:p>
    <w:p w:rsidR="002D46DA" w:rsidRDefault="002D46DA" w:rsidP="002D46DA">
      <w:pPr>
        <w:rPr>
          <w:rFonts w:ascii="Arial" w:hAnsi="Arial" w:cs="Arial"/>
          <w:sz w:val="20"/>
          <w:szCs w:val="20"/>
          <w:lang w:val="fr-CA"/>
        </w:rPr>
      </w:pPr>
    </w:p>
    <w:p w:rsidR="002D46DA" w:rsidRDefault="002D46DA" w:rsidP="002D46DA">
      <w:pPr>
        <w:rPr>
          <w:rFonts w:ascii="Arial" w:hAnsi="Arial" w:cs="Arial"/>
          <w:sz w:val="20"/>
          <w:szCs w:val="20"/>
          <w:lang w:val="fr-CA"/>
        </w:rPr>
      </w:pPr>
    </w:p>
    <w:p w:rsidR="002D46DA" w:rsidRPr="00001E0D" w:rsidRDefault="00362EC8" w:rsidP="00CB3CF4">
      <w:pPr>
        <w:ind w:left="-426"/>
        <w:rPr>
          <w:rFonts w:ascii="Arial" w:hAnsi="Arial" w:cs="Arial"/>
          <w:sz w:val="20"/>
          <w:szCs w:val="20"/>
          <w:lang w:val="fr-CA"/>
        </w:rPr>
      </w:pPr>
      <w:r>
        <w:rPr>
          <w:noProof/>
          <w:lang w:val="en-CA" w:eastAsia="en-CA"/>
        </w:rPr>
        <w:lastRenderedPageBreak/>
        <mc:AlternateContent>
          <mc:Choice Requires="wps">
            <w:drawing>
              <wp:anchor distT="0" distB="0" distL="114300" distR="114300" simplePos="0" relativeHeight="251664384" behindDoc="0" locked="0" layoutInCell="1" allowOverlap="1" wp14:anchorId="54B946F9" wp14:editId="62E4B2D2">
                <wp:simplePos x="0" y="0"/>
                <wp:positionH relativeFrom="column">
                  <wp:posOffset>902335</wp:posOffset>
                </wp:positionH>
                <wp:positionV relativeFrom="paragraph">
                  <wp:posOffset>1070610</wp:posOffset>
                </wp:positionV>
                <wp:extent cx="167640" cy="0"/>
                <wp:effectExtent l="38100" t="38100" r="60960" b="95250"/>
                <wp:wrapNone/>
                <wp:docPr id="2" name="Straight Connector 2"/>
                <wp:cNvGraphicFramePr/>
                <a:graphic xmlns:a="http://schemas.openxmlformats.org/drawingml/2006/main">
                  <a:graphicData uri="http://schemas.microsoft.com/office/word/2010/wordprocessingShape">
                    <wps:wsp>
                      <wps:cNvCnPr/>
                      <wps:spPr>
                        <a:xfrm>
                          <a:off x="0" y="0"/>
                          <a:ext cx="167640" cy="0"/>
                        </a:xfrm>
                        <a:prstGeom prst="line">
                          <a:avLst/>
                        </a:prstGeom>
                        <a:ln w="9525">
                          <a:solidFill>
                            <a:schemeClr val="tx1"/>
                          </a:solidFill>
                          <a:prstDash val="sysDash"/>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05pt,84.3pt" to="84.25pt,8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" strokecolor="black [3213]">
                <v:stroke dashstyle="3 1"/>
                <v:shadow on="t" color="black" opacity="24903f" origin=",.5" offset="0,.55556mm"/>
              </v:line>
            </w:pict>
          </mc:Fallback>
        </mc:AlternateContent>
      </w:r>
      <w:r w:rsidR="00D75EDF" w:rsidRPr="00D64BD3">
        <w:rPr>
          <w:noProof/>
          <w:sz w:val="20"/>
          <w:lang w:val="en-CA" w:eastAsia="en-CA"/>
        </w:rPr>
        <mc:AlternateContent>
          <mc:Choice Requires="wps">
            <w:drawing>
              <wp:anchor distT="0" distB="0" distL="114300" distR="114300" simplePos="0" relativeHeight="251670528" behindDoc="0" locked="0" layoutInCell="1" allowOverlap="1" wp14:anchorId="7AACFF7F" wp14:editId="59D2A9D7">
                <wp:simplePos x="0" y="0"/>
                <wp:positionH relativeFrom="column">
                  <wp:posOffset>-11879</wp:posOffset>
                </wp:positionH>
                <wp:positionV relativeFrom="paragraph">
                  <wp:posOffset>-355146</wp:posOffset>
                </wp:positionV>
                <wp:extent cx="6853806" cy="1403985"/>
                <wp:effectExtent l="0" t="0" r="444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3806" cy="1403985"/>
                        </a:xfrm>
                        <a:prstGeom prst="rect">
                          <a:avLst/>
                        </a:prstGeom>
                        <a:solidFill>
                          <a:srgbClr val="FFFFFF"/>
                        </a:solidFill>
                        <a:ln w="9525">
                          <a:noFill/>
                          <a:miter lim="800000"/>
                          <a:headEnd/>
                          <a:tailEnd/>
                        </a:ln>
                      </wps:spPr>
                      <wps:txbx>
                        <w:txbxContent>
                          <w:p w:rsidR="00C96B78" w:rsidRPr="00D75EDF" w:rsidRDefault="00C96B78" w:rsidP="00D75EDF">
                            <w:pPr>
                              <w:jc w:val="center"/>
                              <w:rPr>
                                <w:rFonts w:asciiTheme="majorHAnsi" w:hAnsiTheme="majorHAnsi"/>
                                <w:b/>
                                <w:lang w:val="fr-CA"/>
                              </w:rPr>
                            </w:pPr>
                            <w:r w:rsidRPr="00D75EDF">
                              <w:rPr>
                                <w:rFonts w:asciiTheme="majorHAnsi" w:hAnsiTheme="majorHAnsi"/>
                                <w:b/>
                                <w:lang w:val="fr-CA"/>
                              </w:rPr>
                              <w:t>VUE D’ENSEMBLE DU CADRE DE GESTION FINANCIÈRE D’EDSC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5pt;margin-top:-27.95pt;width:539.65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" stroked="f">
                <v:textbox style="mso-fit-shape-to-text:t">
                  <w:txbxContent>
                    <w:p w:rsidR="00C96B78" w:rsidRPr="00D75EDF" w:rsidRDefault="00C96B78" w:rsidP="00D75EDF">
                      <w:pPr>
                        <w:jc w:val="center"/>
                        <w:rPr>
                          <w:rFonts w:asciiTheme="majorHAnsi" w:hAnsiTheme="majorHAnsi"/>
                          <w:b/>
                          <w:lang w:val="fr-CA"/>
                        </w:rPr>
                      </w:pPr>
                      <w:r w:rsidRPr="00D75EDF">
                        <w:rPr>
                          <w:rFonts w:asciiTheme="majorHAnsi" w:hAnsiTheme="majorHAnsi"/>
                          <w:b/>
                          <w:lang w:val="fr-CA"/>
                        </w:rPr>
                        <w:t>VUE D’ENSEMBLE DU CADRE DE GESTION FINANCIÈRE D’EDSC</w:t>
                      </w:r>
                    </w:p>
                  </w:txbxContent>
                </v:textbox>
              </v:shape>
            </w:pict>
          </mc:Fallback>
        </mc:AlternateContent>
      </w:r>
      <w:r w:rsidR="00CB3CF4">
        <w:rPr>
          <w:noProof/>
          <w:lang w:val="en-CA" w:eastAsia="en-CA"/>
        </w:rPr>
        <mc:AlternateContent>
          <mc:Choice Requires="wps">
            <w:drawing>
              <wp:anchor distT="0" distB="0" distL="114300" distR="114300" simplePos="0" relativeHeight="251668480" behindDoc="0" locked="0" layoutInCell="1" allowOverlap="1" wp14:anchorId="01CA7CF1" wp14:editId="5027E93D">
                <wp:simplePos x="0" y="0"/>
                <wp:positionH relativeFrom="column">
                  <wp:posOffset>2244090</wp:posOffset>
                </wp:positionH>
                <wp:positionV relativeFrom="paragraph">
                  <wp:posOffset>2361897</wp:posOffset>
                </wp:positionV>
                <wp:extent cx="2340528" cy="2147582"/>
                <wp:effectExtent l="38100" t="57150" r="41275" b="43180"/>
                <wp:wrapNone/>
                <wp:docPr id="3" name="Flowchart: Connector 3"/>
                <wp:cNvGraphicFramePr/>
                <a:graphic xmlns:a="http://schemas.openxmlformats.org/drawingml/2006/main">
                  <a:graphicData uri="http://schemas.microsoft.com/office/word/2010/wordprocessingShape">
                    <wps:wsp>
                      <wps:cNvSpPr/>
                      <wps:spPr>
                        <a:xfrm>
                          <a:off x="0" y="0"/>
                          <a:ext cx="2340528" cy="2147582"/>
                        </a:xfrm>
                        <a:prstGeom prst="flowChartConnector">
                          <a:avLst/>
                        </a:prstGeom>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rsidR="00C96B78" w:rsidRPr="00CB3CF4" w:rsidRDefault="00C96B78" w:rsidP="00CB3CF4">
                            <w:pPr>
                              <w:jc w:val="center"/>
                              <w:rPr>
                                <w:rFonts w:asciiTheme="majorHAnsi" w:hAnsiTheme="majorHAnsi"/>
                                <w:b/>
                                <w:sz w:val="22"/>
                                <w:szCs w:val="22"/>
                                <w:lang w:val="fr-CA"/>
                              </w:rPr>
                            </w:pPr>
                            <w:r w:rsidRPr="00CB3CF4">
                              <w:rPr>
                                <w:rFonts w:asciiTheme="majorHAnsi" w:hAnsiTheme="majorHAnsi"/>
                                <w:b/>
                                <w:sz w:val="22"/>
                                <w:szCs w:val="22"/>
                                <w:lang w:val="fr-CA"/>
                              </w:rPr>
                              <w:t>Outils</w:t>
                            </w:r>
                          </w:p>
                          <w:p w:rsidR="00C96B78" w:rsidRPr="00CB3CF4" w:rsidRDefault="00C96B78" w:rsidP="00CB3CF4">
                            <w:pPr>
                              <w:rPr>
                                <w:rFonts w:asciiTheme="majorHAnsi" w:hAnsiTheme="majorHAnsi"/>
                                <w:lang w:val="fr-CA"/>
                              </w:rPr>
                            </w:pPr>
                            <w:r w:rsidRPr="00CB3CF4">
                              <w:rPr>
                                <w:rFonts w:asciiTheme="majorHAnsi" w:hAnsiTheme="majorHAnsi"/>
                                <w:lang w:val="fr-CA"/>
                              </w:rPr>
                              <w:t xml:space="preserve">- </w:t>
                            </w:r>
                            <w:r w:rsidRPr="00CB3CF4">
                              <w:rPr>
                                <w:rFonts w:asciiTheme="majorHAnsi" w:hAnsiTheme="majorHAnsi"/>
                                <w:color w:val="FFFFFF" w:themeColor="background1"/>
                                <w:sz w:val="16"/>
                                <w:szCs w:val="16"/>
                                <w:lang w:val="fr-CA"/>
                              </w:rPr>
                              <w:t>ma solution de gestion d’entreprise  (maSGE) (SAP)</w:t>
                            </w:r>
                          </w:p>
                          <w:p w:rsidR="00C96B78" w:rsidRPr="00CB3CF4" w:rsidRDefault="00C96B78" w:rsidP="00CB3CF4">
                            <w:pPr>
                              <w:rPr>
                                <w:rFonts w:asciiTheme="majorHAnsi" w:hAnsiTheme="majorHAnsi"/>
                                <w:b/>
                                <w:lang w:val="fr-CA"/>
                              </w:rPr>
                            </w:pPr>
                            <w:r w:rsidRPr="00CB3CF4">
                              <w:rPr>
                                <w:rFonts w:asciiTheme="majorHAnsi" w:hAnsiTheme="majorHAnsi"/>
                                <w:lang w:val="fr-CA"/>
                              </w:rPr>
                              <w:t xml:space="preserve">- </w:t>
                            </w:r>
                            <w:r w:rsidRPr="00CB3CF4">
                              <w:rPr>
                                <w:rFonts w:asciiTheme="majorHAnsi" w:hAnsiTheme="majorHAnsi"/>
                                <w:color w:val="FFFFFF" w:themeColor="background1"/>
                                <w:sz w:val="16"/>
                                <w:szCs w:val="16"/>
                                <w:lang w:val="fr-CA"/>
                              </w:rPr>
                              <w:t>Codage financier</w:t>
                            </w:r>
                          </w:p>
                          <w:p w:rsidR="00C96B78" w:rsidRPr="00CB3CF4" w:rsidRDefault="00C96B78" w:rsidP="00CB3CF4">
                            <w:pPr>
                              <w:rPr>
                                <w:rFonts w:asciiTheme="majorHAnsi" w:hAnsiTheme="majorHAnsi"/>
                                <w:color w:val="FFFFFF" w:themeColor="background1"/>
                                <w:sz w:val="16"/>
                                <w:szCs w:val="16"/>
                                <w:lang w:val="fr-CA"/>
                              </w:rPr>
                            </w:pPr>
                            <w:r w:rsidRPr="00CB3CF4">
                              <w:rPr>
                                <w:rFonts w:asciiTheme="majorHAnsi" w:hAnsiTheme="majorHAnsi"/>
                                <w:lang w:val="fr-CA"/>
                              </w:rPr>
                              <w:t>-</w:t>
                            </w:r>
                            <w:r w:rsidRPr="00CB3CF4">
                              <w:rPr>
                                <w:rFonts w:asciiTheme="majorHAnsi" w:hAnsiTheme="majorHAnsi"/>
                                <w:color w:val="FFFFFF" w:themeColor="background1"/>
                                <w:sz w:val="16"/>
                                <w:szCs w:val="16"/>
                                <w:lang w:val="fr-CA"/>
                              </w:rPr>
                              <w:t xml:space="preserve"> Outils de prévision – OPS et outils  des prévisions non-salariales</w:t>
                            </w:r>
                          </w:p>
                          <w:p w:rsidR="00C96B78" w:rsidRPr="00CB3CF4" w:rsidRDefault="00C96B78" w:rsidP="00CB3CF4">
                            <w:pPr>
                              <w:rPr>
                                <w:rFonts w:asciiTheme="majorHAnsi" w:hAnsiTheme="majorHAnsi"/>
                                <w:color w:val="FFFFFF" w:themeColor="background1"/>
                                <w:sz w:val="16"/>
                                <w:szCs w:val="16"/>
                                <w:lang w:val="fr-CA"/>
                              </w:rPr>
                            </w:pPr>
                            <w:r w:rsidRPr="00CB3CF4">
                              <w:rPr>
                                <w:rFonts w:asciiTheme="majorHAnsi" w:hAnsiTheme="majorHAnsi"/>
                                <w:lang w:val="fr-CA"/>
                              </w:rPr>
                              <w:t>-</w:t>
                            </w:r>
                            <w:r w:rsidRPr="00CB3CF4">
                              <w:rPr>
                                <w:rFonts w:asciiTheme="majorHAnsi" w:hAnsiTheme="majorHAnsi"/>
                                <w:color w:val="FFFFFF" w:themeColor="background1"/>
                                <w:sz w:val="16"/>
                                <w:szCs w:val="16"/>
                                <w:lang w:val="fr-CA"/>
                              </w:rPr>
                              <w:t xml:space="preserve"> Outils de rapport - Business </w:t>
                            </w:r>
                          </w:p>
                          <w:p w:rsidR="00C96B78" w:rsidRPr="00CB3CF4" w:rsidRDefault="00C96B78" w:rsidP="00CB3CF4">
                            <w:pPr>
                              <w:rPr>
                                <w:rFonts w:asciiTheme="majorHAnsi" w:hAnsiTheme="majorHAnsi"/>
                                <w:color w:val="FFFFFF" w:themeColor="background1"/>
                                <w:sz w:val="16"/>
                                <w:szCs w:val="16"/>
                                <w:lang w:val="fr-CA"/>
                              </w:rPr>
                            </w:pPr>
                            <w:r w:rsidRPr="00CB3CF4">
                              <w:rPr>
                                <w:rFonts w:asciiTheme="majorHAnsi" w:hAnsiTheme="majorHAnsi"/>
                                <w:color w:val="FFFFFF" w:themeColor="background1"/>
                                <w:sz w:val="16"/>
                                <w:szCs w:val="16"/>
                                <w:lang w:val="fr-CA"/>
                              </w:rPr>
                              <w:t xml:space="preserve">  Intelligence (BI)</w:t>
                            </w:r>
                          </w:p>
                          <w:p w:rsidR="00C96B78" w:rsidRPr="00CB3CF4" w:rsidRDefault="00C96B78" w:rsidP="00CB3CF4">
                            <w:pPr>
                              <w:jc w:val="center"/>
                              <w:rPr>
                                <w:rFonts w:asciiTheme="majorHAnsi" w:hAnsiTheme="majorHAnsi"/>
                                <w:b/>
                                <w:lang w:val="fr-CA"/>
                              </w:rPr>
                            </w:pPr>
                          </w:p>
                          <w:p w:rsidR="00C96B78" w:rsidRPr="004F018F" w:rsidRDefault="00C96B78" w:rsidP="00CB3CF4">
                            <w:pPr>
                              <w:rPr>
                                <w:lang w:val="fr-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 o:spid="_x0000_s1027" type="#_x0000_t120" style="position:absolute;left:0;text-align:left;margin-left:176.7pt;margin-top:186pt;width:184.3pt;height:169.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" fillcolor="#4f81bd [3204]" stroked="f" strokeweight="2pt">
                <v:textbox>
                  <w:txbxContent>
                    <w:p w:rsidR="00C96B78" w:rsidRPr="00CB3CF4" w:rsidRDefault="00C96B78" w:rsidP="00CB3CF4">
                      <w:pPr>
                        <w:jc w:val="center"/>
                        <w:rPr>
                          <w:rFonts w:asciiTheme="majorHAnsi" w:hAnsiTheme="majorHAnsi"/>
                          <w:b/>
                          <w:sz w:val="22"/>
                          <w:szCs w:val="22"/>
                          <w:lang w:val="fr-CA"/>
                        </w:rPr>
                      </w:pPr>
                      <w:r w:rsidRPr="00CB3CF4">
                        <w:rPr>
                          <w:rFonts w:asciiTheme="majorHAnsi" w:hAnsiTheme="majorHAnsi"/>
                          <w:b/>
                          <w:sz w:val="22"/>
                          <w:szCs w:val="22"/>
                          <w:lang w:val="fr-CA"/>
                        </w:rPr>
                        <w:t>Outils</w:t>
                      </w:r>
                    </w:p>
                    <w:p w:rsidR="00C96B78" w:rsidRPr="00CB3CF4" w:rsidRDefault="00C96B78" w:rsidP="00CB3CF4">
                      <w:pPr>
                        <w:rPr>
                          <w:rFonts w:asciiTheme="majorHAnsi" w:hAnsiTheme="majorHAnsi"/>
                          <w:lang w:val="fr-CA"/>
                        </w:rPr>
                      </w:pPr>
                      <w:r w:rsidRPr="00CB3CF4">
                        <w:rPr>
                          <w:rFonts w:asciiTheme="majorHAnsi" w:hAnsiTheme="majorHAnsi"/>
                          <w:lang w:val="fr-CA"/>
                        </w:rPr>
                        <w:t xml:space="preserve">- </w:t>
                      </w:r>
                      <w:r w:rsidRPr="00CB3CF4">
                        <w:rPr>
                          <w:rFonts w:asciiTheme="majorHAnsi" w:hAnsiTheme="majorHAnsi"/>
                          <w:color w:val="FFFFFF" w:themeColor="background1"/>
                          <w:sz w:val="16"/>
                          <w:szCs w:val="16"/>
                          <w:lang w:val="fr-CA"/>
                        </w:rPr>
                        <w:t>ma solution de gestion d’entreprise  (maSGE) (SAP)</w:t>
                      </w:r>
                    </w:p>
                    <w:p w:rsidR="00C96B78" w:rsidRPr="00CB3CF4" w:rsidRDefault="00C96B78" w:rsidP="00CB3CF4">
                      <w:pPr>
                        <w:rPr>
                          <w:rFonts w:asciiTheme="majorHAnsi" w:hAnsiTheme="majorHAnsi"/>
                          <w:b/>
                          <w:lang w:val="fr-CA"/>
                        </w:rPr>
                      </w:pPr>
                      <w:r w:rsidRPr="00CB3CF4">
                        <w:rPr>
                          <w:rFonts w:asciiTheme="majorHAnsi" w:hAnsiTheme="majorHAnsi"/>
                          <w:lang w:val="fr-CA"/>
                        </w:rPr>
                        <w:t xml:space="preserve">- </w:t>
                      </w:r>
                      <w:r w:rsidRPr="00CB3CF4">
                        <w:rPr>
                          <w:rFonts w:asciiTheme="majorHAnsi" w:hAnsiTheme="majorHAnsi"/>
                          <w:color w:val="FFFFFF" w:themeColor="background1"/>
                          <w:sz w:val="16"/>
                          <w:szCs w:val="16"/>
                          <w:lang w:val="fr-CA"/>
                        </w:rPr>
                        <w:t>Codage financier</w:t>
                      </w:r>
                    </w:p>
                    <w:p w:rsidR="00C96B78" w:rsidRPr="00CB3CF4" w:rsidRDefault="00C96B78" w:rsidP="00CB3CF4">
                      <w:pPr>
                        <w:rPr>
                          <w:rFonts w:asciiTheme="majorHAnsi" w:hAnsiTheme="majorHAnsi"/>
                          <w:color w:val="FFFFFF" w:themeColor="background1"/>
                          <w:sz w:val="16"/>
                          <w:szCs w:val="16"/>
                          <w:lang w:val="fr-CA"/>
                        </w:rPr>
                      </w:pPr>
                      <w:r w:rsidRPr="00CB3CF4">
                        <w:rPr>
                          <w:rFonts w:asciiTheme="majorHAnsi" w:hAnsiTheme="majorHAnsi"/>
                          <w:lang w:val="fr-CA"/>
                        </w:rPr>
                        <w:t>-</w:t>
                      </w:r>
                      <w:r w:rsidRPr="00CB3CF4">
                        <w:rPr>
                          <w:rFonts w:asciiTheme="majorHAnsi" w:hAnsiTheme="majorHAnsi"/>
                          <w:color w:val="FFFFFF" w:themeColor="background1"/>
                          <w:sz w:val="16"/>
                          <w:szCs w:val="16"/>
                          <w:lang w:val="fr-CA"/>
                        </w:rPr>
                        <w:t xml:space="preserve"> Outils de prévision – OPS et outils  des prévisions non-salariales</w:t>
                      </w:r>
                    </w:p>
                    <w:p w:rsidR="00C96B78" w:rsidRPr="00CB3CF4" w:rsidRDefault="00C96B78" w:rsidP="00CB3CF4">
                      <w:pPr>
                        <w:rPr>
                          <w:rFonts w:asciiTheme="majorHAnsi" w:hAnsiTheme="majorHAnsi"/>
                          <w:color w:val="FFFFFF" w:themeColor="background1"/>
                          <w:sz w:val="16"/>
                          <w:szCs w:val="16"/>
                          <w:lang w:val="fr-CA"/>
                        </w:rPr>
                      </w:pPr>
                      <w:r w:rsidRPr="00CB3CF4">
                        <w:rPr>
                          <w:rFonts w:asciiTheme="majorHAnsi" w:hAnsiTheme="majorHAnsi"/>
                          <w:lang w:val="fr-CA"/>
                        </w:rPr>
                        <w:t>-</w:t>
                      </w:r>
                      <w:r w:rsidRPr="00CB3CF4">
                        <w:rPr>
                          <w:rFonts w:asciiTheme="majorHAnsi" w:hAnsiTheme="majorHAnsi"/>
                          <w:color w:val="FFFFFF" w:themeColor="background1"/>
                          <w:sz w:val="16"/>
                          <w:szCs w:val="16"/>
                          <w:lang w:val="fr-CA"/>
                        </w:rPr>
                        <w:t xml:space="preserve"> Outils de rapport - Business </w:t>
                      </w:r>
                    </w:p>
                    <w:p w:rsidR="00C96B78" w:rsidRPr="00CB3CF4" w:rsidRDefault="00C96B78" w:rsidP="00CB3CF4">
                      <w:pPr>
                        <w:rPr>
                          <w:rFonts w:asciiTheme="majorHAnsi" w:hAnsiTheme="majorHAnsi"/>
                          <w:color w:val="FFFFFF" w:themeColor="background1"/>
                          <w:sz w:val="16"/>
                          <w:szCs w:val="16"/>
                          <w:lang w:val="fr-CA"/>
                        </w:rPr>
                      </w:pPr>
                      <w:r w:rsidRPr="00CB3CF4">
                        <w:rPr>
                          <w:rFonts w:asciiTheme="majorHAnsi" w:hAnsiTheme="majorHAnsi"/>
                          <w:color w:val="FFFFFF" w:themeColor="background1"/>
                          <w:sz w:val="16"/>
                          <w:szCs w:val="16"/>
                          <w:lang w:val="fr-CA"/>
                        </w:rPr>
                        <w:t xml:space="preserve">  Intelligence (BI)</w:t>
                      </w:r>
                    </w:p>
                    <w:p w:rsidR="00C96B78" w:rsidRPr="00CB3CF4" w:rsidRDefault="00C96B78" w:rsidP="00CB3CF4">
                      <w:pPr>
                        <w:jc w:val="center"/>
                        <w:rPr>
                          <w:rFonts w:asciiTheme="majorHAnsi" w:hAnsiTheme="majorHAnsi"/>
                          <w:b/>
                          <w:lang w:val="fr-CA"/>
                        </w:rPr>
                      </w:pPr>
                    </w:p>
                    <w:p w:rsidR="00C96B78" w:rsidRPr="004F018F" w:rsidRDefault="00C96B78" w:rsidP="00CB3CF4">
                      <w:pPr>
                        <w:rPr>
                          <w:lang w:val="fr-CA"/>
                        </w:rPr>
                      </w:pPr>
                    </w:p>
                  </w:txbxContent>
                </v:textbox>
              </v:shape>
            </w:pict>
          </mc:Fallback>
        </mc:AlternateContent>
      </w:r>
      <w:r w:rsidR="00CB3CF4">
        <w:rPr>
          <w:noProof/>
          <w:lang w:val="en-CA" w:eastAsia="en-CA"/>
        </w:rPr>
        <mc:AlternateContent>
          <mc:Choice Requires="wps">
            <w:drawing>
              <wp:anchor distT="0" distB="0" distL="114300" distR="114300" simplePos="0" relativeHeight="251666432" behindDoc="0" locked="0" layoutInCell="1" allowOverlap="1" wp14:anchorId="262BB224" wp14:editId="755DC58C">
                <wp:simplePos x="0" y="0"/>
                <wp:positionH relativeFrom="column">
                  <wp:posOffset>9064497</wp:posOffset>
                </wp:positionH>
                <wp:positionV relativeFrom="paragraph">
                  <wp:posOffset>6951444</wp:posOffset>
                </wp:positionV>
                <wp:extent cx="2262505" cy="2035175"/>
                <wp:effectExtent l="38100" t="57150" r="42545" b="41275"/>
                <wp:wrapNone/>
                <wp:docPr id="180" name="Flowchart: Connector 180"/>
                <wp:cNvGraphicFramePr/>
                <a:graphic xmlns:a="http://schemas.openxmlformats.org/drawingml/2006/main">
                  <a:graphicData uri="http://schemas.microsoft.com/office/word/2010/wordprocessingShape">
                    <wps:wsp>
                      <wps:cNvSpPr/>
                      <wps:spPr>
                        <a:xfrm>
                          <a:off x="0" y="0"/>
                          <a:ext cx="2262505" cy="2035175"/>
                        </a:xfrm>
                        <a:prstGeom prst="flowChartConnector">
                          <a:avLst/>
                        </a:prstGeom>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rsidR="00C96B78" w:rsidRPr="004F018F" w:rsidRDefault="00C96B78" w:rsidP="00CB3CF4">
                            <w:pPr>
                              <w:jc w:val="center"/>
                              <w:rPr>
                                <w:b/>
                                <w:lang w:val="fr-CA"/>
                              </w:rPr>
                            </w:pPr>
                            <w:r w:rsidRPr="004F018F">
                              <w:rPr>
                                <w:b/>
                                <w:lang w:val="fr-CA"/>
                              </w:rPr>
                              <w:t>Outils</w:t>
                            </w:r>
                          </w:p>
                          <w:p w:rsidR="00C96B78" w:rsidRPr="004F018F" w:rsidRDefault="00C96B78" w:rsidP="00CB3CF4">
                            <w:pPr>
                              <w:jc w:val="center"/>
                              <w:rPr>
                                <w:color w:val="FFFFFF" w:themeColor="background1"/>
                                <w:sz w:val="16"/>
                                <w:szCs w:val="16"/>
                                <w:lang w:val="fr-CA"/>
                              </w:rPr>
                            </w:pPr>
                            <w:r w:rsidRPr="004F018F">
                              <w:rPr>
                                <w:lang w:val="fr-CA"/>
                              </w:rPr>
                              <w:t xml:space="preserve">- </w:t>
                            </w:r>
                            <w:r w:rsidRPr="004F018F">
                              <w:rPr>
                                <w:color w:val="FFFFFF" w:themeColor="background1"/>
                                <w:sz w:val="16"/>
                                <w:szCs w:val="16"/>
                                <w:lang w:val="fr-CA"/>
                              </w:rPr>
                              <w:t xml:space="preserve">ma solution de gestion d’entreprise  </w:t>
                            </w:r>
                          </w:p>
                          <w:p w:rsidR="00C96B78" w:rsidRPr="004F018F" w:rsidRDefault="00C96B78" w:rsidP="00CB3CF4">
                            <w:pPr>
                              <w:rPr>
                                <w:lang w:val="fr-CA"/>
                              </w:rPr>
                            </w:pPr>
                            <w:r w:rsidRPr="004F018F">
                              <w:rPr>
                                <w:color w:val="FFFFFF" w:themeColor="background1"/>
                                <w:sz w:val="16"/>
                                <w:szCs w:val="16"/>
                                <w:lang w:val="fr-CA"/>
                              </w:rPr>
                              <w:t xml:space="preserve">   (maSGE) (SAP)</w:t>
                            </w:r>
                          </w:p>
                          <w:p w:rsidR="00C96B78" w:rsidRPr="004F018F" w:rsidRDefault="00C96B78" w:rsidP="00CB3CF4">
                            <w:pPr>
                              <w:rPr>
                                <w:b/>
                                <w:lang w:val="fr-CA"/>
                              </w:rPr>
                            </w:pPr>
                            <w:r w:rsidRPr="004F018F">
                              <w:rPr>
                                <w:lang w:val="fr-CA"/>
                              </w:rPr>
                              <w:t xml:space="preserve">- </w:t>
                            </w:r>
                            <w:r w:rsidRPr="004F018F">
                              <w:rPr>
                                <w:color w:val="FFFFFF" w:themeColor="background1"/>
                                <w:sz w:val="16"/>
                                <w:szCs w:val="16"/>
                                <w:lang w:val="fr-CA"/>
                              </w:rPr>
                              <w:t>Codage financier</w:t>
                            </w:r>
                          </w:p>
                          <w:p w:rsidR="00C96B78" w:rsidRDefault="00C96B78" w:rsidP="00CB3CF4">
                            <w:pPr>
                              <w:rPr>
                                <w:color w:val="FFFFFF" w:themeColor="background1"/>
                                <w:sz w:val="16"/>
                                <w:szCs w:val="16"/>
                                <w:lang w:val="fr-CA"/>
                              </w:rPr>
                            </w:pPr>
                            <w:r w:rsidRPr="004F018F">
                              <w:rPr>
                                <w:lang w:val="fr-CA"/>
                              </w:rPr>
                              <w:t>-</w:t>
                            </w:r>
                            <w:r w:rsidRPr="004F018F">
                              <w:rPr>
                                <w:color w:val="FFFFFF" w:themeColor="background1"/>
                                <w:sz w:val="16"/>
                                <w:szCs w:val="16"/>
                                <w:lang w:val="fr-CA"/>
                              </w:rPr>
                              <w:t xml:space="preserve"> Outils de prévision</w:t>
                            </w:r>
                            <w:r>
                              <w:rPr>
                                <w:color w:val="FFFFFF" w:themeColor="background1"/>
                                <w:sz w:val="16"/>
                                <w:szCs w:val="16"/>
                                <w:lang w:val="fr-CA"/>
                              </w:rPr>
                              <w:t xml:space="preserve"> – OPS et outils</w:t>
                            </w:r>
                          </w:p>
                          <w:p w:rsidR="00C96B78" w:rsidRPr="004F018F" w:rsidRDefault="00C96B78" w:rsidP="00CB3CF4">
                            <w:pPr>
                              <w:rPr>
                                <w:color w:val="FFFFFF" w:themeColor="background1"/>
                                <w:sz w:val="16"/>
                                <w:szCs w:val="16"/>
                                <w:lang w:val="fr-CA"/>
                              </w:rPr>
                            </w:pPr>
                            <w:r>
                              <w:rPr>
                                <w:color w:val="FFFFFF" w:themeColor="background1"/>
                                <w:sz w:val="16"/>
                                <w:szCs w:val="16"/>
                                <w:lang w:val="fr-CA"/>
                              </w:rPr>
                              <w:t xml:space="preserve">   des prévisions non-salariales</w:t>
                            </w:r>
                          </w:p>
                          <w:p w:rsidR="00C96B78" w:rsidRPr="004F018F" w:rsidRDefault="00C96B78" w:rsidP="00CB3CF4">
                            <w:pPr>
                              <w:rPr>
                                <w:color w:val="FFFFFF" w:themeColor="background1"/>
                                <w:sz w:val="16"/>
                                <w:szCs w:val="16"/>
                                <w:lang w:val="fr-CA"/>
                              </w:rPr>
                            </w:pPr>
                            <w:r w:rsidRPr="004F018F">
                              <w:rPr>
                                <w:lang w:val="fr-CA"/>
                              </w:rPr>
                              <w:t>-</w:t>
                            </w:r>
                            <w:r w:rsidRPr="004F018F">
                              <w:rPr>
                                <w:color w:val="FFFFFF" w:themeColor="background1"/>
                                <w:sz w:val="16"/>
                                <w:szCs w:val="16"/>
                                <w:lang w:val="fr-CA"/>
                              </w:rPr>
                              <w:t xml:space="preserve"> </w:t>
                            </w:r>
                            <w:r>
                              <w:rPr>
                                <w:color w:val="FFFFFF" w:themeColor="background1"/>
                                <w:sz w:val="16"/>
                                <w:szCs w:val="16"/>
                                <w:lang w:val="fr-CA"/>
                              </w:rPr>
                              <w:t>Outils de rapport</w:t>
                            </w:r>
                            <w:r w:rsidRPr="004F018F">
                              <w:rPr>
                                <w:color w:val="FFFFFF" w:themeColor="background1"/>
                                <w:sz w:val="16"/>
                                <w:szCs w:val="16"/>
                                <w:lang w:val="fr-CA"/>
                              </w:rPr>
                              <w:t xml:space="preserve"> - Business </w:t>
                            </w:r>
                          </w:p>
                          <w:p w:rsidR="00C96B78" w:rsidRPr="004F018F" w:rsidRDefault="00C96B78" w:rsidP="00CB3CF4">
                            <w:pPr>
                              <w:rPr>
                                <w:color w:val="FFFFFF" w:themeColor="background1"/>
                                <w:sz w:val="16"/>
                                <w:szCs w:val="16"/>
                                <w:lang w:val="fr-CA"/>
                              </w:rPr>
                            </w:pPr>
                            <w:r w:rsidRPr="004F018F">
                              <w:rPr>
                                <w:color w:val="FFFFFF" w:themeColor="background1"/>
                                <w:sz w:val="16"/>
                                <w:szCs w:val="16"/>
                                <w:lang w:val="fr-CA"/>
                              </w:rPr>
                              <w:t xml:space="preserve">  Intelligence (BI)</w:t>
                            </w:r>
                          </w:p>
                          <w:p w:rsidR="00C96B78" w:rsidRPr="004F018F" w:rsidRDefault="00C96B78" w:rsidP="00CB3CF4">
                            <w:pPr>
                              <w:jc w:val="center"/>
                              <w:rPr>
                                <w:b/>
                                <w:lang w:val="fr-CA"/>
                              </w:rPr>
                            </w:pPr>
                          </w:p>
                          <w:p w:rsidR="00C96B78" w:rsidRPr="004F018F" w:rsidRDefault="00C96B78" w:rsidP="00CB3CF4">
                            <w:pPr>
                              <w:rPr>
                                <w:lang w:val="fr-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180" o:spid="_x0000_s1028" type="#_x0000_t120" style="position:absolute;left:0;text-align:left;margin-left:713.75pt;margin-top:547.35pt;width:178.15pt;height:16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" fillcolor="#4f81bd [3204]" stroked="f" strokeweight="2pt">
                <v:textbox>
                  <w:txbxContent>
                    <w:p w:rsidR="00C96B78" w:rsidRPr="004F018F" w:rsidRDefault="00C96B78" w:rsidP="00CB3CF4">
                      <w:pPr>
                        <w:jc w:val="center"/>
                        <w:rPr>
                          <w:b/>
                          <w:lang w:val="fr-CA"/>
                        </w:rPr>
                      </w:pPr>
                      <w:r w:rsidRPr="004F018F">
                        <w:rPr>
                          <w:b/>
                          <w:lang w:val="fr-CA"/>
                        </w:rPr>
                        <w:t>Outils</w:t>
                      </w:r>
                    </w:p>
                    <w:p w:rsidR="00C96B78" w:rsidRPr="004F018F" w:rsidRDefault="00C96B78" w:rsidP="00CB3CF4">
                      <w:pPr>
                        <w:jc w:val="center"/>
                        <w:rPr>
                          <w:color w:val="FFFFFF" w:themeColor="background1"/>
                          <w:sz w:val="16"/>
                          <w:szCs w:val="16"/>
                          <w:lang w:val="fr-CA"/>
                        </w:rPr>
                      </w:pPr>
                      <w:r w:rsidRPr="004F018F">
                        <w:rPr>
                          <w:lang w:val="fr-CA"/>
                        </w:rPr>
                        <w:t xml:space="preserve">- </w:t>
                      </w:r>
                      <w:r w:rsidRPr="004F018F">
                        <w:rPr>
                          <w:color w:val="FFFFFF" w:themeColor="background1"/>
                          <w:sz w:val="16"/>
                          <w:szCs w:val="16"/>
                          <w:lang w:val="fr-CA"/>
                        </w:rPr>
                        <w:t xml:space="preserve">ma solution de gestion d’entreprise  </w:t>
                      </w:r>
                    </w:p>
                    <w:p w:rsidR="00C96B78" w:rsidRPr="004F018F" w:rsidRDefault="00C96B78" w:rsidP="00CB3CF4">
                      <w:pPr>
                        <w:rPr>
                          <w:lang w:val="fr-CA"/>
                        </w:rPr>
                      </w:pPr>
                      <w:r w:rsidRPr="004F018F">
                        <w:rPr>
                          <w:color w:val="FFFFFF" w:themeColor="background1"/>
                          <w:sz w:val="16"/>
                          <w:szCs w:val="16"/>
                          <w:lang w:val="fr-CA"/>
                        </w:rPr>
                        <w:t xml:space="preserve">   (</w:t>
                      </w:r>
                      <w:proofErr w:type="gramStart"/>
                      <w:r w:rsidRPr="004F018F">
                        <w:rPr>
                          <w:color w:val="FFFFFF" w:themeColor="background1"/>
                          <w:sz w:val="16"/>
                          <w:szCs w:val="16"/>
                          <w:lang w:val="fr-CA"/>
                        </w:rPr>
                        <w:t>maSGE</w:t>
                      </w:r>
                      <w:proofErr w:type="gramEnd"/>
                      <w:r w:rsidRPr="004F018F">
                        <w:rPr>
                          <w:color w:val="FFFFFF" w:themeColor="background1"/>
                          <w:sz w:val="16"/>
                          <w:szCs w:val="16"/>
                          <w:lang w:val="fr-CA"/>
                        </w:rPr>
                        <w:t>) (SAP)</w:t>
                      </w:r>
                    </w:p>
                    <w:p w:rsidR="00C96B78" w:rsidRPr="004F018F" w:rsidRDefault="00C96B78" w:rsidP="00CB3CF4">
                      <w:pPr>
                        <w:rPr>
                          <w:b/>
                          <w:lang w:val="fr-CA"/>
                        </w:rPr>
                      </w:pPr>
                      <w:r w:rsidRPr="004F018F">
                        <w:rPr>
                          <w:lang w:val="fr-CA"/>
                        </w:rPr>
                        <w:t xml:space="preserve">- </w:t>
                      </w:r>
                      <w:r w:rsidRPr="004F018F">
                        <w:rPr>
                          <w:color w:val="FFFFFF" w:themeColor="background1"/>
                          <w:sz w:val="16"/>
                          <w:szCs w:val="16"/>
                          <w:lang w:val="fr-CA"/>
                        </w:rPr>
                        <w:t>Codage financier</w:t>
                      </w:r>
                    </w:p>
                    <w:p w:rsidR="00C96B78" w:rsidRDefault="00C96B78" w:rsidP="00CB3CF4">
                      <w:pPr>
                        <w:rPr>
                          <w:color w:val="FFFFFF" w:themeColor="background1"/>
                          <w:sz w:val="16"/>
                          <w:szCs w:val="16"/>
                          <w:lang w:val="fr-CA"/>
                        </w:rPr>
                      </w:pPr>
                      <w:r w:rsidRPr="004F018F">
                        <w:rPr>
                          <w:lang w:val="fr-CA"/>
                        </w:rPr>
                        <w:t>-</w:t>
                      </w:r>
                      <w:r w:rsidRPr="004F018F">
                        <w:rPr>
                          <w:color w:val="FFFFFF" w:themeColor="background1"/>
                          <w:sz w:val="16"/>
                          <w:szCs w:val="16"/>
                          <w:lang w:val="fr-CA"/>
                        </w:rPr>
                        <w:t xml:space="preserve"> Outils de prévision</w:t>
                      </w:r>
                      <w:r>
                        <w:rPr>
                          <w:color w:val="FFFFFF" w:themeColor="background1"/>
                          <w:sz w:val="16"/>
                          <w:szCs w:val="16"/>
                          <w:lang w:val="fr-CA"/>
                        </w:rPr>
                        <w:t xml:space="preserve"> – OPS et outils</w:t>
                      </w:r>
                    </w:p>
                    <w:p w:rsidR="00C96B78" w:rsidRPr="004F018F" w:rsidRDefault="00C96B78" w:rsidP="00CB3CF4">
                      <w:pPr>
                        <w:rPr>
                          <w:color w:val="FFFFFF" w:themeColor="background1"/>
                          <w:sz w:val="16"/>
                          <w:szCs w:val="16"/>
                          <w:lang w:val="fr-CA"/>
                        </w:rPr>
                      </w:pPr>
                      <w:r>
                        <w:rPr>
                          <w:color w:val="FFFFFF" w:themeColor="background1"/>
                          <w:sz w:val="16"/>
                          <w:szCs w:val="16"/>
                          <w:lang w:val="fr-CA"/>
                        </w:rPr>
                        <w:t xml:space="preserve">   </w:t>
                      </w:r>
                      <w:proofErr w:type="gramStart"/>
                      <w:r>
                        <w:rPr>
                          <w:color w:val="FFFFFF" w:themeColor="background1"/>
                          <w:sz w:val="16"/>
                          <w:szCs w:val="16"/>
                          <w:lang w:val="fr-CA"/>
                        </w:rPr>
                        <w:t>des</w:t>
                      </w:r>
                      <w:proofErr w:type="gramEnd"/>
                      <w:r>
                        <w:rPr>
                          <w:color w:val="FFFFFF" w:themeColor="background1"/>
                          <w:sz w:val="16"/>
                          <w:szCs w:val="16"/>
                          <w:lang w:val="fr-CA"/>
                        </w:rPr>
                        <w:t xml:space="preserve"> prévisions non-salariales</w:t>
                      </w:r>
                    </w:p>
                    <w:p w:rsidR="00C96B78" w:rsidRPr="004F018F" w:rsidRDefault="00C96B78" w:rsidP="00CB3CF4">
                      <w:pPr>
                        <w:rPr>
                          <w:color w:val="FFFFFF" w:themeColor="background1"/>
                          <w:sz w:val="16"/>
                          <w:szCs w:val="16"/>
                          <w:lang w:val="fr-CA"/>
                        </w:rPr>
                      </w:pPr>
                      <w:r w:rsidRPr="004F018F">
                        <w:rPr>
                          <w:lang w:val="fr-CA"/>
                        </w:rPr>
                        <w:t>-</w:t>
                      </w:r>
                      <w:r w:rsidRPr="004F018F">
                        <w:rPr>
                          <w:color w:val="FFFFFF" w:themeColor="background1"/>
                          <w:sz w:val="16"/>
                          <w:szCs w:val="16"/>
                          <w:lang w:val="fr-CA"/>
                        </w:rPr>
                        <w:t xml:space="preserve"> </w:t>
                      </w:r>
                      <w:r>
                        <w:rPr>
                          <w:color w:val="FFFFFF" w:themeColor="background1"/>
                          <w:sz w:val="16"/>
                          <w:szCs w:val="16"/>
                          <w:lang w:val="fr-CA"/>
                        </w:rPr>
                        <w:t>Outils de rapport</w:t>
                      </w:r>
                      <w:r w:rsidRPr="004F018F">
                        <w:rPr>
                          <w:color w:val="FFFFFF" w:themeColor="background1"/>
                          <w:sz w:val="16"/>
                          <w:szCs w:val="16"/>
                          <w:lang w:val="fr-CA"/>
                        </w:rPr>
                        <w:t xml:space="preserve"> - Business </w:t>
                      </w:r>
                    </w:p>
                    <w:p w:rsidR="00C96B78" w:rsidRPr="004F018F" w:rsidRDefault="00C96B78" w:rsidP="00CB3CF4">
                      <w:pPr>
                        <w:rPr>
                          <w:color w:val="FFFFFF" w:themeColor="background1"/>
                          <w:sz w:val="16"/>
                          <w:szCs w:val="16"/>
                          <w:lang w:val="fr-CA"/>
                        </w:rPr>
                      </w:pPr>
                      <w:r w:rsidRPr="004F018F">
                        <w:rPr>
                          <w:color w:val="FFFFFF" w:themeColor="background1"/>
                          <w:sz w:val="16"/>
                          <w:szCs w:val="16"/>
                          <w:lang w:val="fr-CA"/>
                        </w:rPr>
                        <w:t xml:space="preserve">  Intelligence (BI)</w:t>
                      </w:r>
                    </w:p>
                    <w:p w:rsidR="00C96B78" w:rsidRPr="004F018F" w:rsidRDefault="00C96B78" w:rsidP="00CB3CF4">
                      <w:pPr>
                        <w:jc w:val="center"/>
                        <w:rPr>
                          <w:b/>
                          <w:lang w:val="fr-CA"/>
                        </w:rPr>
                      </w:pPr>
                    </w:p>
                    <w:p w:rsidR="00C96B78" w:rsidRPr="004F018F" w:rsidRDefault="00C96B78" w:rsidP="00CB3CF4">
                      <w:pPr>
                        <w:rPr>
                          <w:lang w:val="fr-CA"/>
                        </w:rPr>
                      </w:pPr>
                    </w:p>
                  </w:txbxContent>
                </v:textbox>
              </v:shape>
            </w:pict>
          </mc:Fallback>
        </mc:AlternateContent>
      </w:r>
      <w:r w:rsidR="00CB3CF4">
        <w:rPr>
          <w:noProof/>
          <w:lang w:val="en-CA" w:eastAsia="en-CA"/>
        </w:rPr>
        <mc:AlternateContent>
          <mc:Choice Requires="wps">
            <w:drawing>
              <wp:anchor distT="0" distB="0" distL="114300" distR="114300" simplePos="0" relativeHeight="251661312" behindDoc="0" locked="0" layoutInCell="1" allowOverlap="1" wp14:anchorId="29708E16" wp14:editId="5E07B024">
                <wp:simplePos x="0" y="0"/>
                <wp:positionH relativeFrom="column">
                  <wp:posOffset>-280670</wp:posOffset>
                </wp:positionH>
                <wp:positionV relativeFrom="paragraph">
                  <wp:posOffset>584200</wp:posOffset>
                </wp:positionV>
                <wp:extent cx="1182370" cy="938530"/>
                <wp:effectExtent l="57150" t="57150" r="17780" b="52070"/>
                <wp:wrapNone/>
                <wp:docPr id="162" name="Hexagon 162"/>
                <wp:cNvGraphicFramePr/>
                <a:graphic xmlns:a="http://schemas.openxmlformats.org/drawingml/2006/main">
                  <a:graphicData uri="http://schemas.microsoft.com/office/word/2010/wordprocessingShape">
                    <wps:wsp>
                      <wps:cNvSpPr/>
                      <wps:spPr>
                        <a:xfrm>
                          <a:off x="0" y="0"/>
                          <a:ext cx="1182370" cy="938530"/>
                        </a:xfrm>
                        <a:prstGeom prst="hexagon">
                          <a:avLst/>
                        </a:prstGeom>
                        <a:solidFill>
                          <a:schemeClr val="bg1">
                            <a:lumMod val="75000"/>
                          </a:schemeClr>
                        </a:solidFill>
                        <a:ln>
                          <a:solidFill>
                            <a:schemeClr val="bg1">
                              <a:lumMod val="65000"/>
                            </a:schemeClr>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rsidR="00C96B78" w:rsidRPr="00CB3CF4" w:rsidRDefault="00C96B78" w:rsidP="00CB3CF4">
                            <w:pPr>
                              <w:jc w:val="center"/>
                              <w:rPr>
                                <w:rFonts w:asciiTheme="majorHAnsi" w:hAnsiTheme="majorHAnsi"/>
                                <w:b/>
                                <w:sz w:val="19"/>
                                <w:szCs w:val="19"/>
                                <w:lang w:val="fr-CA"/>
                              </w:rPr>
                            </w:pPr>
                            <w:r w:rsidRPr="00CB3CF4">
                              <w:rPr>
                                <w:rFonts w:asciiTheme="majorHAnsi" w:hAnsiTheme="majorHAnsi"/>
                                <w:b/>
                                <w:sz w:val="19"/>
                                <w:szCs w:val="19"/>
                                <w:lang w:val="fr-CA"/>
                              </w:rPr>
                              <w:t>Organismes centraux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62" o:spid="_x0000_s1029" type="#_x0000_t9" style="position:absolute;left:0;text-align:left;margin-left:-22.1pt;margin-top:46pt;width:93.1pt;height:7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" adj="4286" fillcolor="#bfbfbf [2412]" strokecolor="#a5a5a5 [2092]" strokeweight="2pt">
                <v:textbox>
                  <w:txbxContent>
                    <w:p w:rsidR="00C96B78" w:rsidRPr="00CB3CF4" w:rsidRDefault="00C96B78" w:rsidP="00CB3CF4">
                      <w:pPr>
                        <w:jc w:val="center"/>
                        <w:rPr>
                          <w:rFonts w:asciiTheme="majorHAnsi" w:hAnsiTheme="majorHAnsi"/>
                          <w:b/>
                          <w:sz w:val="19"/>
                          <w:szCs w:val="19"/>
                          <w:lang w:val="fr-CA"/>
                        </w:rPr>
                      </w:pPr>
                      <w:r w:rsidRPr="00CB3CF4">
                        <w:rPr>
                          <w:rFonts w:asciiTheme="majorHAnsi" w:hAnsiTheme="majorHAnsi"/>
                          <w:b/>
                          <w:sz w:val="19"/>
                          <w:szCs w:val="19"/>
                          <w:lang w:val="fr-CA"/>
                        </w:rPr>
                        <w:t>Organismes centraux</w:t>
                      </w:r>
                    </w:p>
                  </w:txbxContent>
                </v:textbox>
              </v:shape>
            </w:pict>
          </mc:Fallback>
        </mc:AlternateContent>
      </w:r>
      <w:r w:rsidR="00CB3CF4">
        <w:rPr>
          <w:noProof/>
          <w:lang w:val="en-CA" w:eastAsia="en-CA"/>
        </w:rPr>
        <mc:AlternateContent>
          <mc:Choice Requires="wps">
            <w:drawing>
              <wp:anchor distT="0" distB="0" distL="114300" distR="114300" simplePos="0" relativeHeight="251662336" behindDoc="0" locked="0" layoutInCell="1" allowOverlap="1" wp14:anchorId="67FD4039" wp14:editId="7995C12A">
                <wp:simplePos x="0" y="0"/>
                <wp:positionH relativeFrom="column">
                  <wp:posOffset>374015</wp:posOffset>
                </wp:positionH>
                <wp:positionV relativeFrom="paragraph">
                  <wp:posOffset>1523097</wp:posOffset>
                </wp:positionV>
                <wp:extent cx="0" cy="990792"/>
                <wp:effectExtent l="57150" t="19050" r="76200" b="76200"/>
                <wp:wrapNone/>
                <wp:docPr id="1" name="Straight Connector 1"/>
                <wp:cNvGraphicFramePr/>
                <a:graphic xmlns:a="http://schemas.openxmlformats.org/drawingml/2006/main">
                  <a:graphicData uri="http://schemas.microsoft.com/office/word/2010/wordprocessingShape">
                    <wps:wsp>
                      <wps:cNvCnPr/>
                      <wps:spPr>
                        <a:xfrm flipV="1">
                          <a:off x="0" y="0"/>
                          <a:ext cx="0" cy="990792"/>
                        </a:xfrm>
                        <a:prstGeom prst="line">
                          <a:avLst/>
                        </a:prstGeom>
                        <a:ln w="9525">
                          <a:solidFill>
                            <a:schemeClr val="tx1"/>
                          </a:solidFill>
                          <a:prstDash val="sysDash"/>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29.45pt,119.95pt" to="29.45pt,19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" strokecolor="black [3213]">
                <v:stroke dashstyle="3 1"/>
                <v:shadow on="t" color="black" opacity="24903f" origin=",.5" offset="0,.55556mm"/>
              </v:line>
            </w:pict>
          </mc:Fallback>
        </mc:AlternateContent>
      </w:r>
      <w:r w:rsidR="00CB3CF4">
        <w:rPr>
          <w:noProof/>
          <w:lang w:val="en-CA" w:eastAsia="en-CA"/>
        </w:rPr>
        <mc:AlternateContent>
          <mc:Choice Requires="wps">
            <w:drawing>
              <wp:anchor distT="0" distB="0" distL="114300" distR="114300" simplePos="0" relativeHeight="251659264" behindDoc="0" locked="0" layoutInCell="1" allowOverlap="1" wp14:anchorId="01206F22" wp14:editId="54541D07">
                <wp:simplePos x="0" y="0"/>
                <wp:positionH relativeFrom="column">
                  <wp:posOffset>5105761</wp:posOffset>
                </wp:positionH>
                <wp:positionV relativeFrom="paragraph">
                  <wp:posOffset>-2540</wp:posOffset>
                </wp:positionV>
                <wp:extent cx="1828235" cy="1526208"/>
                <wp:effectExtent l="57150" t="57150" r="95885" b="131445"/>
                <wp:wrapNone/>
                <wp:docPr id="123" name="Oval 123"/>
                <wp:cNvGraphicFramePr/>
                <a:graphic xmlns:a="http://schemas.openxmlformats.org/drawingml/2006/main">
                  <a:graphicData uri="http://schemas.microsoft.com/office/word/2010/wordprocessingShape">
                    <wps:wsp>
                      <wps:cNvSpPr/>
                      <wps:spPr>
                        <a:xfrm>
                          <a:off x="0" y="0"/>
                          <a:ext cx="1828235" cy="1526208"/>
                        </a:xfrm>
                        <a:prstGeom prst="ellipse">
                          <a:avLst/>
                        </a:prstGeom>
                        <a:gradFill>
                          <a:gsLst>
                            <a:gs pos="100000">
                              <a:schemeClr val="accent1">
                                <a:tint val="100000"/>
                                <a:shade val="100000"/>
                                <a:satMod val="130000"/>
                              </a:schemeClr>
                            </a:gs>
                            <a:gs pos="100000">
                              <a:schemeClr val="accent1">
                                <a:tint val="50000"/>
                                <a:shade val="100000"/>
                                <a:satMod val="350000"/>
                              </a:schemeClr>
                            </a:gs>
                          </a:gsLst>
                        </a:gradFill>
                        <a:scene3d>
                          <a:camera prst="orthographicFront"/>
                          <a:lightRig rig="threePt" dir="t"/>
                        </a:scene3d>
                        <a:sp3d>
                          <a:bevelT/>
                        </a:sp3d>
                      </wps:spPr>
                      <wps:style>
                        <a:lnRef idx="1">
                          <a:schemeClr val="accent1"/>
                        </a:lnRef>
                        <a:fillRef idx="3">
                          <a:schemeClr val="accent1"/>
                        </a:fillRef>
                        <a:effectRef idx="2">
                          <a:schemeClr val="accent1"/>
                        </a:effectRef>
                        <a:fontRef idx="minor">
                          <a:schemeClr val="lt1"/>
                        </a:fontRef>
                      </wps:style>
                      <wps:txbx>
                        <w:txbxContent>
                          <w:p w:rsidR="00C96B78" w:rsidRPr="00CB3CF4" w:rsidRDefault="00C96B78" w:rsidP="00CB3CF4">
                            <w:pPr>
                              <w:jc w:val="center"/>
                              <w:rPr>
                                <w:rFonts w:asciiTheme="majorHAnsi" w:hAnsiTheme="majorHAnsi"/>
                                <w:b/>
                                <w:color w:val="FFFFFF" w:themeColor="background1"/>
                                <w:sz w:val="20"/>
                                <w:szCs w:val="20"/>
                                <w:lang w:val="fr-CA"/>
                              </w:rPr>
                            </w:pPr>
                            <w:r w:rsidRPr="00CB3CF4">
                              <w:rPr>
                                <w:rFonts w:asciiTheme="majorHAnsi" w:hAnsiTheme="majorHAnsi"/>
                                <w:b/>
                                <w:color w:val="FFFFFF" w:themeColor="background1"/>
                                <w:sz w:val="20"/>
                                <w:szCs w:val="20"/>
                                <w:lang w:val="fr-CA"/>
                              </w:rPr>
                              <w:t>Source de fonds</w:t>
                            </w:r>
                          </w:p>
                          <w:p w:rsidR="00C96B78" w:rsidRPr="00CB3CF4" w:rsidRDefault="00C96B78" w:rsidP="00CB3CF4">
                            <w:pPr>
                              <w:rPr>
                                <w:rFonts w:asciiTheme="majorHAnsi" w:hAnsiTheme="majorHAnsi"/>
                                <w:b/>
                                <w:color w:val="FFFFFF" w:themeColor="background1"/>
                                <w:sz w:val="20"/>
                                <w:szCs w:val="20"/>
                                <w:lang w:val="fr-CA"/>
                              </w:rPr>
                            </w:pPr>
                            <w:r w:rsidRPr="00CB3CF4">
                              <w:rPr>
                                <w:rFonts w:asciiTheme="majorHAnsi" w:hAnsiTheme="majorHAnsi"/>
                                <w:color w:val="FFFFFF" w:themeColor="background1"/>
                                <w:sz w:val="16"/>
                                <w:lang w:val="fr-CA"/>
                              </w:rPr>
                              <w:t xml:space="preserve"> Trésor</w:t>
                            </w:r>
                          </w:p>
                          <w:p w:rsidR="00C96B78" w:rsidRPr="00CB3CF4" w:rsidRDefault="00C96B78" w:rsidP="00CB3CF4">
                            <w:pPr>
                              <w:rPr>
                                <w:rFonts w:asciiTheme="majorHAnsi" w:hAnsiTheme="majorHAnsi"/>
                                <w:color w:val="FFFFFF" w:themeColor="background1"/>
                                <w:sz w:val="16"/>
                                <w:lang w:val="fr-CA"/>
                              </w:rPr>
                            </w:pPr>
                            <w:r w:rsidRPr="00CB3CF4">
                              <w:rPr>
                                <w:rFonts w:asciiTheme="majorHAnsi" w:hAnsiTheme="majorHAnsi"/>
                                <w:color w:val="FFFFFF" w:themeColor="background1"/>
                                <w:sz w:val="16"/>
                                <w:lang w:val="fr-CA"/>
                              </w:rPr>
                              <w:t>Compte des   opérations de   l’a.e.</w:t>
                            </w:r>
                          </w:p>
                          <w:p w:rsidR="00C96B78" w:rsidRPr="00CB3CF4" w:rsidRDefault="00C96B78" w:rsidP="00CB3CF4">
                            <w:pPr>
                              <w:rPr>
                                <w:rFonts w:asciiTheme="majorHAnsi" w:hAnsiTheme="majorHAnsi"/>
                                <w:color w:val="FFFFFF" w:themeColor="background1"/>
                                <w:sz w:val="16"/>
                                <w:szCs w:val="16"/>
                                <w:lang w:val="fr-CA"/>
                              </w:rPr>
                            </w:pPr>
                            <w:r w:rsidRPr="00CB3CF4">
                              <w:rPr>
                                <w:rFonts w:asciiTheme="majorHAnsi" w:hAnsiTheme="majorHAnsi"/>
                                <w:color w:val="FFFFFF" w:themeColor="background1"/>
                                <w:sz w:val="16"/>
                                <w:szCs w:val="16"/>
                                <w:lang w:val="fr-CA"/>
                              </w:rPr>
                              <w:t>RPC</w:t>
                            </w:r>
                          </w:p>
                          <w:p w:rsidR="00C96B78" w:rsidRPr="00CB3CF4" w:rsidRDefault="00C96B78" w:rsidP="00CB3CF4">
                            <w:pPr>
                              <w:rPr>
                                <w:rFonts w:asciiTheme="majorHAnsi" w:hAnsiTheme="majorHAnsi"/>
                                <w:color w:val="FFFFFF" w:themeColor="background1"/>
                                <w:sz w:val="16"/>
                                <w:szCs w:val="16"/>
                                <w:lang w:val="fr-CA"/>
                              </w:rPr>
                            </w:pPr>
                            <w:r w:rsidRPr="00CB3CF4">
                              <w:rPr>
                                <w:rFonts w:asciiTheme="majorHAnsi" w:hAnsiTheme="majorHAnsi"/>
                                <w:color w:val="FFFFFF" w:themeColor="background1"/>
                                <w:sz w:val="16"/>
                                <w:szCs w:val="16"/>
                                <w:lang w:val="fr-CA"/>
                              </w:rPr>
                              <w:t>Recettes à valoir sur le  Crédit (Passeport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23" o:spid="_x0000_s1030" style="position:absolute;left:0;text-align:left;margin-left:402.05pt;margin-top:-.2pt;width:143.95pt;height:12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" fillcolor="#4f81bd [3204]" strokecolor="#4579b8 [3044]">
                <v:fill color2="#a7bfde [1620]" rotate="t" angle="180" colors="0 #3f80cd;1 #3f80cd" focus="100%" type="gradient">
                  <o:fill v:ext="view" type="gradientUnscaled"/>
                </v:fill>
                <v:shadow on="t" color="black" opacity="22937f" origin=",.5" offset="0,.63889mm"/>
                <v:textbox>
                  <w:txbxContent>
                    <w:p w:rsidR="00C96B78" w:rsidRPr="00CB3CF4" w:rsidRDefault="00C96B78" w:rsidP="00CB3CF4">
                      <w:pPr>
                        <w:jc w:val="center"/>
                        <w:rPr>
                          <w:rFonts w:asciiTheme="majorHAnsi" w:hAnsiTheme="majorHAnsi"/>
                          <w:b/>
                          <w:color w:val="FFFFFF" w:themeColor="background1"/>
                          <w:sz w:val="20"/>
                          <w:szCs w:val="20"/>
                          <w:lang w:val="fr-CA"/>
                        </w:rPr>
                      </w:pPr>
                      <w:r w:rsidRPr="00CB3CF4">
                        <w:rPr>
                          <w:rFonts w:asciiTheme="majorHAnsi" w:hAnsiTheme="majorHAnsi"/>
                          <w:b/>
                          <w:color w:val="FFFFFF" w:themeColor="background1"/>
                          <w:sz w:val="20"/>
                          <w:szCs w:val="20"/>
                          <w:lang w:val="fr-CA"/>
                        </w:rPr>
                        <w:t>Source de fonds</w:t>
                      </w:r>
                    </w:p>
                    <w:p w:rsidR="00C96B78" w:rsidRPr="00CB3CF4" w:rsidRDefault="00C96B78" w:rsidP="00CB3CF4">
                      <w:pPr>
                        <w:rPr>
                          <w:rFonts w:asciiTheme="majorHAnsi" w:hAnsiTheme="majorHAnsi"/>
                          <w:b/>
                          <w:color w:val="FFFFFF" w:themeColor="background1"/>
                          <w:sz w:val="20"/>
                          <w:szCs w:val="20"/>
                          <w:lang w:val="fr-CA"/>
                        </w:rPr>
                      </w:pPr>
                      <w:r w:rsidRPr="00CB3CF4">
                        <w:rPr>
                          <w:rFonts w:asciiTheme="majorHAnsi" w:hAnsiTheme="majorHAnsi"/>
                          <w:color w:val="FFFFFF" w:themeColor="background1"/>
                          <w:sz w:val="16"/>
                          <w:lang w:val="fr-CA"/>
                        </w:rPr>
                        <w:t xml:space="preserve"> Trésor</w:t>
                      </w:r>
                    </w:p>
                    <w:p w:rsidR="00C96B78" w:rsidRPr="00CB3CF4" w:rsidRDefault="00C96B78" w:rsidP="00CB3CF4">
                      <w:pPr>
                        <w:rPr>
                          <w:rFonts w:asciiTheme="majorHAnsi" w:hAnsiTheme="majorHAnsi"/>
                          <w:color w:val="FFFFFF" w:themeColor="background1"/>
                          <w:sz w:val="16"/>
                          <w:lang w:val="fr-CA"/>
                        </w:rPr>
                      </w:pPr>
                      <w:r w:rsidRPr="00CB3CF4">
                        <w:rPr>
                          <w:rFonts w:asciiTheme="majorHAnsi" w:hAnsiTheme="majorHAnsi"/>
                          <w:color w:val="FFFFFF" w:themeColor="background1"/>
                          <w:sz w:val="16"/>
                          <w:lang w:val="fr-CA"/>
                        </w:rPr>
                        <w:t>Compte des   opérations de   l’a.e.</w:t>
                      </w:r>
                    </w:p>
                    <w:p w:rsidR="00C96B78" w:rsidRPr="00CB3CF4" w:rsidRDefault="00C96B78" w:rsidP="00CB3CF4">
                      <w:pPr>
                        <w:rPr>
                          <w:rFonts w:asciiTheme="majorHAnsi" w:hAnsiTheme="majorHAnsi"/>
                          <w:color w:val="FFFFFF" w:themeColor="background1"/>
                          <w:sz w:val="16"/>
                          <w:szCs w:val="16"/>
                          <w:lang w:val="fr-CA"/>
                        </w:rPr>
                      </w:pPr>
                      <w:r w:rsidRPr="00CB3CF4">
                        <w:rPr>
                          <w:rFonts w:asciiTheme="majorHAnsi" w:hAnsiTheme="majorHAnsi"/>
                          <w:color w:val="FFFFFF" w:themeColor="background1"/>
                          <w:sz w:val="16"/>
                          <w:szCs w:val="16"/>
                          <w:lang w:val="fr-CA"/>
                        </w:rPr>
                        <w:t>RPC</w:t>
                      </w:r>
                    </w:p>
                    <w:p w:rsidR="00C96B78" w:rsidRPr="00CB3CF4" w:rsidRDefault="00C96B78" w:rsidP="00CB3CF4">
                      <w:pPr>
                        <w:rPr>
                          <w:rFonts w:asciiTheme="majorHAnsi" w:hAnsiTheme="majorHAnsi"/>
                          <w:color w:val="FFFFFF" w:themeColor="background1"/>
                          <w:sz w:val="16"/>
                          <w:szCs w:val="16"/>
                          <w:lang w:val="fr-CA"/>
                        </w:rPr>
                      </w:pPr>
                      <w:r w:rsidRPr="00CB3CF4">
                        <w:rPr>
                          <w:rFonts w:asciiTheme="majorHAnsi" w:hAnsiTheme="majorHAnsi"/>
                          <w:color w:val="FFFFFF" w:themeColor="background1"/>
                          <w:sz w:val="16"/>
                          <w:szCs w:val="16"/>
                          <w:lang w:val="fr-CA"/>
                        </w:rPr>
                        <w:t>Recettes à valoir sur le  Crédit (Passeport etc.)</w:t>
                      </w:r>
                    </w:p>
                  </w:txbxContent>
                </v:textbox>
              </v:oval>
            </w:pict>
          </mc:Fallback>
        </mc:AlternateContent>
      </w:r>
      <w:r w:rsidR="00A906D3">
        <w:rPr>
          <w:noProof/>
          <w:lang w:val="en-CA" w:eastAsia="en-CA"/>
        </w:rPr>
        <w:drawing>
          <wp:inline distT="0" distB="0" distL="0" distR="0" wp14:anchorId="39EA7FCB" wp14:editId="7435636A">
            <wp:extent cx="6979640" cy="8170877"/>
            <wp:effectExtent l="76200" t="38100" r="126365" b="59055"/>
            <wp:docPr id="37" name="Diagram 3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362EC8" w:rsidRPr="003D5C02" w:rsidRDefault="00362EC8" w:rsidP="00362EC8">
      <w:pPr>
        <w:pStyle w:val="Heading1"/>
        <w:rPr>
          <w:color w:val="000000" w:themeColor="text1"/>
          <w:lang w:val="fr-CA"/>
        </w:rPr>
      </w:pPr>
      <w:bookmarkStart w:id="4" w:name="_Toc392509627"/>
      <w:bookmarkStart w:id="5" w:name="_Toc485812685"/>
      <w:r w:rsidRPr="003D5C02">
        <w:rPr>
          <w:color w:val="000000" w:themeColor="text1"/>
          <w:lang w:val="fr-CA"/>
        </w:rPr>
        <w:lastRenderedPageBreak/>
        <w:t xml:space="preserve">1. ACQUISITION </w:t>
      </w:r>
      <w:bookmarkEnd w:id="4"/>
      <w:r w:rsidRPr="003D5C02">
        <w:rPr>
          <w:color w:val="000000" w:themeColor="text1"/>
          <w:lang w:val="fr-CA"/>
        </w:rPr>
        <w:t>DES RESSOURCES</w:t>
      </w:r>
      <w:bookmarkEnd w:id="5"/>
    </w:p>
    <w:p w:rsidR="00362EC8" w:rsidRPr="003D5C02" w:rsidRDefault="00362EC8" w:rsidP="00362EC8">
      <w:pPr>
        <w:pStyle w:val="Heading2"/>
        <w:rPr>
          <w:lang w:val="fr-CA"/>
        </w:rPr>
      </w:pPr>
      <w:bookmarkStart w:id="6" w:name="_Toc485812686"/>
      <w:r w:rsidRPr="003D5C02">
        <w:rPr>
          <w:lang w:val="fr-CA"/>
        </w:rPr>
        <w:t>1.1. SYSTÈME DE GESTION DES DÉPENSES (SGD)</w:t>
      </w:r>
      <w:bookmarkEnd w:id="6"/>
    </w:p>
    <w:p w:rsidR="00362EC8" w:rsidRPr="003D5C02" w:rsidRDefault="00362EC8" w:rsidP="00362EC8">
      <w:pPr>
        <w:pStyle w:val="Heading3"/>
        <w:rPr>
          <w:color w:val="000000" w:themeColor="text1"/>
          <w:lang w:val="fr-CA"/>
        </w:rPr>
      </w:pPr>
      <w:bookmarkStart w:id="7" w:name="_Toc485812687"/>
      <w:r w:rsidRPr="003D5C02">
        <w:rPr>
          <w:color w:val="000000" w:themeColor="text1"/>
          <w:lang w:val="fr-CA"/>
        </w:rPr>
        <w:t>1.1.1. Vue d’ensemble</w:t>
      </w:r>
      <w:bookmarkEnd w:id="7"/>
      <w:r w:rsidRPr="003D5C02">
        <w:rPr>
          <w:color w:val="000000" w:themeColor="text1"/>
          <w:lang w:val="fr-CA"/>
        </w:rPr>
        <w:t xml:space="preserve"> </w:t>
      </w:r>
    </w:p>
    <w:p w:rsidR="00362EC8" w:rsidRPr="00001E0D" w:rsidRDefault="00362EC8" w:rsidP="00362EC8">
      <w:pPr>
        <w:rPr>
          <w:rFonts w:ascii="Arial" w:hAnsi="Arial" w:cs="Arial"/>
          <w:sz w:val="20"/>
          <w:szCs w:val="20"/>
          <w:lang w:val="fr-CA"/>
        </w:rPr>
      </w:pPr>
    </w:p>
    <w:p w:rsidR="00362EC8" w:rsidRPr="003D5C02" w:rsidRDefault="00362EC8" w:rsidP="00362EC8">
      <w:pPr>
        <w:rPr>
          <w:rFonts w:ascii="Arial" w:hAnsi="Arial" w:cs="Arial"/>
          <w:sz w:val="20"/>
          <w:szCs w:val="20"/>
          <w:lang w:val="fr-CA"/>
        </w:rPr>
      </w:pPr>
      <w:r w:rsidRPr="003D5C02">
        <w:rPr>
          <w:rFonts w:ascii="Arial" w:hAnsi="Arial" w:cs="Arial"/>
          <w:sz w:val="20"/>
          <w:szCs w:val="20"/>
          <w:lang w:val="fr-CA"/>
        </w:rPr>
        <w:t xml:space="preserve">Le Système de gestion des dépenses (SGD) du gouvernement fédéral est un élément clé du cadre de gestion financière d’EDSC qui intègre les processus qui appuient la planification et la gestion stratégique à l’échelle du gouvernement et du </w:t>
      </w:r>
      <w:r w:rsidR="00A65707">
        <w:rPr>
          <w:rFonts w:ascii="Arial" w:hAnsi="Arial" w:cs="Arial"/>
          <w:sz w:val="20"/>
          <w:szCs w:val="20"/>
          <w:lang w:val="fr-CA"/>
        </w:rPr>
        <w:t>ministère</w:t>
      </w:r>
      <w:r w:rsidRPr="003D5C02">
        <w:rPr>
          <w:rFonts w:ascii="Arial" w:hAnsi="Arial" w:cs="Arial"/>
          <w:sz w:val="20"/>
          <w:szCs w:val="20"/>
          <w:lang w:val="fr-CA"/>
        </w:rPr>
        <w:t>; les décisions des organismes centraux et du Cabinet; ainsi que l’examen approfondi et l’approbation par le Parlement. Il offre un moyen d’examiner de façon continue les programmes en vue d’identifier des occasions de réaffecter des ressources en fonction des priorités et de réduire les dépenses. Le processus permet aussi un apport du Parlement et du public au processus de planification du budget et des dépenses. (</w:t>
      </w:r>
      <w:r w:rsidRPr="003D5C02">
        <w:rPr>
          <w:rFonts w:ascii="Arial" w:hAnsi="Arial" w:cs="Arial"/>
          <w:i/>
          <w:sz w:val="20"/>
          <w:szCs w:val="20"/>
          <w:lang w:val="fr-CA"/>
        </w:rPr>
        <w:t>Veuillez également consulter l’</w:t>
      </w:r>
      <w:hyperlink w:anchor="_Annex_B:_" w:history="1">
        <w:r w:rsidRPr="003D5C02">
          <w:rPr>
            <w:rStyle w:val="Hyperlink"/>
            <w:rFonts w:ascii="Arial" w:hAnsi="Arial" w:cs="Arial"/>
            <w:i/>
            <w:sz w:val="20"/>
            <w:szCs w:val="20"/>
            <w:lang w:val="fr-CA"/>
          </w:rPr>
          <w:t>annexe B</w:t>
        </w:r>
      </w:hyperlink>
      <w:r w:rsidRPr="003D5C02">
        <w:rPr>
          <w:rFonts w:ascii="Arial" w:hAnsi="Arial" w:cs="Arial"/>
          <w:i/>
          <w:sz w:val="20"/>
          <w:szCs w:val="20"/>
          <w:lang w:val="fr-CA"/>
        </w:rPr>
        <w:t xml:space="preserve"> afin d’obtenir une vue d’ensemble du SGD et l’</w:t>
      </w:r>
      <w:hyperlink w:anchor="_Annex_C:_" w:history="1">
        <w:r w:rsidRPr="003D5C02">
          <w:rPr>
            <w:rStyle w:val="Hyperlink"/>
            <w:rFonts w:ascii="Arial" w:hAnsi="Arial" w:cs="Arial"/>
            <w:i/>
            <w:sz w:val="20"/>
            <w:szCs w:val="20"/>
            <w:lang w:val="fr-CA"/>
          </w:rPr>
          <w:t>annexe C</w:t>
        </w:r>
      </w:hyperlink>
      <w:r w:rsidRPr="003D5C02">
        <w:rPr>
          <w:rFonts w:ascii="Arial" w:hAnsi="Arial" w:cs="Arial"/>
          <w:i/>
          <w:sz w:val="20"/>
          <w:szCs w:val="20"/>
          <w:lang w:val="fr-CA"/>
        </w:rPr>
        <w:t xml:space="preserve"> pour prendre connaissance du rôle des principaux organismes centraux dans le cadre de l’administration financière</w:t>
      </w:r>
      <w:r w:rsidRPr="003D5C02">
        <w:rPr>
          <w:rFonts w:ascii="Arial" w:hAnsi="Arial" w:cs="Arial"/>
          <w:sz w:val="20"/>
          <w:szCs w:val="20"/>
          <w:lang w:val="fr-CA"/>
        </w:rPr>
        <w:t>).</w:t>
      </w:r>
    </w:p>
    <w:p w:rsidR="00362EC8" w:rsidRPr="003D5C02" w:rsidRDefault="00362EC8" w:rsidP="00362EC8">
      <w:pPr>
        <w:rPr>
          <w:rFonts w:ascii="Arial" w:hAnsi="Arial" w:cs="Arial"/>
          <w:sz w:val="20"/>
          <w:szCs w:val="20"/>
          <w:lang w:val="fr-CA"/>
        </w:rPr>
      </w:pPr>
    </w:p>
    <w:p w:rsidR="00362EC8" w:rsidRPr="003D5C02" w:rsidRDefault="00362EC8" w:rsidP="00362EC8">
      <w:pPr>
        <w:rPr>
          <w:rFonts w:ascii="Arial" w:hAnsi="Arial" w:cs="Arial"/>
          <w:sz w:val="20"/>
          <w:szCs w:val="20"/>
          <w:lang w:val="fr-CA"/>
        </w:rPr>
      </w:pPr>
      <w:r w:rsidRPr="003D5C02">
        <w:rPr>
          <w:rFonts w:ascii="Arial" w:hAnsi="Arial" w:cs="Arial"/>
          <w:sz w:val="20"/>
          <w:szCs w:val="20"/>
          <w:lang w:val="fr-CA"/>
        </w:rPr>
        <w:t xml:space="preserve">Le SGD a pour objectif d’aider le gouvernement à prendre des décisions responsables en matière de dépenses en offrant aux Canadiens les programmes et les services dont ils ont besoin, selon leurs capacités financières et en respectant les objectifs financiers établis. Dans ses efforts en vue de progresser la réalisation des résultats à travers le gouvernement et améliorer la communication de ces résultats aux Canadiens, le Conseil du Trésor (CT) a lancé le processus de mise en œuvre de la nouvelle </w:t>
      </w:r>
      <w:r w:rsidRPr="00971D37">
        <w:rPr>
          <w:rFonts w:ascii="Arial" w:hAnsi="Arial" w:cs="Arial"/>
          <w:i/>
          <w:sz w:val="20"/>
          <w:szCs w:val="20"/>
          <w:lang w:val="fr-CA"/>
        </w:rPr>
        <w:t>Politique sur les résultats</w:t>
      </w:r>
      <w:r w:rsidRPr="003D5C02">
        <w:rPr>
          <w:rFonts w:ascii="Arial" w:hAnsi="Arial" w:cs="Arial"/>
          <w:sz w:val="20"/>
          <w:szCs w:val="20"/>
          <w:lang w:val="fr-CA"/>
        </w:rPr>
        <w:t xml:space="preserve"> (en vigueur le 1er novembre 2016) qui remplace </w:t>
      </w:r>
      <w:hyperlink r:id="rId14" w:history="1">
        <w:r w:rsidRPr="00971D37">
          <w:rPr>
            <w:rStyle w:val="Hyperlink"/>
            <w:rFonts w:ascii="Arial" w:hAnsi="Arial" w:cs="Arial"/>
            <w:i/>
            <w:sz w:val="20"/>
            <w:szCs w:val="20"/>
            <w:lang w:val="fr-CA"/>
          </w:rPr>
          <w:t>la Politique sur la structure des ressources et des résultats de gestion</w:t>
        </w:r>
      </w:hyperlink>
      <w:r w:rsidRPr="00971D37">
        <w:rPr>
          <w:rFonts w:ascii="Arial" w:hAnsi="Arial" w:cs="Arial"/>
          <w:i/>
          <w:sz w:val="20"/>
          <w:szCs w:val="20"/>
          <w:lang w:val="fr-CA"/>
        </w:rPr>
        <w:t xml:space="preserve"> (SGRR)</w:t>
      </w:r>
      <w:r w:rsidRPr="003D5C02">
        <w:rPr>
          <w:rFonts w:ascii="Arial" w:hAnsi="Arial" w:cs="Arial"/>
          <w:sz w:val="20"/>
          <w:szCs w:val="20"/>
          <w:lang w:val="fr-CA"/>
        </w:rPr>
        <w:t xml:space="preserve">, la </w:t>
      </w:r>
      <w:r w:rsidRPr="00971D37">
        <w:rPr>
          <w:rFonts w:ascii="Arial" w:hAnsi="Arial" w:cs="Arial"/>
          <w:i/>
          <w:sz w:val="20"/>
          <w:szCs w:val="20"/>
          <w:lang w:val="fr-CA"/>
        </w:rPr>
        <w:t>Politique sur l'évaluation</w:t>
      </w:r>
      <w:r w:rsidRPr="003D5C02">
        <w:rPr>
          <w:rFonts w:ascii="Arial" w:hAnsi="Arial" w:cs="Arial"/>
          <w:sz w:val="20"/>
          <w:szCs w:val="20"/>
          <w:lang w:val="fr-CA"/>
        </w:rPr>
        <w:t xml:space="preserve"> et la </w:t>
      </w:r>
      <w:r w:rsidRPr="00971D37">
        <w:rPr>
          <w:rFonts w:ascii="Arial" w:hAnsi="Arial" w:cs="Arial"/>
          <w:i/>
          <w:sz w:val="20"/>
          <w:szCs w:val="20"/>
          <w:lang w:val="fr-CA"/>
        </w:rPr>
        <w:t>Politique sur la déclaration des institutions fédérales et Intérêts</w:t>
      </w:r>
      <w:r w:rsidRPr="003D5C02">
        <w:rPr>
          <w:rFonts w:ascii="Arial" w:hAnsi="Arial" w:cs="Arial"/>
          <w:sz w:val="20"/>
          <w:szCs w:val="20"/>
          <w:lang w:val="fr-CA"/>
        </w:rPr>
        <w:t xml:space="preserve"> corporatifs au Secrétariat du Conseil du Trésor. Conformément aux termes de cette nouvelle politique, le département élaborera de nouveaux cadres et outils, attribuant de nouvelles responsabilités aux nouveaux rôles instaurés et assurant l'intégration avec les rôles existants.</w:t>
      </w:r>
    </w:p>
    <w:p w:rsidR="00362EC8" w:rsidRPr="00001E0D" w:rsidRDefault="00362EC8" w:rsidP="00362EC8">
      <w:pPr>
        <w:rPr>
          <w:rFonts w:ascii="Arial" w:hAnsi="Arial" w:cs="Arial"/>
          <w:sz w:val="20"/>
          <w:szCs w:val="20"/>
          <w:lang w:val="fr-CA"/>
        </w:rPr>
      </w:pPr>
    </w:p>
    <w:p w:rsidR="00362EC8" w:rsidRPr="00001E0D" w:rsidRDefault="00362EC8" w:rsidP="00362EC8">
      <w:pPr>
        <w:pStyle w:val="Heading3"/>
        <w:rPr>
          <w:lang w:val="fr-CA"/>
        </w:rPr>
      </w:pPr>
      <w:bookmarkStart w:id="8" w:name="_Toc485812688"/>
      <w:r w:rsidRPr="00001E0D">
        <w:rPr>
          <w:lang w:val="fr-CA"/>
        </w:rPr>
        <w:t xml:space="preserve">1.1.2. </w:t>
      </w:r>
      <w:r>
        <w:rPr>
          <w:lang w:val="fr-CA"/>
        </w:rPr>
        <w:t>Politique sur les résultats</w:t>
      </w:r>
      <w:bookmarkEnd w:id="8"/>
      <w:r w:rsidRPr="00001E0D">
        <w:rPr>
          <w:lang w:val="fr-CA"/>
        </w:rPr>
        <w:t xml:space="preserve"> </w:t>
      </w:r>
    </w:p>
    <w:p w:rsidR="00362EC8" w:rsidRPr="00001E0D" w:rsidRDefault="00362EC8" w:rsidP="00362EC8">
      <w:pPr>
        <w:rPr>
          <w:rFonts w:ascii="Arial" w:hAnsi="Arial" w:cs="Arial"/>
          <w:sz w:val="20"/>
          <w:szCs w:val="20"/>
          <w:lang w:val="fr-CA"/>
        </w:rPr>
      </w:pPr>
    </w:p>
    <w:p w:rsidR="00362EC8" w:rsidRDefault="00362EC8" w:rsidP="00362EC8">
      <w:pPr>
        <w:rPr>
          <w:rFonts w:ascii="Arial" w:hAnsi="Arial" w:cs="Arial"/>
          <w:sz w:val="20"/>
          <w:szCs w:val="20"/>
          <w:lang w:val="fr-CA"/>
        </w:rPr>
      </w:pPr>
      <w:r>
        <w:rPr>
          <w:rFonts w:ascii="Arial" w:hAnsi="Arial" w:cs="Arial"/>
          <w:sz w:val="20"/>
          <w:szCs w:val="20"/>
          <w:lang w:val="fr-CA"/>
        </w:rPr>
        <w:t>La</w:t>
      </w:r>
      <w:r w:rsidRPr="00001E0D">
        <w:rPr>
          <w:rFonts w:ascii="Arial" w:hAnsi="Arial" w:cs="Arial"/>
          <w:sz w:val="20"/>
          <w:szCs w:val="20"/>
          <w:lang w:val="fr-CA"/>
        </w:rPr>
        <w:t xml:space="preserve"> </w:t>
      </w:r>
      <w:r w:rsidRPr="00971D37">
        <w:rPr>
          <w:rFonts w:ascii="Arial" w:hAnsi="Arial" w:cs="Arial"/>
          <w:i/>
          <w:sz w:val="20"/>
          <w:szCs w:val="20"/>
          <w:lang w:val="fr-CA"/>
        </w:rPr>
        <w:t>Politique sur les résultats</w:t>
      </w:r>
      <w:r>
        <w:rPr>
          <w:rFonts w:ascii="Arial" w:hAnsi="Arial" w:cs="Arial"/>
          <w:sz w:val="20"/>
          <w:szCs w:val="20"/>
          <w:lang w:val="fr-CA"/>
        </w:rPr>
        <w:t xml:space="preserve"> </w:t>
      </w:r>
      <w:r w:rsidRPr="00001E0D">
        <w:rPr>
          <w:rFonts w:ascii="Arial" w:hAnsi="Arial" w:cs="Arial"/>
          <w:sz w:val="20"/>
          <w:szCs w:val="20"/>
          <w:lang w:val="fr-CA"/>
        </w:rPr>
        <w:t xml:space="preserve"> </w:t>
      </w:r>
      <w:r>
        <w:rPr>
          <w:rFonts w:ascii="Arial" w:hAnsi="Arial" w:cs="Arial"/>
          <w:sz w:val="20"/>
          <w:szCs w:val="20"/>
          <w:lang w:val="fr-CA"/>
        </w:rPr>
        <w:t>appuie l’</w:t>
      </w:r>
      <w:r w:rsidRPr="000D42E9">
        <w:rPr>
          <w:rFonts w:ascii="Arial" w:hAnsi="Arial" w:cs="Arial"/>
          <w:sz w:val="20"/>
          <w:szCs w:val="20"/>
          <w:lang w:val="fr-CA"/>
        </w:rPr>
        <w:t>approche à</w:t>
      </w:r>
      <w:r>
        <w:rPr>
          <w:rFonts w:ascii="Arial" w:hAnsi="Arial" w:cs="Arial"/>
          <w:sz w:val="20"/>
          <w:szCs w:val="20"/>
          <w:lang w:val="fr-CA"/>
        </w:rPr>
        <w:t xml:space="preserve"> l’échelle du gouvernement pour progresser la réalisation des résultats et améliorer la compréhension des résultats que le gouvernement cherche à atteindre, aussi bien que les ressources utilisées pour les atteindre. </w:t>
      </w:r>
    </w:p>
    <w:p w:rsidR="00971D37" w:rsidRDefault="00971D37" w:rsidP="00362EC8">
      <w:pPr>
        <w:rPr>
          <w:rFonts w:ascii="Arial" w:hAnsi="Arial" w:cs="Arial"/>
          <w:sz w:val="20"/>
          <w:szCs w:val="20"/>
          <w:lang w:val="fr-CA"/>
        </w:rPr>
      </w:pPr>
    </w:p>
    <w:p w:rsidR="00362EC8" w:rsidRDefault="00362EC8" w:rsidP="00362EC8">
      <w:pPr>
        <w:rPr>
          <w:rFonts w:ascii="Arial" w:hAnsi="Arial" w:cs="Arial"/>
          <w:sz w:val="20"/>
          <w:szCs w:val="20"/>
          <w:lang w:val="fr-CA"/>
        </w:rPr>
      </w:pPr>
      <w:r w:rsidRPr="007D26EA">
        <w:rPr>
          <w:rFonts w:ascii="Arial" w:hAnsi="Arial" w:cs="Arial"/>
          <w:sz w:val="20"/>
          <w:szCs w:val="20"/>
          <w:lang w:val="fr-CA"/>
        </w:rPr>
        <w:t xml:space="preserve">Cette politique exige que le </w:t>
      </w:r>
      <w:r w:rsidR="00B9516F">
        <w:rPr>
          <w:rFonts w:ascii="Arial" w:hAnsi="Arial" w:cs="Arial"/>
          <w:sz w:val="20"/>
          <w:szCs w:val="20"/>
          <w:lang w:val="fr-CA"/>
        </w:rPr>
        <w:t>ministère</w:t>
      </w:r>
      <w:r w:rsidRPr="007D26EA">
        <w:rPr>
          <w:rFonts w:ascii="Arial" w:hAnsi="Arial" w:cs="Arial"/>
          <w:sz w:val="20"/>
          <w:szCs w:val="20"/>
          <w:lang w:val="fr-CA"/>
        </w:rPr>
        <w:t xml:space="preserve"> soit clair sur ce </w:t>
      </w:r>
      <w:r>
        <w:rPr>
          <w:rFonts w:ascii="Arial" w:hAnsi="Arial" w:cs="Arial"/>
          <w:sz w:val="20"/>
          <w:szCs w:val="20"/>
          <w:lang w:val="fr-CA"/>
        </w:rPr>
        <w:t>qu’il</w:t>
      </w:r>
      <w:r w:rsidRPr="007D26EA">
        <w:rPr>
          <w:rFonts w:ascii="Arial" w:hAnsi="Arial" w:cs="Arial"/>
          <w:sz w:val="20"/>
          <w:szCs w:val="20"/>
          <w:lang w:val="fr-CA"/>
        </w:rPr>
        <w:t xml:space="preserve"> </w:t>
      </w:r>
      <w:r>
        <w:rPr>
          <w:rFonts w:ascii="Arial" w:hAnsi="Arial" w:cs="Arial"/>
          <w:sz w:val="20"/>
          <w:szCs w:val="20"/>
          <w:lang w:val="fr-CA"/>
        </w:rPr>
        <w:t xml:space="preserve">essai </w:t>
      </w:r>
      <w:r w:rsidRPr="007D26EA">
        <w:rPr>
          <w:rFonts w:ascii="Arial" w:hAnsi="Arial" w:cs="Arial"/>
          <w:sz w:val="20"/>
          <w:szCs w:val="20"/>
          <w:lang w:val="fr-CA"/>
        </w:rPr>
        <w:t xml:space="preserve"> d'atteindre et sur la façon </w:t>
      </w:r>
      <w:r>
        <w:rPr>
          <w:rFonts w:ascii="Arial" w:hAnsi="Arial" w:cs="Arial"/>
          <w:sz w:val="20"/>
          <w:szCs w:val="20"/>
          <w:lang w:val="fr-CA"/>
        </w:rPr>
        <w:t>d’évaluer</w:t>
      </w:r>
      <w:r w:rsidR="00971D37">
        <w:rPr>
          <w:rFonts w:ascii="Arial" w:hAnsi="Arial" w:cs="Arial"/>
          <w:sz w:val="20"/>
          <w:szCs w:val="20"/>
          <w:lang w:val="fr-CA"/>
        </w:rPr>
        <w:t xml:space="preserve"> le succès; q</w:t>
      </w:r>
      <w:r w:rsidRPr="007D26EA">
        <w:rPr>
          <w:rFonts w:ascii="Arial" w:hAnsi="Arial" w:cs="Arial"/>
          <w:sz w:val="20"/>
          <w:szCs w:val="20"/>
          <w:lang w:val="fr-CA"/>
        </w:rPr>
        <w:t xml:space="preserve">ue le </w:t>
      </w:r>
      <w:r w:rsidR="00B9516F">
        <w:rPr>
          <w:rFonts w:ascii="Arial" w:hAnsi="Arial" w:cs="Arial"/>
          <w:sz w:val="20"/>
          <w:szCs w:val="20"/>
          <w:lang w:val="fr-CA"/>
        </w:rPr>
        <w:t>ministère</w:t>
      </w:r>
      <w:r w:rsidRPr="007D26EA">
        <w:rPr>
          <w:rFonts w:ascii="Arial" w:hAnsi="Arial" w:cs="Arial"/>
          <w:sz w:val="20"/>
          <w:szCs w:val="20"/>
          <w:lang w:val="fr-CA"/>
        </w:rPr>
        <w:t xml:space="preserve"> mesure et évalue son rendement, en utilisant les informations qui en résultent pour gérer et améliorer les programmes, l</w:t>
      </w:r>
      <w:r w:rsidR="00971D37">
        <w:rPr>
          <w:rFonts w:ascii="Arial" w:hAnsi="Arial" w:cs="Arial"/>
          <w:sz w:val="20"/>
          <w:szCs w:val="20"/>
          <w:lang w:val="fr-CA"/>
        </w:rPr>
        <w:t>es politiques et les services; q</w:t>
      </w:r>
      <w:r w:rsidRPr="007D26EA">
        <w:rPr>
          <w:rFonts w:ascii="Arial" w:hAnsi="Arial" w:cs="Arial"/>
          <w:sz w:val="20"/>
          <w:szCs w:val="20"/>
          <w:lang w:val="fr-CA"/>
        </w:rPr>
        <w:t>ue les ressources sont allouées en fonction de la performance afin d'optimiser les résultats, notamment par le biai</w:t>
      </w:r>
      <w:r>
        <w:rPr>
          <w:rFonts w:ascii="Arial" w:hAnsi="Arial" w:cs="Arial"/>
          <w:sz w:val="20"/>
          <w:szCs w:val="20"/>
          <w:lang w:val="fr-CA"/>
        </w:rPr>
        <w:t>s des présentations au Conseil d</w:t>
      </w:r>
      <w:r w:rsidRPr="007D26EA">
        <w:rPr>
          <w:rFonts w:ascii="Arial" w:hAnsi="Arial" w:cs="Arial"/>
          <w:sz w:val="20"/>
          <w:szCs w:val="20"/>
          <w:lang w:val="fr-CA"/>
        </w:rPr>
        <w:t xml:space="preserve">u Trésor, par le biais d'examens d'alignement des ressources, et </w:t>
      </w:r>
      <w:r>
        <w:rPr>
          <w:rFonts w:ascii="Arial" w:hAnsi="Arial" w:cs="Arial"/>
          <w:sz w:val="20"/>
          <w:szCs w:val="20"/>
          <w:lang w:val="fr-CA"/>
        </w:rPr>
        <w:t>à</w:t>
      </w:r>
      <w:r w:rsidRPr="007D26EA">
        <w:rPr>
          <w:rFonts w:ascii="Arial" w:hAnsi="Arial" w:cs="Arial"/>
          <w:sz w:val="20"/>
          <w:szCs w:val="20"/>
          <w:lang w:val="fr-CA"/>
        </w:rPr>
        <w:t xml:space="preserve"> </w:t>
      </w:r>
      <w:r>
        <w:rPr>
          <w:rFonts w:ascii="Arial" w:hAnsi="Arial" w:cs="Arial"/>
          <w:sz w:val="20"/>
          <w:szCs w:val="20"/>
          <w:lang w:val="fr-CA"/>
        </w:rPr>
        <w:t>l’</w:t>
      </w:r>
      <w:r w:rsidRPr="007D26EA">
        <w:rPr>
          <w:rFonts w:ascii="Arial" w:hAnsi="Arial" w:cs="Arial"/>
          <w:sz w:val="20"/>
          <w:szCs w:val="20"/>
          <w:lang w:val="fr-CA"/>
        </w:rPr>
        <w:t xml:space="preserve">interne par les </w:t>
      </w:r>
      <w:r w:rsidR="00B9516F">
        <w:rPr>
          <w:rFonts w:ascii="Arial" w:hAnsi="Arial" w:cs="Arial"/>
          <w:sz w:val="20"/>
          <w:szCs w:val="20"/>
          <w:lang w:val="fr-CA"/>
        </w:rPr>
        <w:t>ministère</w:t>
      </w:r>
      <w:r>
        <w:rPr>
          <w:rFonts w:ascii="Arial" w:hAnsi="Arial" w:cs="Arial"/>
          <w:sz w:val="20"/>
          <w:szCs w:val="20"/>
          <w:lang w:val="fr-CA"/>
        </w:rPr>
        <w:t>s; e</w:t>
      </w:r>
      <w:r w:rsidRPr="007D26EA">
        <w:rPr>
          <w:rFonts w:ascii="Arial" w:hAnsi="Arial" w:cs="Arial"/>
          <w:sz w:val="20"/>
          <w:szCs w:val="20"/>
          <w:lang w:val="fr-CA"/>
        </w:rPr>
        <w:t>t que les parlementaires et le public reçoivent des informations transparentes, claires et utiles sur les résultats et les ressources connexes.</w:t>
      </w:r>
    </w:p>
    <w:p w:rsidR="00362EC8" w:rsidRPr="00001E0D" w:rsidRDefault="00362EC8" w:rsidP="00362EC8">
      <w:pPr>
        <w:rPr>
          <w:rFonts w:ascii="Arial" w:hAnsi="Arial" w:cs="Arial"/>
          <w:sz w:val="20"/>
          <w:szCs w:val="20"/>
          <w:lang w:val="fr-CA"/>
        </w:rPr>
      </w:pPr>
    </w:p>
    <w:p w:rsidR="00362EC8" w:rsidRPr="00001E0D" w:rsidRDefault="00362EC8" w:rsidP="00362EC8">
      <w:pPr>
        <w:rPr>
          <w:rFonts w:ascii="Arial" w:hAnsi="Arial" w:cs="Arial"/>
          <w:sz w:val="20"/>
          <w:szCs w:val="20"/>
          <w:lang w:val="fr-CA"/>
        </w:rPr>
      </w:pPr>
      <w:r w:rsidRPr="000D42E9">
        <w:rPr>
          <w:rFonts w:ascii="Arial" w:hAnsi="Arial" w:cs="Arial"/>
          <w:sz w:val="20"/>
          <w:szCs w:val="20"/>
          <w:lang w:val="fr-CA"/>
        </w:rPr>
        <w:t xml:space="preserve">La Politique sur </w:t>
      </w:r>
      <w:r>
        <w:rPr>
          <w:rFonts w:ascii="Arial" w:hAnsi="Arial" w:cs="Arial"/>
          <w:sz w:val="20"/>
          <w:szCs w:val="20"/>
          <w:lang w:val="fr-CA"/>
        </w:rPr>
        <w:t>les résultats :</w:t>
      </w:r>
    </w:p>
    <w:p w:rsidR="00362EC8" w:rsidRDefault="00362EC8" w:rsidP="00362EC8">
      <w:pPr>
        <w:pStyle w:val="ListParagraph"/>
        <w:numPr>
          <w:ilvl w:val="0"/>
          <w:numId w:val="4"/>
        </w:numPr>
        <w:rPr>
          <w:rFonts w:ascii="Arial" w:hAnsi="Arial" w:cs="Arial"/>
          <w:sz w:val="20"/>
          <w:szCs w:val="20"/>
          <w:lang w:val="fr-CA"/>
        </w:rPr>
      </w:pPr>
      <w:r>
        <w:rPr>
          <w:rFonts w:ascii="Arial" w:hAnsi="Arial" w:cs="Arial"/>
          <w:sz w:val="20"/>
          <w:szCs w:val="20"/>
          <w:lang w:val="fr-CA"/>
        </w:rPr>
        <w:t>Contient de nouvelles structures de rapport</w:t>
      </w:r>
    </w:p>
    <w:p w:rsidR="00362EC8" w:rsidRDefault="00362EC8" w:rsidP="00362EC8">
      <w:pPr>
        <w:pStyle w:val="ListParagraph"/>
        <w:numPr>
          <w:ilvl w:val="1"/>
          <w:numId w:val="4"/>
        </w:numPr>
        <w:rPr>
          <w:rFonts w:ascii="Arial" w:hAnsi="Arial" w:cs="Arial"/>
          <w:sz w:val="20"/>
          <w:szCs w:val="20"/>
          <w:lang w:val="fr-CA"/>
        </w:rPr>
      </w:pPr>
      <w:r>
        <w:rPr>
          <w:rFonts w:ascii="Arial" w:hAnsi="Arial" w:cs="Arial"/>
          <w:sz w:val="20"/>
          <w:szCs w:val="20"/>
          <w:lang w:val="fr-CA"/>
        </w:rPr>
        <w:t xml:space="preserve">Un </w:t>
      </w:r>
      <w:r w:rsidR="0035306F">
        <w:rPr>
          <w:rFonts w:ascii="Arial" w:hAnsi="Arial" w:cs="Arial"/>
          <w:sz w:val="20"/>
          <w:szCs w:val="20"/>
          <w:lang w:val="fr-CA"/>
        </w:rPr>
        <w:t>C</w:t>
      </w:r>
      <w:r>
        <w:rPr>
          <w:rFonts w:ascii="Arial" w:hAnsi="Arial" w:cs="Arial"/>
          <w:sz w:val="20"/>
          <w:szCs w:val="20"/>
          <w:lang w:val="fr-CA"/>
        </w:rPr>
        <w:t>adre ministériel des résultats (CMR) qui comprend les responsabilités principales, les résultats et les indicateurs ministériels. Il remplace l’Architecture d’alignement des programmes, les</w:t>
      </w:r>
      <w:r w:rsidR="0035306F">
        <w:rPr>
          <w:rFonts w:ascii="Arial" w:hAnsi="Arial" w:cs="Arial"/>
          <w:sz w:val="20"/>
          <w:szCs w:val="20"/>
          <w:lang w:val="fr-CA"/>
        </w:rPr>
        <w:t xml:space="preserve"> résultats stratégiques et, le C</w:t>
      </w:r>
      <w:r>
        <w:rPr>
          <w:rFonts w:ascii="Arial" w:hAnsi="Arial" w:cs="Arial"/>
          <w:sz w:val="20"/>
          <w:szCs w:val="20"/>
          <w:lang w:val="fr-CA"/>
        </w:rPr>
        <w:t xml:space="preserve">adre de mesure du rendement. </w:t>
      </w:r>
    </w:p>
    <w:p w:rsidR="00362EC8" w:rsidRDefault="00362EC8" w:rsidP="00362EC8">
      <w:pPr>
        <w:pStyle w:val="ListParagraph"/>
        <w:numPr>
          <w:ilvl w:val="1"/>
          <w:numId w:val="4"/>
        </w:numPr>
        <w:rPr>
          <w:rFonts w:ascii="Arial" w:hAnsi="Arial" w:cs="Arial"/>
          <w:sz w:val="20"/>
          <w:szCs w:val="20"/>
          <w:lang w:val="fr-CA"/>
        </w:rPr>
      </w:pPr>
      <w:r w:rsidRPr="00A45D8A">
        <w:rPr>
          <w:rFonts w:ascii="Arial" w:hAnsi="Arial" w:cs="Arial"/>
          <w:sz w:val="20"/>
          <w:szCs w:val="20"/>
          <w:lang w:val="fr-CA"/>
        </w:rPr>
        <w:t xml:space="preserve">Une nouvelle documentation sur le rendement au niveau du programme qui comprend les profils de programmes et les </w:t>
      </w:r>
      <w:r w:rsidR="0035306F">
        <w:rPr>
          <w:rFonts w:ascii="Arial" w:hAnsi="Arial" w:cs="Arial"/>
          <w:sz w:val="20"/>
          <w:szCs w:val="20"/>
          <w:lang w:val="fr-CA"/>
        </w:rPr>
        <w:t>P</w:t>
      </w:r>
      <w:r w:rsidRPr="00A45D8A">
        <w:rPr>
          <w:rFonts w:ascii="Arial" w:hAnsi="Arial" w:cs="Arial"/>
          <w:sz w:val="20"/>
          <w:szCs w:val="20"/>
          <w:lang w:val="fr-CA"/>
        </w:rPr>
        <w:t>rofils d'i</w:t>
      </w:r>
      <w:r>
        <w:rPr>
          <w:rFonts w:ascii="Arial" w:hAnsi="Arial" w:cs="Arial"/>
          <w:sz w:val="20"/>
          <w:szCs w:val="20"/>
          <w:lang w:val="fr-CA"/>
        </w:rPr>
        <w:t>nformation sur le rendement (PIR</w:t>
      </w:r>
      <w:r w:rsidRPr="00A45D8A">
        <w:rPr>
          <w:rFonts w:ascii="Arial" w:hAnsi="Arial" w:cs="Arial"/>
          <w:sz w:val="20"/>
          <w:szCs w:val="20"/>
          <w:lang w:val="fr-CA"/>
        </w:rPr>
        <w:t>) décrivant le cadre de résultats au niveau des programmes, y comp</w:t>
      </w:r>
      <w:r>
        <w:rPr>
          <w:rFonts w:ascii="Arial" w:hAnsi="Arial" w:cs="Arial"/>
          <w:sz w:val="20"/>
          <w:szCs w:val="20"/>
          <w:lang w:val="fr-CA"/>
        </w:rPr>
        <w:t>ris les résultats, le rendement</w:t>
      </w:r>
      <w:r w:rsidRPr="00A45D8A">
        <w:rPr>
          <w:rFonts w:ascii="Arial" w:hAnsi="Arial" w:cs="Arial"/>
          <w:sz w:val="20"/>
          <w:szCs w:val="20"/>
          <w:lang w:val="fr-CA"/>
        </w:rPr>
        <w:t xml:space="preserve">, les indicateurs et les besoins d'évaluation, et décrivant comment chacun d'eux se rapporte aux responsabilités </w:t>
      </w:r>
      <w:r>
        <w:rPr>
          <w:rFonts w:ascii="Arial" w:hAnsi="Arial" w:cs="Arial"/>
          <w:sz w:val="20"/>
          <w:szCs w:val="20"/>
          <w:lang w:val="fr-CA"/>
        </w:rPr>
        <w:t>principales</w:t>
      </w:r>
      <w:r w:rsidRPr="00A45D8A">
        <w:rPr>
          <w:rFonts w:ascii="Arial" w:hAnsi="Arial" w:cs="Arial"/>
          <w:sz w:val="20"/>
          <w:szCs w:val="20"/>
          <w:lang w:val="fr-CA"/>
        </w:rPr>
        <w:t xml:space="preserve"> et aux résultats ministériels.</w:t>
      </w:r>
    </w:p>
    <w:p w:rsidR="00362EC8" w:rsidRDefault="00362EC8" w:rsidP="00362EC8">
      <w:pPr>
        <w:pStyle w:val="ListParagraph"/>
        <w:numPr>
          <w:ilvl w:val="0"/>
          <w:numId w:val="4"/>
        </w:numPr>
        <w:rPr>
          <w:rFonts w:ascii="Arial" w:hAnsi="Arial" w:cs="Arial"/>
          <w:sz w:val="20"/>
          <w:szCs w:val="20"/>
          <w:lang w:val="fr-CA"/>
        </w:rPr>
      </w:pPr>
      <w:r>
        <w:rPr>
          <w:rFonts w:ascii="Arial" w:hAnsi="Arial" w:cs="Arial"/>
          <w:sz w:val="20"/>
          <w:szCs w:val="20"/>
          <w:lang w:val="fr-CA"/>
        </w:rPr>
        <w:t>Est soutenu par un nouveau mécanisme et des rôles et responsabilités :</w:t>
      </w:r>
    </w:p>
    <w:p w:rsidR="00362EC8" w:rsidRDefault="00362EC8" w:rsidP="00362EC8">
      <w:pPr>
        <w:pStyle w:val="ListParagraph"/>
        <w:numPr>
          <w:ilvl w:val="1"/>
          <w:numId w:val="4"/>
        </w:numPr>
        <w:rPr>
          <w:rFonts w:ascii="Arial" w:hAnsi="Arial" w:cs="Arial"/>
          <w:sz w:val="20"/>
          <w:szCs w:val="20"/>
          <w:lang w:val="fr-CA"/>
        </w:rPr>
      </w:pPr>
      <w:r>
        <w:rPr>
          <w:rFonts w:ascii="Arial" w:hAnsi="Arial" w:cs="Arial"/>
          <w:sz w:val="20"/>
          <w:szCs w:val="20"/>
          <w:lang w:val="fr-CA"/>
        </w:rPr>
        <w:t xml:space="preserve">Un </w:t>
      </w:r>
      <w:r w:rsidR="0035306F">
        <w:rPr>
          <w:rFonts w:ascii="Arial" w:hAnsi="Arial" w:cs="Arial"/>
          <w:sz w:val="20"/>
          <w:szCs w:val="20"/>
          <w:lang w:val="fr-CA"/>
        </w:rPr>
        <w:t>C</w:t>
      </w:r>
      <w:r>
        <w:rPr>
          <w:rFonts w:ascii="Arial" w:hAnsi="Arial" w:cs="Arial"/>
          <w:sz w:val="20"/>
          <w:szCs w:val="20"/>
          <w:lang w:val="fr-CA"/>
        </w:rPr>
        <w:t>omité de mesure et d’évaluation du rendement</w:t>
      </w:r>
    </w:p>
    <w:p w:rsidR="00362EC8" w:rsidRDefault="00362EC8" w:rsidP="00362EC8">
      <w:pPr>
        <w:pStyle w:val="ListParagraph"/>
        <w:numPr>
          <w:ilvl w:val="2"/>
          <w:numId w:val="4"/>
        </w:numPr>
        <w:rPr>
          <w:rFonts w:ascii="Arial" w:hAnsi="Arial" w:cs="Arial"/>
          <w:sz w:val="20"/>
          <w:szCs w:val="20"/>
          <w:lang w:val="fr-CA"/>
        </w:rPr>
      </w:pPr>
      <w:r>
        <w:rPr>
          <w:rFonts w:ascii="Arial" w:hAnsi="Arial" w:cs="Arial"/>
          <w:sz w:val="20"/>
          <w:szCs w:val="20"/>
          <w:lang w:val="fr-CA"/>
        </w:rPr>
        <w:t>Gère le comité d’évaluation ministériel avec de nouvelles responsabilités et de nouveaux membres.</w:t>
      </w:r>
    </w:p>
    <w:p w:rsidR="00362EC8" w:rsidRDefault="00362EC8" w:rsidP="00362EC8">
      <w:pPr>
        <w:pStyle w:val="ListParagraph"/>
        <w:numPr>
          <w:ilvl w:val="2"/>
          <w:numId w:val="4"/>
        </w:numPr>
        <w:rPr>
          <w:rFonts w:ascii="Arial" w:hAnsi="Arial" w:cs="Arial"/>
          <w:sz w:val="20"/>
          <w:szCs w:val="20"/>
          <w:lang w:val="fr-CA"/>
        </w:rPr>
      </w:pPr>
      <w:r>
        <w:rPr>
          <w:rFonts w:ascii="Arial" w:hAnsi="Arial" w:cs="Arial"/>
          <w:sz w:val="20"/>
          <w:szCs w:val="20"/>
          <w:lang w:val="fr-CA"/>
        </w:rPr>
        <w:t xml:space="preserve">Exerce le contrôle pour la politique sur les résultats </w:t>
      </w:r>
    </w:p>
    <w:p w:rsidR="00362EC8" w:rsidRDefault="00362EC8" w:rsidP="00362EC8">
      <w:pPr>
        <w:pStyle w:val="ListParagraph"/>
        <w:numPr>
          <w:ilvl w:val="1"/>
          <w:numId w:val="4"/>
        </w:numPr>
        <w:rPr>
          <w:rFonts w:ascii="Arial" w:hAnsi="Arial" w:cs="Arial"/>
          <w:sz w:val="20"/>
          <w:szCs w:val="20"/>
          <w:lang w:val="fr-CA"/>
        </w:rPr>
      </w:pPr>
      <w:r>
        <w:rPr>
          <w:rFonts w:ascii="Arial" w:hAnsi="Arial" w:cs="Arial"/>
          <w:sz w:val="20"/>
          <w:szCs w:val="20"/>
          <w:lang w:val="fr-CA"/>
        </w:rPr>
        <w:t>Chef de la mesure du rendement</w:t>
      </w:r>
    </w:p>
    <w:p w:rsidR="00362EC8" w:rsidRDefault="00362EC8" w:rsidP="00362EC8">
      <w:pPr>
        <w:pStyle w:val="ListParagraph"/>
        <w:numPr>
          <w:ilvl w:val="1"/>
          <w:numId w:val="4"/>
        </w:numPr>
        <w:rPr>
          <w:rFonts w:ascii="Arial" w:hAnsi="Arial" w:cs="Arial"/>
          <w:sz w:val="20"/>
          <w:szCs w:val="20"/>
          <w:lang w:val="fr-CA"/>
        </w:rPr>
      </w:pPr>
      <w:r>
        <w:rPr>
          <w:rFonts w:ascii="Arial" w:hAnsi="Arial" w:cs="Arial"/>
          <w:sz w:val="20"/>
          <w:szCs w:val="20"/>
          <w:lang w:val="fr-CA"/>
        </w:rPr>
        <w:lastRenderedPageBreak/>
        <w:t>Agent de programme pour chaque programme dans l’inventaire</w:t>
      </w:r>
    </w:p>
    <w:p w:rsidR="00362EC8" w:rsidRDefault="00362EC8" w:rsidP="0035306F">
      <w:pPr>
        <w:pStyle w:val="ListParagraph"/>
        <w:numPr>
          <w:ilvl w:val="1"/>
          <w:numId w:val="4"/>
        </w:numPr>
        <w:rPr>
          <w:rFonts w:ascii="Arial" w:hAnsi="Arial" w:cs="Arial"/>
          <w:sz w:val="20"/>
          <w:szCs w:val="20"/>
          <w:lang w:val="fr-CA"/>
        </w:rPr>
      </w:pPr>
      <w:r>
        <w:rPr>
          <w:rFonts w:ascii="Arial" w:hAnsi="Arial" w:cs="Arial"/>
          <w:sz w:val="20"/>
          <w:szCs w:val="20"/>
          <w:lang w:val="fr-CA"/>
        </w:rPr>
        <w:t xml:space="preserve">Le </w:t>
      </w:r>
      <w:r w:rsidR="0035306F">
        <w:rPr>
          <w:rFonts w:ascii="Arial" w:hAnsi="Arial" w:cs="Arial"/>
          <w:sz w:val="20"/>
          <w:szCs w:val="20"/>
          <w:lang w:val="fr-CA"/>
        </w:rPr>
        <w:t>C</w:t>
      </w:r>
      <w:r>
        <w:rPr>
          <w:rFonts w:ascii="Arial" w:hAnsi="Arial" w:cs="Arial"/>
          <w:sz w:val="20"/>
          <w:szCs w:val="20"/>
          <w:lang w:val="fr-CA"/>
        </w:rPr>
        <w:t xml:space="preserve">hef de l’évaluation, </w:t>
      </w:r>
      <w:r w:rsidR="0035306F">
        <w:rPr>
          <w:rFonts w:ascii="Arial" w:hAnsi="Arial" w:cs="Arial"/>
          <w:sz w:val="20"/>
          <w:szCs w:val="20"/>
          <w:lang w:val="fr-CA"/>
        </w:rPr>
        <w:t>le  Dirigeant</w:t>
      </w:r>
      <w:r>
        <w:rPr>
          <w:rFonts w:ascii="Arial" w:hAnsi="Arial" w:cs="Arial"/>
          <w:sz w:val="20"/>
          <w:szCs w:val="20"/>
          <w:lang w:val="fr-CA"/>
        </w:rPr>
        <w:t xml:space="preserve"> principal des finances et </w:t>
      </w:r>
      <w:r w:rsidR="0035306F">
        <w:rPr>
          <w:rFonts w:ascii="Arial" w:hAnsi="Arial" w:cs="Arial"/>
          <w:sz w:val="20"/>
          <w:szCs w:val="20"/>
          <w:lang w:val="fr-CA"/>
        </w:rPr>
        <w:t>D</w:t>
      </w:r>
      <w:r w:rsidR="0035306F" w:rsidRPr="0035306F">
        <w:rPr>
          <w:rFonts w:ascii="Arial" w:hAnsi="Arial" w:cs="Arial"/>
          <w:sz w:val="20"/>
          <w:szCs w:val="20"/>
          <w:lang w:val="fr-CA"/>
        </w:rPr>
        <w:t>irigeant principal de l’information (DPI)</w:t>
      </w:r>
      <w:r w:rsidR="0035306F">
        <w:rPr>
          <w:rFonts w:ascii="Arial" w:hAnsi="Arial" w:cs="Arial"/>
          <w:sz w:val="20"/>
          <w:szCs w:val="20"/>
          <w:lang w:val="fr-CA"/>
        </w:rPr>
        <w:t xml:space="preserve"> soutiennent</w:t>
      </w:r>
      <w:r>
        <w:rPr>
          <w:rFonts w:ascii="Arial" w:hAnsi="Arial" w:cs="Arial"/>
          <w:sz w:val="20"/>
          <w:szCs w:val="20"/>
          <w:lang w:val="fr-CA"/>
        </w:rPr>
        <w:t xml:space="preserve"> la politique de diverses façons.</w:t>
      </w:r>
    </w:p>
    <w:p w:rsidR="00362EC8" w:rsidRDefault="00362EC8" w:rsidP="00362EC8">
      <w:pPr>
        <w:rPr>
          <w:rFonts w:ascii="Arial" w:hAnsi="Arial" w:cs="Arial"/>
          <w:sz w:val="20"/>
          <w:szCs w:val="20"/>
          <w:lang w:val="fr-CA"/>
        </w:rPr>
      </w:pPr>
    </w:p>
    <w:p w:rsidR="00362EC8" w:rsidRDefault="00362EC8" w:rsidP="00362EC8">
      <w:pPr>
        <w:rPr>
          <w:rFonts w:ascii="Arial" w:hAnsi="Arial" w:cs="Arial"/>
          <w:sz w:val="20"/>
          <w:szCs w:val="20"/>
          <w:lang w:val="fr-CA"/>
        </w:rPr>
      </w:pPr>
      <w:r w:rsidRPr="007750B2">
        <w:rPr>
          <w:rFonts w:ascii="Arial" w:hAnsi="Arial" w:cs="Arial"/>
          <w:sz w:val="20"/>
          <w:szCs w:val="20"/>
          <w:lang w:val="fr-CA"/>
        </w:rPr>
        <w:t>L'exercice financier 2017-2018 sera une année de transition p</w:t>
      </w:r>
      <w:r w:rsidR="0035306F">
        <w:rPr>
          <w:rFonts w:ascii="Arial" w:hAnsi="Arial" w:cs="Arial"/>
          <w:sz w:val="20"/>
          <w:szCs w:val="20"/>
          <w:lang w:val="fr-CA"/>
        </w:rPr>
        <w:t>our EDSC, car l'AAP et le Cadre de mesure de rendement</w:t>
      </w:r>
      <w:r w:rsidRPr="007750B2">
        <w:rPr>
          <w:rFonts w:ascii="Arial" w:hAnsi="Arial" w:cs="Arial"/>
          <w:sz w:val="20"/>
          <w:szCs w:val="20"/>
          <w:lang w:val="fr-CA"/>
        </w:rPr>
        <w:t xml:space="preserve"> continueront d'être utilisés p</w:t>
      </w:r>
      <w:r>
        <w:rPr>
          <w:rFonts w:ascii="Arial" w:hAnsi="Arial" w:cs="Arial"/>
          <w:sz w:val="20"/>
          <w:szCs w:val="20"/>
          <w:lang w:val="fr-CA"/>
        </w:rPr>
        <w:t>our faire rapport au CT et aux</w:t>
      </w:r>
      <w:r w:rsidRPr="007750B2">
        <w:rPr>
          <w:rFonts w:ascii="Arial" w:hAnsi="Arial" w:cs="Arial"/>
          <w:sz w:val="20"/>
          <w:szCs w:val="20"/>
          <w:lang w:val="fr-CA"/>
        </w:rPr>
        <w:t xml:space="preserve"> parlementaires tout en travaillant sur le dé</w:t>
      </w:r>
      <w:r>
        <w:rPr>
          <w:rFonts w:ascii="Arial" w:hAnsi="Arial" w:cs="Arial"/>
          <w:sz w:val="20"/>
          <w:szCs w:val="20"/>
          <w:lang w:val="fr-CA"/>
        </w:rPr>
        <w:t>veloppement du CMR, l’</w:t>
      </w:r>
      <w:r w:rsidRPr="007750B2">
        <w:rPr>
          <w:rFonts w:ascii="Arial" w:hAnsi="Arial" w:cs="Arial"/>
          <w:sz w:val="20"/>
          <w:szCs w:val="20"/>
          <w:lang w:val="fr-CA"/>
        </w:rPr>
        <w:t>inven</w:t>
      </w:r>
      <w:r>
        <w:rPr>
          <w:rFonts w:ascii="Arial" w:hAnsi="Arial" w:cs="Arial"/>
          <w:sz w:val="20"/>
          <w:szCs w:val="20"/>
          <w:lang w:val="fr-CA"/>
        </w:rPr>
        <w:t>taire des programmes et les PIR</w:t>
      </w:r>
      <w:r w:rsidRPr="007750B2">
        <w:rPr>
          <w:rFonts w:ascii="Arial" w:hAnsi="Arial" w:cs="Arial"/>
          <w:sz w:val="20"/>
          <w:szCs w:val="20"/>
          <w:lang w:val="fr-CA"/>
        </w:rPr>
        <w:t>.</w:t>
      </w:r>
    </w:p>
    <w:p w:rsidR="00362EC8" w:rsidRPr="00F6757A" w:rsidRDefault="00362EC8" w:rsidP="00362EC8">
      <w:pPr>
        <w:rPr>
          <w:rFonts w:ascii="Arial" w:hAnsi="Arial" w:cs="Arial"/>
          <w:sz w:val="20"/>
          <w:szCs w:val="20"/>
          <w:lang w:val="fr-CA"/>
        </w:rPr>
      </w:pPr>
    </w:p>
    <w:p w:rsidR="00362EC8" w:rsidRDefault="00362EC8" w:rsidP="00362EC8">
      <w:pPr>
        <w:pStyle w:val="Heading3"/>
        <w:rPr>
          <w:lang w:val="fr-CA"/>
        </w:rPr>
      </w:pPr>
      <w:bookmarkStart w:id="9" w:name="_Toc485812689"/>
      <w:r w:rsidRPr="00001E0D">
        <w:rPr>
          <w:lang w:val="fr-CA"/>
        </w:rPr>
        <w:t xml:space="preserve">1.1.3. </w:t>
      </w:r>
      <w:r>
        <w:rPr>
          <w:lang w:val="fr-CA"/>
        </w:rPr>
        <w:t>Cadre ministériels des résultats (CMR)</w:t>
      </w:r>
      <w:bookmarkEnd w:id="9"/>
    </w:p>
    <w:p w:rsidR="00362EC8" w:rsidRPr="00001E0D" w:rsidRDefault="00362EC8" w:rsidP="00362EC8">
      <w:pPr>
        <w:pStyle w:val="Heading4"/>
        <w:rPr>
          <w:lang w:val="fr-CA"/>
        </w:rPr>
      </w:pPr>
      <w:bookmarkStart w:id="10" w:name="_Toc485812690"/>
      <w:r>
        <w:rPr>
          <w:lang w:val="fr-CA"/>
        </w:rPr>
        <w:t>1.1.3.1 Alignement d’Architecture de Programme</w:t>
      </w:r>
      <w:r w:rsidRPr="00001E0D">
        <w:rPr>
          <w:lang w:val="fr-CA"/>
        </w:rPr>
        <w:t xml:space="preserve"> (</w:t>
      </w:r>
      <w:r>
        <w:rPr>
          <w:lang w:val="fr-CA"/>
        </w:rPr>
        <w:t>AAP</w:t>
      </w:r>
      <w:r w:rsidRPr="00001E0D">
        <w:rPr>
          <w:lang w:val="fr-CA"/>
        </w:rPr>
        <w:t>)</w:t>
      </w:r>
      <w:bookmarkEnd w:id="10"/>
    </w:p>
    <w:p w:rsidR="00362EC8" w:rsidRPr="00001E0D" w:rsidRDefault="00362EC8" w:rsidP="00362EC8">
      <w:pPr>
        <w:ind w:left="720"/>
        <w:rPr>
          <w:rFonts w:ascii="Arial" w:hAnsi="Arial" w:cs="Arial"/>
          <w:sz w:val="20"/>
          <w:szCs w:val="20"/>
          <w:lang w:val="fr-CA"/>
        </w:rPr>
      </w:pPr>
    </w:p>
    <w:p w:rsidR="00362EC8" w:rsidRPr="000D42E9" w:rsidRDefault="00362EC8" w:rsidP="00362EC8">
      <w:pPr>
        <w:ind w:left="720"/>
        <w:rPr>
          <w:rFonts w:ascii="Arial" w:hAnsi="Arial" w:cs="Arial"/>
          <w:sz w:val="20"/>
          <w:szCs w:val="20"/>
          <w:lang w:val="fr-CA"/>
        </w:rPr>
      </w:pPr>
      <w:r>
        <w:rPr>
          <w:rFonts w:ascii="Arial" w:hAnsi="Arial" w:cs="Arial"/>
          <w:sz w:val="20"/>
          <w:szCs w:val="20"/>
          <w:lang w:val="fr-CA"/>
        </w:rPr>
        <w:t xml:space="preserve">Au cours de la période de transition, </w:t>
      </w:r>
      <w:r w:rsidR="00840D88">
        <w:rPr>
          <w:rFonts w:ascii="Arial" w:hAnsi="Arial" w:cs="Arial"/>
          <w:sz w:val="20"/>
          <w:szCs w:val="20"/>
          <w:lang w:val="fr-CA"/>
        </w:rPr>
        <w:t>l</w:t>
      </w:r>
      <w:r w:rsidRPr="000D42E9">
        <w:rPr>
          <w:rFonts w:ascii="Arial" w:hAnsi="Arial" w:cs="Arial"/>
          <w:sz w:val="20"/>
          <w:szCs w:val="20"/>
          <w:lang w:val="fr-CA"/>
        </w:rPr>
        <w:t xml:space="preserve">’AAP </w:t>
      </w:r>
      <w:r>
        <w:rPr>
          <w:rFonts w:ascii="Arial" w:hAnsi="Arial" w:cs="Arial"/>
          <w:sz w:val="20"/>
          <w:szCs w:val="20"/>
          <w:lang w:val="fr-CA"/>
        </w:rPr>
        <w:t>sera utilisé comme structure de rapport pour 2017-2018. L</w:t>
      </w:r>
      <w:r w:rsidR="00840D88">
        <w:rPr>
          <w:rFonts w:ascii="Arial" w:hAnsi="Arial" w:cs="Arial"/>
          <w:sz w:val="20"/>
          <w:szCs w:val="20"/>
          <w:lang w:val="fr-CA"/>
        </w:rPr>
        <w:t>’</w:t>
      </w:r>
      <w:r>
        <w:rPr>
          <w:rFonts w:ascii="Arial" w:hAnsi="Arial" w:cs="Arial"/>
          <w:sz w:val="20"/>
          <w:szCs w:val="20"/>
          <w:lang w:val="fr-CA"/>
        </w:rPr>
        <w:t xml:space="preserve">AAP </w:t>
      </w:r>
      <w:r w:rsidRPr="000D42E9">
        <w:rPr>
          <w:rFonts w:ascii="Arial" w:hAnsi="Arial" w:cs="Arial"/>
          <w:sz w:val="20"/>
          <w:szCs w:val="20"/>
          <w:lang w:val="fr-CA"/>
        </w:rPr>
        <w:t>est une liste faisant autorité qui documente les programmes et qui permet aux organisations de rendre compte au CT et au Parlement. Elle indique comment les organisations gouvernementales gèrent les ressources de leurs programmes et en établissent le budget, de façon à s’acquitter des engagements liés à ces programmes, et elle lie les</w:t>
      </w:r>
      <w:r>
        <w:rPr>
          <w:rFonts w:ascii="Arial" w:hAnsi="Arial" w:cs="Arial"/>
          <w:sz w:val="20"/>
          <w:szCs w:val="20"/>
          <w:lang w:val="fr-CA"/>
        </w:rPr>
        <w:t xml:space="preserve"> programmes</w:t>
      </w:r>
      <w:r w:rsidRPr="000D42E9">
        <w:rPr>
          <w:rFonts w:ascii="Arial" w:hAnsi="Arial" w:cs="Arial"/>
          <w:sz w:val="20"/>
          <w:szCs w:val="20"/>
          <w:lang w:val="fr-CA"/>
        </w:rPr>
        <w:t>, les sous-</w:t>
      </w:r>
      <w:r>
        <w:rPr>
          <w:rFonts w:ascii="Arial" w:hAnsi="Arial" w:cs="Arial"/>
          <w:sz w:val="20"/>
          <w:szCs w:val="20"/>
          <w:lang w:val="fr-CA"/>
        </w:rPr>
        <w:t>programmes</w:t>
      </w:r>
      <w:r w:rsidRPr="000D42E9">
        <w:rPr>
          <w:rFonts w:ascii="Arial" w:hAnsi="Arial" w:cs="Arial"/>
          <w:sz w:val="20"/>
          <w:szCs w:val="20"/>
          <w:lang w:val="fr-CA"/>
        </w:rPr>
        <w:t xml:space="preserve"> et les sous-sous-</w:t>
      </w:r>
      <w:r>
        <w:rPr>
          <w:rFonts w:ascii="Arial" w:hAnsi="Arial" w:cs="Arial"/>
          <w:sz w:val="20"/>
          <w:szCs w:val="20"/>
          <w:lang w:val="fr-CA"/>
        </w:rPr>
        <w:t>programmes</w:t>
      </w:r>
      <w:r w:rsidRPr="000D42E9">
        <w:rPr>
          <w:rFonts w:ascii="Arial" w:hAnsi="Arial" w:cs="Arial"/>
          <w:sz w:val="20"/>
          <w:szCs w:val="20"/>
          <w:lang w:val="fr-CA"/>
        </w:rPr>
        <w:t xml:space="preserve"> aux résultats stratégiques.</w:t>
      </w:r>
    </w:p>
    <w:p w:rsidR="00362EC8" w:rsidRDefault="00362EC8" w:rsidP="00362EC8">
      <w:pPr>
        <w:ind w:left="720"/>
        <w:rPr>
          <w:rFonts w:ascii="Arial" w:hAnsi="Arial" w:cs="Arial"/>
          <w:sz w:val="20"/>
          <w:szCs w:val="20"/>
          <w:lang w:val="fr-CA"/>
        </w:rPr>
      </w:pPr>
      <w:r w:rsidRPr="000D42E9">
        <w:rPr>
          <w:rFonts w:ascii="Arial" w:hAnsi="Arial" w:cs="Arial"/>
          <w:sz w:val="20"/>
          <w:szCs w:val="20"/>
          <w:lang w:val="fr-CA"/>
        </w:rPr>
        <w:t>Enfin, elle facilite l’</w:t>
      </w:r>
      <w:r>
        <w:rPr>
          <w:rFonts w:ascii="Arial" w:hAnsi="Arial" w:cs="Arial"/>
          <w:sz w:val="20"/>
          <w:szCs w:val="20"/>
          <w:lang w:val="fr-CA"/>
        </w:rPr>
        <w:t>alignement</w:t>
      </w:r>
      <w:r w:rsidRPr="000D42E9">
        <w:rPr>
          <w:rFonts w:ascii="Arial" w:hAnsi="Arial" w:cs="Arial"/>
          <w:sz w:val="20"/>
          <w:szCs w:val="20"/>
          <w:lang w:val="fr-CA"/>
        </w:rPr>
        <w:t xml:space="preserve"> des programmes, des ressources et des pratiques de gestion avec les résultats à atteindre. Il est possible de consulter l’AAP d</w:t>
      </w:r>
      <w:r>
        <w:rPr>
          <w:rFonts w:ascii="Arial" w:hAnsi="Arial" w:cs="Arial"/>
          <w:sz w:val="20"/>
          <w:szCs w:val="20"/>
          <w:lang w:val="fr-CA"/>
        </w:rPr>
        <w:t>’</w:t>
      </w:r>
      <w:r w:rsidRPr="000D42E9">
        <w:rPr>
          <w:rFonts w:ascii="Arial" w:hAnsi="Arial" w:cs="Arial"/>
          <w:sz w:val="20"/>
          <w:szCs w:val="20"/>
          <w:lang w:val="fr-CA"/>
        </w:rPr>
        <w:t>EDSC dans le</w:t>
      </w:r>
      <w:r w:rsidRPr="00001E0D">
        <w:rPr>
          <w:rFonts w:ascii="Arial" w:hAnsi="Arial" w:cs="Arial"/>
          <w:sz w:val="20"/>
          <w:szCs w:val="20"/>
          <w:lang w:val="fr-CA"/>
        </w:rPr>
        <w:t xml:space="preserve"> </w:t>
      </w:r>
      <w:r>
        <w:rPr>
          <w:rFonts w:ascii="Arial" w:hAnsi="Arial" w:cs="Arial"/>
          <w:sz w:val="20"/>
          <w:szCs w:val="20"/>
          <w:lang w:val="fr-CA"/>
        </w:rPr>
        <w:t xml:space="preserve"> </w:t>
      </w:r>
      <w:hyperlink r:id="rId15" w:history="1">
        <w:r w:rsidRPr="00513C26">
          <w:rPr>
            <w:rStyle w:val="Hyperlink"/>
            <w:rFonts w:ascii="Arial" w:hAnsi="Arial" w:cs="Arial"/>
            <w:sz w:val="20"/>
            <w:szCs w:val="20"/>
            <w:lang w:val="fr-CA"/>
          </w:rPr>
          <w:t>Plan ministériel 2017-2018 d’EDSC</w:t>
        </w:r>
      </w:hyperlink>
      <w:r>
        <w:rPr>
          <w:rFonts w:ascii="Arial" w:hAnsi="Arial" w:cs="Arial"/>
          <w:sz w:val="20"/>
          <w:szCs w:val="20"/>
          <w:lang w:val="fr-CA"/>
        </w:rPr>
        <w:t>.</w:t>
      </w:r>
    </w:p>
    <w:p w:rsidR="00362EC8" w:rsidRPr="00001E0D" w:rsidRDefault="00362EC8" w:rsidP="00362EC8">
      <w:pPr>
        <w:rPr>
          <w:rFonts w:ascii="Arial" w:hAnsi="Arial" w:cs="Arial"/>
          <w:sz w:val="20"/>
          <w:szCs w:val="20"/>
          <w:lang w:val="fr-CA"/>
        </w:rPr>
      </w:pPr>
    </w:p>
    <w:p w:rsidR="00362EC8" w:rsidRPr="00001E0D" w:rsidRDefault="00362EC8" w:rsidP="00362EC8">
      <w:pPr>
        <w:pStyle w:val="Heading3"/>
        <w:rPr>
          <w:lang w:val="fr-CA"/>
        </w:rPr>
      </w:pPr>
      <w:bookmarkStart w:id="11" w:name="_Toc485812691"/>
      <w:r w:rsidRPr="00001E0D">
        <w:rPr>
          <w:lang w:val="fr-CA"/>
        </w:rPr>
        <w:t xml:space="preserve">1.1.4. </w:t>
      </w:r>
      <w:r>
        <w:rPr>
          <w:lang w:val="fr-CA"/>
        </w:rPr>
        <w:t>Niveaux de référence et mise à jour annuelle des niveaux de référence</w:t>
      </w:r>
      <w:r w:rsidRPr="00001E0D">
        <w:rPr>
          <w:lang w:val="fr-CA"/>
        </w:rPr>
        <w:t xml:space="preserve"> (</w:t>
      </w:r>
      <w:r>
        <w:rPr>
          <w:lang w:val="fr-CA"/>
        </w:rPr>
        <w:t>MJANR</w:t>
      </w:r>
      <w:r w:rsidRPr="00001E0D">
        <w:rPr>
          <w:lang w:val="fr-CA"/>
        </w:rPr>
        <w:t>)</w:t>
      </w:r>
      <w:bookmarkEnd w:id="11"/>
    </w:p>
    <w:p w:rsidR="00362EC8" w:rsidRPr="00001E0D" w:rsidRDefault="00362EC8" w:rsidP="00362EC8">
      <w:pPr>
        <w:rPr>
          <w:rFonts w:ascii="Arial" w:hAnsi="Arial" w:cs="Arial"/>
          <w:sz w:val="20"/>
          <w:szCs w:val="20"/>
          <w:lang w:val="fr-CA"/>
        </w:rPr>
      </w:pPr>
    </w:p>
    <w:p w:rsidR="00362EC8" w:rsidRPr="00001E0D" w:rsidRDefault="00362EC8" w:rsidP="00362EC8">
      <w:pPr>
        <w:rPr>
          <w:rFonts w:ascii="Arial" w:hAnsi="Arial" w:cs="Arial"/>
          <w:sz w:val="20"/>
          <w:szCs w:val="20"/>
          <w:lang w:val="fr-CA"/>
        </w:rPr>
      </w:pPr>
      <w:r w:rsidRPr="009D4BCB">
        <w:rPr>
          <w:rFonts w:ascii="Arial" w:hAnsi="Arial" w:cs="Arial"/>
          <w:sz w:val="20"/>
          <w:szCs w:val="20"/>
          <w:lang w:val="fr-CA"/>
        </w:rPr>
        <w:t xml:space="preserve">Les niveaux de référence ministériels sont les ressources approuvées qui sont affectées à un </w:t>
      </w:r>
      <w:r w:rsidR="00B9516F">
        <w:rPr>
          <w:rFonts w:ascii="Arial" w:hAnsi="Arial" w:cs="Arial"/>
          <w:sz w:val="20"/>
          <w:szCs w:val="20"/>
          <w:lang w:val="fr-CA"/>
        </w:rPr>
        <w:t>ministère</w:t>
      </w:r>
      <w:r w:rsidRPr="009D4BCB">
        <w:rPr>
          <w:rFonts w:ascii="Arial" w:hAnsi="Arial" w:cs="Arial"/>
          <w:sz w:val="20"/>
          <w:szCs w:val="20"/>
          <w:lang w:val="fr-CA"/>
        </w:rPr>
        <w:t xml:space="preserve"> par le gouvernement. Ceux-ci peuvent être modifiés de diverses façons</w:t>
      </w:r>
      <w:r w:rsidRPr="00001E0D">
        <w:rPr>
          <w:rFonts w:ascii="Arial" w:hAnsi="Arial" w:cs="Arial"/>
          <w:sz w:val="20"/>
          <w:szCs w:val="20"/>
          <w:lang w:val="fr-CA"/>
        </w:rPr>
        <w:t xml:space="preserve">. </w:t>
      </w:r>
      <w:r>
        <w:rPr>
          <w:rFonts w:ascii="Arial" w:hAnsi="Arial" w:cs="Arial"/>
          <w:sz w:val="20"/>
          <w:szCs w:val="20"/>
          <w:lang w:val="fr-CA"/>
        </w:rPr>
        <w:t>La</w:t>
      </w:r>
      <w:r w:rsidRPr="00001E0D">
        <w:rPr>
          <w:rFonts w:ascii="Arial" w:hAnsi="Arial" w:cs="Arial"/>
          <w:sz w:val="20"/>
          <w:szCs w:val="20"/>
          <w:lang w:val="fr-CA"/>
        </w:rPr>
        <w:t xml:space="preserve"> </w:t>
      </w:r>
      <w:hyperlink r:id="rId16" w:history="1">
        <w:r w:rsidR="00840D88">
          <w:rPr>
            <w:rStyle w:val="Hyperlink"/>
            <w:rFonts w:ascii="Arial" w:hAnsi="Arial" w:cs="Arial"/>
            <w:sz w:val="20"/>
            <w:szCs w:val="20"/>
            <w:lang w:val="fr-CA"/>
          </w:rPr>
          <w:t>Mise à jour annuelle des niveaux de référence</w:t>
        </w:r>
      </w:hyperlink>
      <w:r w:rsidRPr="00001E0D">
        <w:rPr>
          <w:rFonts w:ascii="Arial" w:hAnsi="Arial" w:cs="Arial"/>
          <w:sz w:val="20"/>
          <w:szCs w:val="20"/>
          <w:lang w:val="fr-CA"/>
        </w:rPr>
        <w:t xml:space="preserve"> (</w:t>
      </w:r>
      <w:r>
        <w:rPr>
          <w:rFonts w:ascii="Arial" w:hAnsi="Arial" w:cs="Arial"/>
          <w:sz w:val="20"/>
          <w:szCs w:val="20"/>
          <w:lang w:val="fr-CA"/>
        </w:rPr>
        <w:t>MJANR</w:t>
      </w:r>
      <w:r w:rsidRPr="00001E0D">
        <w:rPr>
          <w:rFonts w:ascii="Arial" w:hAnsi="Arial" w:cs="Arial"/>
          <w:sz w:val="20"/>
          <w:szCs w:val="20"/>
          <w:lang w:val="fr-CA"/>
        </w:rPr>
        <w:t xml:space="preserve">), </w:t>
      </w:r>
      <w:r w:rsidRPr="009D4BCB">
        <w:rPr>
          <w:rFonts w:ascii="Arial" w:hAnsi="Arial" w:cs="Arial"/>
          <w:sz w:val="20"/>
          <w:szCs w:val="20"/>
          <w:lang w:val="fr-CA"/>
        </w:rPr>
        <w:t>qui est un document financier et technique, en grande partie de nature numérique, met à jour les coûts des programmes approuvés de façon à offrir un fondement pour le Budget principal des dépenses et le plan des dépenses du gouvernement. Ce document ne constitue pas un moyen de présenter de nouvelles demandes de financement, mais il reflète les décisions découlant des présentations au CT qui ont été approuvées, les décisions budgétaires qui ne sont pas encore reflétées dans les niveaux de référence ainsi que les réaffectations de ressources ministérielles. La MJANR, qui nécessite l’approbation des ministres du CT, est axée sur l’exercice financier à venir ainsi que sur les exercices ultérieurs et elle est produite chaque année, généralement en octobre, de façon à refléter les changements suivants apportés aux niveaux de référence</w:t>
      </w:r>
      <w:r>
        <w:rPr>
          <w:rFonts w:ascii="Arial" w:hAnsi="Arial" w:cs="Arial"/>
          <w:sz w:val="20"/>
          <w:szCs w:val="20"/>
          <w:lang w:val="fr-CA"/>
        </w:rPr>
        <w:t> </w:t>
      </w:r>
      <w:r w:rsidRPr="00001E0D">
        <w:rPr>
          <w:rFonts w:ascii="Arial" w:hAnsi="Arial" w:cs="Arial"/>
          <w:sz w:val="20"/>
          <w:szCs w:val="20"/>
          <w:lang w:val="fr-CA"/>
        </w:rPr>
        <w:t>:</w:t>
      </w:r>
    </w:p>
    <w:p w:rsidR="00362EC8" w:rsidRPr="00001E0D" w:rsidRDefault="00362EC8" w:rsidP="00362EC8">
      <w:pPr>
        <w:rPr>
          <w:rFonts w:ascii="Arial" w:hAnsi="Arial" w:cs="Arial"/>
          <w:sz w:val="20"/>
          <w:szCs w:val="20"/>
          <w:lang w:val="fr-CA"/>
        </w:rPr>
      </w:pPr>
    </w:p>
    <w:p w:rsidR="00362EC8" w:rsidRPr="00001E0D" w:rsidRDefault="00362EC8" w:rsidP="00362EC8">
      <w:pPr>
        <w:numPr>
          <w:ilvl w:val="0"/>
          <w:numId w:val="2"/>
        </w:numPr>
        <w:rPr>
          <w:rFonts w:ascii="Arial" w:hAnsi="Arial" w:cs="Arial"/>
          <w:sz w:val="20"/>
          <w:szCs w:val="20"/>
          <w:lang w:val="fr-CA"/>
        </w:rPr>
      </w:pPr>
      <w:r>
        <w:rPr>
          <w:rFonts w:ascii="Arial" w:hAnsi="Arial" w:cs="Arial"/>
          <w:sz w:val="20"/>
          <w:szCs w:val="20"/>
          <w:lang w:val="fr-CA"/>
        </w:rPr>
        <w:t>inclusion d’articles approuvés</w:t>
      </w:r>
      <w:r w:rsidRPr="00001E0D">
        <w:rPr>
          <w:rFonts w:ascii="Arial" w:hAnsi="Arial" w:cs="Arial"/>
          <w:sz w:val="20"/>
          <w:szCs w:val="20"/>
          <w:lang w:val="fr-CA"/>
        </w:rPr>
        <w:t>;</w:t>
      </w:r>
    </w:p>
    <w:p w:rsidR="00362EC8" w:rsidRPr="00001E0D" w:rsidRDefault="00362EC8" w:rsidP="00362EC8">
      <w:pPr>
        <w:numPr>
          <w:ilvl w:val="0"/>
          <w:numId w:val="2"/>
        </w:numPr>
        <w:rPr>
          <w:rFonts w:ascii="Arial" w:hAnsi="Arial" w:cs="Arial"/>
          <w:sz w:val="20"/>
          <w:szCs w:val="20"/>
          <w:lang w:val="fr-CA"/>
        </w:rPr>
      </w:pPr>
      <w:r w:rsidRPr="009D4BCB">
        <w:rPr>
          <w:rFonts w:ascii="Arial" w:hAnsi="Arial" w:cs="Arial"/>
          <w:sz w:val="20"/>
          <w:szCs w:val="20"/>
          <w:lang w:val="fr-CA"/>
        </w:rPr>
        <w:t>ajustements pour des articles qui ont été éliminés graduellement</w:t>
      </w:r>
      <w:r w:rsidRPr="00001E0D">
        <w:rPr>
          <w:rFonts w:ascii="Arial" w:hAnsi="Arial" w:cs="Arial"/>
          <w:sz w:val="20"/>
          <w:szCs w:val="20"/>
          <w:lang w:val="fr-CA"/>
        </w:rPr>
        <w:t>;</w:t>
      </w:r>
    </w:p>
    <w:p w:rsidR="00362EC8" w:rsidRPr="00001E0D" w:rsidRDefault="00362EC8" w:rsidP="00362EC8">
      <w:pPr>
        <w:numPr>
          <w:ilvl w:val="0"/>
          <w:numId w:val="2"/>
        </w:numPr>
        <w:rPr>
          <w:rFonts w:ascii="Arial" w:hAnsi="Arial" w:cs="Arial"/>
          <w:sz w:val="20"/>
          <w:szCs w:val="20"/>
          <w:lang w:val="fr-CA"/>
        </w:rPr>
      </w:pPr>
      <w:r>
        <w:rPr>
          <w:rFonts w:ascii="Arial" w:hAnsi="Arial" w:cs="Arial"/>
          <w:sz w:val="20"/>
          <w:szCs w:val="20"/>
          <w:lang w:val="fr-CA"/>
        </w:rPr>
        <w:t>demandes de report</w:t>
      </w:r>
      <w:r w:rsidRPr="00001E0D">
        <w:rPr>
          <w:rFonts w:ascii="Arial" w:hAnsi="Arial" w:cs="Arial"/>
          <w:sz w:val="20"/>
          <w:szCs w:val="20"/>
          <w:lang w:val="fr-CA"/>
        </w:rPr>
        <w:t>;</w:t>
      </w:r>
    </w:p>
    <w:p w:rsidR="00362EC8" w:rsidRPr="00001E0D" w:rsidRDefault="00362EC8" w:rsidP="00362EC8">
      <w:pPr>
        <w:numPr>
          <w:ilvl w:val="0"/>
          <w:numId w:val="2"/>
        </w:numPr>
        <w:rPr>
          <w:rFonts w:ascii="Arial" w:hAnsi="Arial" w:cs="Arial"/>
          <w:sz w:val="20"/>
          <w:szCs w:val="20"/>
          <w:lang w:val="fr-CA"/>
        </w:rPr>
      </w:pPr>
      <w:r w:rsidRPr="009D4BCB">
        <w:rPr>
          <w:rFonts w:ascii="Arial" w:hAnsi="Arial" w:cs="Arial"/>
          <w:sz w:val="20"/>
          <w:szCs w:val="20"/>
          <w:lang w:val="fr-CA"/>
        </w:rPr>
        <w:t xml:space="preserve">prévisions révisées pour des programmes </w:t>
      </w:r>
      <w:r>
        <w:rPr>
          <w:rFonts w:ascii="Arial" w:hAnsi="Arial" w:cs="Arial"/>
          <w:sz w:val="20"/>
          <w:szCs w:val="20"/>
          <w:lang w:val="fr-CA"/>
        </w:rPr>
        <w:t>statutaires</w:t>
      </w:r>
      <w:r w:rsidRPr="00001E0D">
        <w:rPr>
          <w:rFonts w:ascii="Arial" w:hAnsi="Arial" w:cs="Arial"/>
          <w:sz w:val="20"/>
          <w:szCs w:val="20"/>
          <w:lang w:val="fr-CA"/>
        </w:rPr>
        <w:t>;</w:t>
      </w:r>
    </w:p>
    <w:p w:rsidR="00362EC8" w:rsidRPr="00001E0D" w:rsidRDefault="00362EC8" w:rsidP="00362EC8">
      <w:pPr>
        <w:numPr>
          <w:ilvl w:val="0"/>
          <w:numId w:val="2"/>
        </w:numPr>
        <w:rPr>
          <w:rFonts w:ascii="Arial" w:hAnsi="Arial" w:cs="Arial"/>
          <w:sz w:val="20"/>
          <w:szCs w:val="20"/>
          <w:lang w:val="fr-CA"/>
        </w:rPr>
      </w:pPr>
      <w:r w:rsidRPr="009D4BCB">
        <w:rPr>
          <w:rFonts w:ascii="Arial" w:hAnsi="Arial" w:cs="Arial"/>
          <w:sz w:val="20"/>
          <w:szCs w:val="20"/>
          <w:lang w:val="fr-CA"/>
        </w:rPr>
        <w:t>ajustements de facteurs d’intrant (y compris les régimes d’avanta</w:t>
      </w:r>
      <w:r>
        <w:rPr>
          <w:rFonts w:ascii="Arial" w:hAnsi="Arial" w:cs="Arial"/>
          <w:sz w:val="20"/>
          <w:szCs w:val="20"/>
          <w:lang w:val="fr-CA"/>
        </w:rPr>
        <w:t>ges sociaux des employés (RASE));</w:t>
      </w:r>
    </w:p>
    <w:p w:rsidR="00362EC8" w:rsidRPr="00001E0D" w:rsidRDefault="00362EC8" w:rsidP="00362EC8">
      <w:pPr>
        <w:numPr>
          <w:ilvl w:val="0"/>
          <w:numId w:val="2"/>
        </w:numPr>
        <w:rPr>
          <w:rFonts w:ascii="Arial" w:hAnsi="Arial" w:cs="Arial"/>
          <w:sz w:val="20"/>
          <w:szCs w:val="20"/>
          <w:lang w:val="fr-CA"/>
        </w:rPr>
      </w:pPr>
      <w:r w:rsidRPr="009D4BCB">
        <w:rPr>
          <w:rFonts w:ascii="Arial" w:hAnsi="Arial" w:cs="Arial"/>
          <w:sz w:val="20"/>
          <w:szCs w:val="20"/>
          <w:lang w:val="fr-CA"/>
        </w:rPr>
        <w:t>autres ajustements techniques (</w:t>
      </w:r>
      <w:r>
        <w:rPr>
          <w:rFonts w:ascii="Arial" w:hAnsi="Arial" w:cs="Arial"/>
          <w:sz w:val="20"/>
          <w:szCs w:val="20"/>
          <w:lang w:val="fr-CA"/>
        </w:rPr>
        <w:t>p. ex.,</w:t>
      </w:r>
      <w:r w:rsidRPr="009D4BCB">
        <w:rPr>
          <w:rFonts w:ascii="Arial" w:hAnsi="Arial" w:cs="Arial"/>
          <w:sz w:val="20"/>
          <w:szCs w:val="20"/>
          <w:lang w:val="fr-CA"/>
        </w:rPr>
        <w:t xml:space="preserve"> transferts entre des programmes au sein d’un </w:t>
      </w:r>
      <w:r w:rsidR="00B9516F">
        <w:rPr>
          <w:rFonts w:ascii="Arial" w:hAnsi="Arial" w:cs="Arial"/>
          <w:sz w:val="20"/>
          <w:szCs w:val="20"/>
          <w:lang w:val="fr-CA"/>
        </w:rPr>
        <w:t>ministère</w:t>
      </w:r>
      <w:r w:rsidRPr="009D4BCB">
        <w:rPr>
          <w:rFonts w:ascii="Arial" w:hAnsi="Arial" w:cs="Arial"/>
          <w:sz w:val="20"/>
          <w:szCs w:val="20"/>
          <w:lang w:val="fr-CA"/>
        </w:rPr>
        <w:t xml:space="preserve"> ou entre des </w:t>
      </w:r>
      <w:r w:rsidR="00B9516F">
        <w:rPr>
          <w:rFonts w:ascii="Arial" w:hAnsi="Arial" w:cs="Arial"/>
          <w:sz w:val="20"/>
          <w:szCs w:val="20"/>
          <w:lang w:val="fr-CA"/>
        </w:rPr>
        <w:t>ministère</w:t>
      </w:r>
      <w:r w:rsidRPr="009D4BCB">
        <w:rPr>
          <w:rFonts w:ascii="Arial" w:hAnsi="Arial" w:cs="Arial"/>
          <w:sz w:val="20"/>
          <w:szCs w:val="20"/>
          <w:lang w:val="fr-CA"/>
        </w:rPr>
        <w:t>s</w:t>
      </w:r>
      <w:r w:rsidRPr="00001E0D">
        <w:rPr>
          <w:rFonts w:ascii="Arial" w:hAnsi="Arial" w:cs="Arial"/>
          <w:sz w:val="20"/>
          <w:szCs w:val="20"/>
          <w:lang w:val="fr-CA"/>
        </w:rPr>
        <w:t>).</w:t>
      </w:r>
    </w:p>
    <w:p w:rsidR="00362EC8" w:rsidRPr="00001E0D" w:rsidRDefault="00362EC8" w:rsidP="00362EC8">
      <w:pPr>
        <w:rPr>
          <w:rFonts w:ascii="Arial" w:hAnsi="Arial" w:cs="Arial"/>
          <w:sz w:val="20"/>
          <w:szCs w:val="20"/>
          <w:lang w:val="fr-CA"/>
        </w:rPr>
      </w:pPr>
    </w:p>
    <w:p w:rsidR="00362EC8" w:rsidRPr="00001E0D" w:rsidRDefault="00362EC8" w:rsidP="00362EC8">
      <w:pPr>
        <w:pStyle w:val="Heading3"/>
        <w:rPr>
          <w:lang w:val="fr-CA"/>
        </w:rPr>
      </w:pPr>
      <w:bookmarkStart w:id="12" w:name="_Toc485812692"/>
      <w:r w:rsidRPr="00001E0D">
        <w:rPr>
          <w:lang w:val="fr-CA"/>
        </w:rPr>
        <w:t xml:space="preserve">1.1.5. </w:t>
      </w:r>
      <w:r>
        <w:rPr>
          <w:lang w:val="fr-CA"/>
        </w:rPr>
        <w:t>Mémoire au</w:t>
      </w:r>
      <w:r w:rsidRPr="00001E0D">
        <w:rPr>
          <w:lang w:val="fr-CA"/>
        </w:rPr>
        <w:t xml:space="preserve"> Cabinet (MC)</w:t>
      </w:r>
      <w:bookmarkEnd w:id="12"/>
    </w:p>
    <w:p w:rsidR="00362EC8" w:rsidRPr="00001E0D" w:rsidRDefault="00362EC8" w:rsidP="00362EC8">
      <w:pPr>
        <w:rPr>
          <w:rFonts w:ascii="Arial" w:hAnsi="Arial" w:cs="Arial"/>
          <w:sz w:val="20"/>
          <w:szCs w:val="20"/>
          <w:lang w:val="fr-CA"/>
        </w:rPr>
      </w:pPr>
    </w:p>
    <w:p w:rsidR="00362EC8" w:rsidRPr="00001E0D" w:rsidRDefault="00362EC8" w:rsidP="00362EC8">
      <w:pPr>
        <w:rPr>
          <w:rFonts w:ascii="Arial" w:hAnsi="Arial" w:cs="Arial"/>
          <w:sz w:val="20"/>
          <w:szCs w:val="20"/>
          <w:lang w:val="fr-CA"/>
        </w:rPr>
      </w:pPr>
      <w:r w:rsidRPr="009D4BCB">
        <w:rPr>
          <w:rFonts w:ascii="Arial" w:hAnsi="Arial" w:cs="Arial"/>
          <w:sz w:val="20"/>
          <w:szCs w:val="20"/>
          <w:lang w:val="fr-CA"/>
        </w:rPr>
        <w:t xml:space="preserve">Le mémoire au Cabinet (MC) demeure l’instrument clé pour transmettre au Cabinet et </w:t>
      </w:r>
      <w:r w:rsidR="001E1971">
        <w:rPr>
          <w:rFonts w:ascii="Arial" w:hAnsi="Arial" w:cs="Arial"/>
          <w:sz w:val="20"/>
          <w:szCs w:val="20"/>
          <w:lang w:val="fr-CA"/>
        </w:rPr>
        <w:t>aux</w:t>
      </w:r>
      <w:r w:rsidRPr="009D4BCB">
        <w:rPr>
          <w:rFonts w:ascii="Arial" w:hAnsi="Arial" w:cs="Arial"/>
          <w:sz w:val="20"/>
          <w:szCs w:val="20"/>
          <w:lang w:val="fr-CA"/>
        </w:rPr>
        <w:t xml:space="preserve"> comités du Cabinet, des conseils qui formeront la base de discussions et de décisions. Il porte principalement sur le fondement stratégique et le financement global d’une nouvelle politique ou initiative de programme, et peut être utilisé dans diverses circonstances, notamment pour obtenir l’approbation d’un avant-projet de loi, pour modifier une politique et pour obtenir l’approbation du Cabinet pour la mise en œuvre de plans qui nécessitent un financement supplémentaire (p. ex. l’accès au cadre financier). Un MC qui a des incidences sur les finances, l’actif ou les ressources humaines nécessite l’approbation </w:t>
      </w:r>
      <w:r w:rsidR="001E1971">
        <w:rPr>
          <w:rFonts w:ascii="Arial" w:hAnsi="Arial" w:cs="Arial"/>
          <w:sz w:val="20"/>
          <w:szCs w:val="20"/>
          <w:lang w:val="fr-CA"/>
        </w:rPr>
        <w:t xml:space="preserve">du Dirigeant </w:t>
      </w:r>
      <w:r w:rsidRPr="009D4BCB">
        <w:rPr>
          <w:rFonts w:ascii="Arial" w:hAnsi="Arial" w:cs="Arial"/>
          <w:sz w:val="20"/>
          <w:szCs w:val="20"/>
          <w:lang w:val="fr-CA"/>
        </w:rPr>
        <w:t>principal des finances (</w:t>
      </w:r>
      <w:r w:rsidR="001E1971">
        <w:rPr>
          <w:rFonts w:ascii="Arial" w:hAnsi="Arial" w:cs="Arial"/>
          <w:sz w:val="20"/>
          <w:szCs w:val="20"/>
          <w:lang w:val="fr-CA"/>
        </w:rPr>
        <w:t>D</w:t>
      </w:r>
      <w:r w:rsidRPr="009D4BCB">
        <w:rPr>
          <w:rFonts w:ascii="Arial" w:hAnsi="Arial" w:cs="Arial"/>
          <w:sz w:val="20"/>
          <w:szCs w:val="20"/>
          <w:lang w:val="fr-CA"/>
        </w:rPr>
        <w:t xml:space="preserve">PF) du </w:t>
      </w:r>
      <w:r w:rsidR="00B9516F">
        <w:rPr>
          <w:rFonts w:ascii="Arial" w:hAnsi="Arial" w:cs="Arial"/>
          <w:sz w:val="20"/>
          <w:szCs w:val="20"/>
          <w:lang w:val="fr-CA"/>
        </w:rPr>
        <w:t>ministère</w:t>
      </w:r>
      <w:r w:rsidRPr="00001E0D">
        <w:rPr>
          <w:rFonts w:ascii="Arial" w:hAnsi="Arial" w:cs="Arial"/>
          <w:sz w:val="20"/>
          <w:szCs w:val="20"/>
          <w:lang w:val="fr-CA"/>
        </w:rPr>
        <w:t>.</w:t>
      </w:r>
      <w:r w:rsidR="001E1971">
        <w:rPr>
          <w:rFonts w:ascii="Arial" w:hAnsi="Arial" w:cs="Arial"/>
          <w:sz w:val="20"/>
          <w:szCs w:val="20"/>
          <w:lang w:val="fr-CA"/>
        </w:rPr>
        <w:t xml:space="preserve"> </w:t>
      </w:r>
      <w:r>
        <w:rPr>
          <w:rFonts w:ascii="Arial" w:hAnsi="Arial" w:cs="Arial"/>
          <w:sz w:val="20"/>
          <w:szCs w:val="20"/>
          <w:lang w:val="fr-CA"/>
        </w:rPr>
        <w:t xml:space="preserve">Suite à la ratification du Cabinet, les propositions de dépenses sont ajoutées à un inventaire d’initiatives potentielles pour les budgets futurs. Le ministre des finances et le premier </w:t>
      </w:r>
      <w:r>
        <w:rPr>
          <w:rFonts w:ascii="Arial" w:hAnsi="Arial" w:cs="Arial"/>
          <w:sz w:val="20"/>
          <w:szCs w:val="20"/>
          <w:lang w:val="fr-CA"/>
        </w:rPr>
        <w:lastRenderedPageBreak/>
        <w:t>ministre décident quelles propositions seront incluses dans le budget. Une fois qu’une initiative a été incluse dans le budget, le ministre parrain présente une soumission distincte au CT pour demander que les fonds soient alloués.</w:t>
      </w:r>
    </w:p>
    <w:p w:rsidR="00362EC8" w:rsidRPr="00001E0D" w:rsidRDefault="00362EC8" w:rsidP="00362EC8">
      <w:pPr>
        <w:rPr>
          <w:rFonts w:ascii="Arial" w:hAnsi="Arial" w:cs="Arial"/>
          <w:sz w:val="20"/>
          <w:szCs w:val="20"/>
          <w:lang w:val="fr-CA"/>
        </w:rPr>
      </w:pPr>
    </w:p>
    <w:p w:rsidR="00362EC8" w:rsidRPr="00001E0D" w:rsidRDefault="00362EC8" w:rsidP="005B21A3">
      <w:pPr>
        <w:pStyle w:val="Heading3"/>
        <w:rPr>
          <w:lang w:val="fr-CA"/>
        </w:rPr>
      </w:pPr>
      <w:bookmarkStart w:id="13" w:name="_Toc485812693"/>
      <w:r w:rsidRPr="00001E0D">
        <w:rPr>
          <w:lang w:val="fr-CA"/>
        </w:rPr>
        <w:t xml:space="preserve">1.1.6. </w:t>
      </w:r>
      <w:r>
        <w:rPr>
          <w:lang w:val="fr-CA"/>
        </w:rPr>
        <w:t>Présentations au Conseil du Trésor (CT)</w:t>
      </w:r>
      <w:bookmarkEnd w:id="13"/>
    </w:p>
    <w:p w:rsidR="00362EC8" w:rsidRPr="00001E0D" w:rsidRDefault="00362EC8" w:rsidP="00362EC8">
      <w:pPr>
        <w:rPr>
          <w:rFonts w:ascii="Arial" w:hAnsi="Arial" w:cs="Arial"/>
          <w:sz w:val="20"/>
          <w:szCs w:val="20"/>
          <w:lang w:val="fr-CA"/>
        </w:rPr>
      </w:pPr>
    </w:p>
    <w:p w:rsidR="00362EC8" w:rsidRDefault="00362EC8" w:rsidP="00362EC8">
      <w:pPr>
        <w:rPr>
          <w:rFonts w:ascii="Arial" w:hAnsi="Arial" w:cs="Arial"/>
          <w:sz w:val="20"/>
          <w:szCs w:val="20"/>
          <w:lang w:val="fr-CA"/>
        </w:rPr>
      </w:pPr>
      <w:r w:rsidRPr="00D5477F">
        <w:rPr>
          <w:rFonts w:ascii="Arial" w:hAnsi="Arial" w:cs="Arial"/>
          <w:sz w:val="20"/>
          <w:szCs w:val="20"/>
          <w:lang w:val="fr-CA"/>
        </w:rPr>
        <w:t xml:space="preserve">Une présentation au CT est un document officiel présenté par un ministre au nom de son </w:t>
      </w:r>
      <w:r w:rsidR="00B9516F">
        <w:rPr>
          <w:rFonts w:ascii="Arial" w:hAnsi="Arial" w:cs="Arial"/>
          <w:sz w:val="20"/>
          <w:szCs w:val="20"/>
          <w:lang w:val="fr-CA"/>
        </w:rPr>
        <w:t>ministère</w:t>
      </w:r>
      <w:r w:rsidRPr="00D5477F">
        <w:rPr>
          <w:rFonts w:ascii="Arial" w:hAnsi="Arial" w:cs="Arial"/>
          <w:sz w:val="20"/>
          <w:szCs w:val="20"/>
          <w:lang w:val="fr-CA"/>
        </w:rPr>
        <w:t xml:space="preserve"> en vue d’obtenir l’approbation ou l’autorisation de la part des ministres du CT pour la mise à exécution d’une proposition que le </w:t>
      </w:r>
      <w:r w:rsidR="00B9516F">
        <w:rPr>
          <w:rFonts w:ascii="Arial" w:hAnsi="Arial" w:cs="Arial"/>
          <w:sz w:val="20"/>
          <w:szCs w:val="20"/>
          <w:lang w:val="fr-CA"/>
        </w:rPr>
        <w:t>ministère</w:t>
      </w:r>
      <w:r w:rsidRPr="00D5477F">
        <w:rPr>
          <w:rFonts w:ascii="Arial" w:hAnsi="Arial" w:cs="Arial"/>
          <w:sz w:val="20"/>
          <w:szCs w:val="20"/>
          <w:lang w:val="fr-CA"/>
        </w:rPr>
        <w:t xml:space="preserve"> ne serait autrement pas en mesure de mettre en œuvre ou qui ne correspondrait pas aux pouvoirs qui lui sont délégués. Les présentations au CT comprennent des renseignements détaillés sur la conception des programmes, les coûts particuliers, les résultats </w:t>
      </w:r>
      <w:r>
        <w:rPr>
          <w:rFonts w:ascii="Arial" w:hAnsi="Arial" w:cs="Arial"/>
          <w:sz w:val="20"/>
          <w:szCs w:val="20"/>
          <w:lang w:val="fr-CA"/>
        </w:rPr>
        <w:t xml:space="preserve">et le rendement </w:t>
      </w:r>
      <w:r w:rsidRPr="00D5477F">
        <w:rPr>
          <w:rFonts w:ascii="Arial" w:hAnsi="Arial" w:cs="Arial"/>
          <w:sz w:val="20"/>
          <w:szCs w:val="20"/>
          <w:lang w:val="fr-CA"/>
        </w:rPr>
        <w:t>attendus, ainsi que les points à prendre en considération dans le contexte de l’exécution et de la mise en œuvre des programmes.</w:t>
      </w:r>
      <w:r>
        <w:rPr>
          <w:rFonts w:ascii="Arial" w:hAnsi="Arial" w:cs="Arial"/>
          <w:sz w:val="20"/>
          <w:szCs w:val="20"/>
          <w:lang w:val="fr-CA"/>
        </w:rPr>
        <w:t xml:space="preserve"> </w:t>
      </w:r>
      <w:r w:rsidR="005B21A3">
        <w:rPr>
          <w:rFonts w:ascii="Arial" w:hAnsi="Arial" w:cs="Arial"/>
          <w:sz w:val="20"/>
          <w:szCs w:val="20"/>
          <w:lang w:val="fr-CA"/>
        </w:rPr>
        <w:t xml:space="preserve">Les </w:t>
      </w:r>
      <w:r>
        <w:rPr>
          <w:rFonts w:ascii="Arial" w:hAnsi="Arial" w:cs="Arial"/>
          <w:sz w:val="20"/>
          <w:szCs w:val="20"/>
          <w:lang w:val="fr-CA"/>
        </w:rPr>
        <w:t>nouvelle</w:t>
      </w:r>
      <w:r w:rsidR="005B21A3">
        <w:rPr>
          <w:rFonts w:ascii="Arial" w:hAnsi="Arial" w:cs="Arial"/>
          <w:sz w:val="20"/>
          <w:szCs w:val="20"/>
          <w:lang w:val="fr-CA"/>
        </w:rPr>
        <w:t>s</w:t>
      </w:r>
      <w:r>
        <w:rPr>
          <w:rFonts w:ascii="Arial" w:hAnsi="Arial" w:cs="Arial"/>
          <w:sz w:val="20"/>
          <w:szCs w:val="20"/>
          <w:lang w:val="fr-CA"/>
        </w:rPr>
        <w:t xml:space="preserve"> législation</w:t>
      </w:r>
      <w:r w:rsidR="005B21A3">
        <w:rPr>
          <w:rFonts w:ascii="Arial" w:hAnsi="Arial" w:cs="Arial"/>
          <w:sz w:val="20"/>
          <w:szCs w:val="20"/>
          <w:lang w:val="fr-CA"/>
        </w:rPr>
        <w:t xml:space="preserve">s, les politiques du CT ou les </w:t>
      </w:r>
      <w:r>
        <w:rPr>
          <w:rFonts w:ascii="Arial" w:hAnsi="Arial" w:cs="Arial"/>
          <w:sz w:val="20"/>
          <w:szCs w:val="20"/>
          <w:lang w:val="fr-CA"/>
        </w:rPr>
        <w:t>autres décisions du cabinet établissent généralement l’exigence d’approbation du CT.</w:t>
      </w:r>
      <w:r w:rsidR="005B21A3">
        <w:rPr>
          <w:rFonts w:ascii="Arial" w:hAnsi="Arial" w:cs="Arial"/>
          <w:sz w:val="20"/>
          <w:szCs w:val="20"/>
          <w:lang w:val="fr-CA"/>
        </w:rPr>
        <w:t xml:space="preserve"> </w:t>
      </w:r>
      <w:r w:rsidRPr="00517933">
        <w:rPr>
          <w:rFonts w:ascii="Arial" w:hAnsi="Arial" w:cs="Arial"/>
          <w:sz w:val="20"/>
          <w:szCs w:val="20"/>
          <w:lang w:val="fr-CA"/>
        </w:rPr>
        <w:t xml:space="preserve">Une </w:t>
      </w:r>
      <w:r w:rsidR="005B21A3">
        <w:rPr>
          <w:rFonts w:ascii="Arial" w:hAnsi="Arial" w:cs="Arial"/>
          <w:sz w:val="20"/>
          <w:szCs w:val="20"/>
          <w:lang w:val="fr-CA"/>
        </w:rPr>
        <w:t>présentation</w:t>
      </w:r>
      <w:r w:rsidRPr="00517933">
        <w:rPr>
          <w:rFonts w:ascii="Arial" w:hAnsi="Arial" w:cs="Arial"/>
          <w:sz w:val="20"/>
          <w:szCs w:val="20"/>
          <w:lang w:val="fr-CA"/>
        </w:rPr>
        <w:t xml:space="preserve"> au CT est requise pour inclure un élément dans le Budget des dépenses.</w:t>
      </w:r>
      <w:r>
        <w:rPr>
          <w:rFonts w:ascii="Arial" w:hAnsi="Arial" w:cs="Arial"/>
          <w:sz w:val="20"/>
          <w:szCs w:val="20"/>
          <w:lang w:val="fr-CA"/>
        </w:rPr>
        <w:t xml:space="preserve"> </w:t>
      </w:r>
      <w:r w:rsidRPr="00D5477F">
        <w:rPr>
          <w:rFonts w:ascii="Arial" w:hAnsi="Arial" w:cs="Arial"/>
          <w:sz w:val="20"/>
          <w:szCs w:val="20"/>
          <w:lang w:val="fr-CA"/>
        </w:rPr>
        <w:t xml:space="preserve">L’examen des présentations au CT par le Secrétariat du Conseil du Trésor (SCT) est influencé par les résultats ministériels du CRG. Les présentations au CT </w:t>
      </w:r>
      <w:r w:rsidR="005B21A3">
        <w:rPr>
          <w:rFonts w:ascii="Arial" w:hAnsi="Arial" w:cs="Arial"/>
          <w:sz w:val="20"/>
          <w:szCs w:val="20"/>
          <w:lang w:val="fr-CA"/>
        </w:rPr>
        <w:t>nécessitent l’approbation du DPF, du Sous-ministre et du M</w:t>
      </w:r>
      <w:r w:rsidRPr="00D5477F">
        <w:rPr>
          <w:rFonts w:ascii="Arial" w:hAnsi="Arial" w:cs="Arial"/>
          <w:sz w:val="20"/>
          <w:szCs w:val="20"/>
          <w:lang w:val="fr-CA"/>
        </w:rPr>
        <w:t>inistre</w:t>
      </w:r>
      <w:r w:rsidRPr="00001E0D">
        <w:rPr>
          <w:rFonts w:ascii="Arial" w:hAnsi="Arial" w:cs="Arial"/>
          <w:sz w:val="20"/>
          <w:szCs w:val="20"/>
          <w:lang w:val="fr-CA"/>
        </w:rPr>
        <w:t>.</w:t>
      </w:r>
    </w:p>
    <w:p w:rsidR="00362EC8" w:rsidRDefault="00362EC8" w:rsidP="00362EC8">
      <w:pPr>
        <w:rPr>
          <w:rFonts w:ascii="Arial" w:hAnsi="Arial" w:cs="Arial"/>
          <w:sz w:val="20"/>
          <w:szCs w:val="20"/>
          <w:lang w:val="fr-CA"/>
        </w:rPr>
      </w:pPr>
    </w:p>
    <w:p w:rsidR="00362EC8" w:rsidRDefault="00362EC8" w:rsidP="00362EC8">
      <w:pPr>
        <w:pStyle w:val="Heading4"/>
        <w:keepLines w:val="0"/>
        <w:numPr>
          <w:ilvl w:val="3"/>
          <w:numId w:val="1"/>
        </w:numPr>
        <w:spacing w:before="0"/>
        <w:ind w:left="720"/>
        <w:rPr>
          <w:lang w:val="fr-CA"/>
        </w:rPr>
      </w:pPr>
      <w:bookmarkStart w:id="14" w:name="_Toc485812694"/>
      <w:r>
        <w:rPr>
          <w:lang w:val="fr-CA"/>
        </w:rPr>
        <w:t>L’instrument pour autorisations financières et l’instrument pour autorisations mineures</w:t>
      </w:r>
      <w:bookmarkEnd w:id="14"/>
    </w:p>
    <w:p w:rsidR="00362EC8" w:rsidRPr="002733EA" w:rsidRDefault="00362EC8" w:rsidP="00362EC8">
      <w:pPr>
        <w:rPr>
          <w:lang w:val="fr-CA"/>
        </w:rPr>
      </w:pPr>
    </w:p>
    <w:p w:rsidR="00362EC8" w:rsidRPr="001E1971" w:rsidRDefault="00362EC8" w:rsidP="00362EC8">
      <w:pPr>
        <w:rPr>
          <w:rFonts w:ascii="Arial" w:hAnsi="Arial" w:cs="Arial"/>
          <w:sz w:val="20"/>
          <w:szCs w:val="20"/>
          <w:lang w:val="fr-CA"/>
        </w:rPr>
      </w:pPr>
      <w:r w:rsidRPr="001E1971">
        <w:rPr>
          <w:rFonts w:ascii="Arial" w:hAnsi="Arial" w:cs="Arial"/>
          <w:sz w:val="20"/>
          <w:szCs w:val="20"/>
          <w:lang w:val="fr-CA"/>
        </w:rPr>
        <w:t xml:space="preserve">Dans le but de réduire le fardeau sur les </w:t>
      </w:r>
      <w:r w:rsidR="00B9516F">
        <w:rPr>
          <w:rFonts w:ascii="Arial" w:hAnsi="Arial" w:cs="Arial"/>
          <w:sz w:val="20"/>
          <w:szCs w:val="20"/>
          <w:lang w:val="fr-CA"/>
        </w:rPr>
        <w:t>ministère</w:t>
      </w:r>
      <w:r w:rsidRPr="001E1971">
        <w:rPr>
          <w:rFonts w:ascii="Arial" w:hAnsi="Arial" w:cs="Arial"/>
          <w:sz w:val="20"/>
          <w:szCs w:val="20"/>
          <w:lang w:val="fr-CA"/>
        </w:rPr>
        <w:t xml:space="preserve">s tout en maintenant la qualité de l'information requise afin que les ministres puissent prendre des décisions éclairées, deux autres instruments sont en place pour demander des autorités </w:t>
      </w:r>
      <w:r w:rsidR="005B21A3">
        <w:rPr>
          <w:rFonts w:ascii="Arial" w:hAnsi="Arial" w:cs="Arial"/>
          <w:sz w:val="20"/>
          <w:szCs w:val="20"/>
          <w:lang w:val="fr-CA"/>
        </w:rPr>
        <w:t>aux</w:t>
      </w:r>
      <w:r w:rsidRPr="001E1971">
        <w:rPr>
          <w:rFonts w:ascii="Arial" w:hAnsi="Arial" w:cs="Arial"/>
          <w:sz w:val="20"/>
          <w:szCs w:val="20"/>
          <w:lang w:val="fr-CA"/>
        </w:rPr>
        <w:t xml:space="preserve"> ministres du CT: l</w:t>
      </w:r>
      <w:r w:rsidR="005B21A3">
        <w:rPr>
          <w:rFonts w:ascii="Arial" w:hAnsi="Arial" w:cs="Arial"/>
          <w:sz w:val="20"/>
          <w:szCs w:val="20"/>
          <w:lang w:val="fr-CA"/>
        </w:rPr>
        <w:t>’I</w:t>
      </w:r>
      <w:r w:rsidRPr="001E1971">
        <w:rPr>
          <w:rFonts w:ascii="Arial" w:hAnsi="Arial" w:cs="Arial"/>
          <w:sz w:val="20"/>
          <w:szCs w:val="20"/>
          <w:lang w:val="fr-CA"/>
        </w:rPr>
        <w:t>nstrument pour autorisations financières et l'</w:t>
      </w:r>
      <w:r w:rsidR="005B21A3">
        <w:rPr>
          <w:rFonts w:ascii="Arial" w:hAnsi="Arial" w:cs="Arial"/>
          <w:sz w:val="20"/>
          <w:szCs w:val="20"/>
          <w:lang w:val="fr-CA"/>
        </w:rPr>
        <w:t>I</w:t>
      </w:r>
      <w:r w:rsidRPr="001E1971">
        <w:rPr>
          <w:rFonts w:ascii="Arial" w:hAnsi="Arial" w:cs="Arial"/>
          <w:sz w:val="20"/>
          <w:szCs w:val="20"/>
          <w:lang w:val="fr-CA"/>
        </w:rPr>
        <w:t xml:space="preserve">nstrument pour autorisations mineures. L'instrument pour autorisations financières est utilisé pour demander l'accès </w:t>
      </w:r>
      <w:r w:rsidR="005B21A3">
        <w:rPr>
          <w:rFonts w:ascii="Arial" w:hAnsi="Arial" w:cs="Arial"/>
          <w:sz w:val="20"/>
          <w:szCs w:val="20"/>
          <w:lang w:val="fr-CA"/>
        </w:rPr>
        <w:t>à des</w:t>
      </w:r>
      <w:r w:rsidRPr="001E1971">
        <w:rPr>
          <w:rFonts w:ascii="Arial" w:hAnsi="Arial" w:cs="Arial"/>
          <w:sz w:val="20"/>
          <w:szCs w:val="20"/>
          <w:lang w:val="fr-CA"/>
        </w:rPr>
        <w:t xml:space="preserve"> fonds lorsque toutes les autres autorités sont en place et </w:t>
      </w:r>
      <w:r w:rsidR="005B21A3">
        <w:rPr>
          <w:rFonts w:ascii="Arial" w:hAnsi="Arial" w:cs="Arial"/>
          <w:sz w:val="20"/>
          <w:szCs w:val="20"/>
          <w:lang w:val="fr-CA"/>
        </w:rPr>
        <w:t xml:space="preserve">que </w:t>
      </w:r>
      <w:r w:rsidRPr="001E1971">
        <w:rPr>
          <w:rFonts w:ascii="Arial" w:hAnsi="Arial" w:cs="Arial"/>
          <w:sz w:val="20"/>
          <w:szCs w:val="20"/>
          <w:lang w:val="fr-CA"/>
        </w:rPr>
        <w:t>la demande est à faible risque. L'</w:t>
      </w:r>
      <w:r w:rsidR="005B21A3">
        <w:rPr>
          <w:rFonts w:ascii="Arial" w:hAnsi="Arial" w:cs="Arial"/>
          <w:sz w:val="20"/>
          <w:szCs w:val="20"/>
          <w:lang w:val="fr-CA"/>
        </w:rPr>
        <w:t>In</w:t>
      </w:r>
      <w:r w:rsidRPr="001E1971">
        <w:rPr>
          <w:rFonts w:ascii="Arial" w:hAnsi="Arial" w:cs="Arial"/>
          <w:sz w:val="20"/>
          <w:szCs w:val="20"/>
          <w:lang w:val="fr-CA"/>
        </w:rPr>
        <w:t>strument pour autorisations mineures est destiné à rechercher des modifications mineures ou des amendements</w:t>
      </w:r>
      <w:r w:rsidR="005B21A3">
        <w:rPr>
          <w:rFonts w:ascii="Arial" w:hAnsi="Arial" w:cs="Arial"/>
          <w:sz w:val="20"/>
          <w:szCs w:val="20"/>
          <w:lang w:val="fr-CA"/>
        </w:rPr>
        <w:t>;</w:t>
      </w:r>
      <w:r w:rsidRPr="001E1971">
        <w:rPr>
          <w:rFonts w:ascii="Arial" w:hAnsi="Arial" w:cs="Arial"/>
          <w:sz w:val="20"/>
          <w:szCs w:val="20"/>
          <w:lang w:val="fr-CA"/>
        </w:rPr>
        <w:t xml:space="preserve"> par exemple: des modifications ou des exceptions aux modalités, des exceptions mineures aux politiques du CT, des modifications à la formulation du vote, etc. Les deux instruments s'appliquent aux cas simples et à faible risque.</w:t>
      </w:r>
    </w:p>
    <w:p w:rsidR="00362EC8" w:rsidRPr="001E1971" w:rsidRDefault="00362EC8" w:rsidP="00362EC8">
      <w:pPr>
        <w:rPr>
          <w:rFonts w:ascii="Arial" w:hAnsi="Arial" w:cs="Arial"/>
          <w:sz w:val="20"/>
          <w:szCs w:val="20"/>
          <w:lang w:val="fr-CA"/>
        </w:rPr>
      </w:pPr>
    </w:p>
    <w:p w:rsidR="00362EC8" w:rsidRPr="001E1971" w:rsidRDefault="0041316D" w:rsidP="00362EC8">
      <w:pPr>
        <w:rPr>
          <w:rFonts w:ascii="Arial" w:hAnsi="Arial" w:cs="Arial"/>
          <w:sz w:val="20"/>
          <w:szCs w:val="20"/>
          <w:lang w:val="fr-CA"/>
        </w:rPr>
      </w:pPr>
      <w:hyperlink r:id="rId17" w:history="1">
        <w:r w:rsidR="00362EC8" w:rsidRPr="001E1971">
          <w:rPr>
            <w:rStyle w:val="Hyperlink"/>
            <w:rFonts w:ascii="Arial" w:hAnsi="Arial" w:cs="Arial"/>
            <w:i/>
            <w:sz w:val="20"/>
            <w:szCs w:val="20"/>
            <w:lang w:val="fr-CA"/>
          </w:rPr>
          <w:t>Guide du SCT pour la préparation de présentations au CT</w:t>
        </w:r>
      </w:hyperlink>
    </w:p>
    <w:p w:rsidR="00362EC8" w:rsidRPr="001E1971" w:rsidRDefault="00362EC8" w:rsidP="00362EC8">
      <w:pPr>
        <w:rPr>
          <w:rFonts w:ascii="Arial" w:hAnsi="Arial" w:cs="Arial"/>
          <w:sz w:val="20"/>
          <w:szCs w:val="20"/>
          <w:lang w:val="fr-CA"/>
        </w:rPr>
      </w:pPr>
    </w:p>
    <w:p w:rsidR="00362EC8" w:rsidRPr="001E1971" w:rsidRDefault="0041316D" w:rsidP="00362EC8">
      <w:pPr>
        <w:rPr>
          <w:rFonts w:ascii="Arial" w:hAnsi="Arial" w:cs="Arial"/>
          <w:sz w:val="20"/>
          <w:szCs w:val="20"/>
          <w:lang w:val="fr-CA"/>
        </w:rPr>
      </w:pPr>
      <w:hyperlink r:id="rId18" w:history="1">
        <w:r w:rsidR="00362EC8" w:rsidRPr="001E1971">
          <w:rPr>
            <w:rStyle w:val="Hyperlink"/>
            <w:rFonts w:ascii="Arial" w:hAnsi="Arial" w:cs="Arial"/>
            <w:sz w:val="20"/>
            <w:szCs w:val="20"/>
            <w:lang w:val="fr-CA"/>
          </w:rPr>
          <w:t>La ligne directrice sur l’attestation du dirigeant principal des finances pour les présentations au Cabinet</w:t>
        </w:r>
      </w:hyperlink>
      <w:r w:rsidR="00362EC8" w:rsidRPr="001E1971">
        <w:rPr>
          <w:rStyle w:val="Hyperlink"/>
          <w:rFonts w:ascii="Arial" w:hAnsi="Arial" w:cs="Arial"/>
          <w:sz w:val="20"/>
          <w:szCs w:val="20"/>
          <w:lang w:val="fr-CA"/>
        </w:rPr>
        <w:t>.</w:t>
      </w:r>
    </w:p>
    <w:p w:rsidR="00362EC8" w:rsidRDefault="00362EC8" w:rsidP="00362EC8">
      <w:pPr>
        <w:rPr>
          <w:rFonts w:ascii="Arial" w:hAnsi="Arial" w:cs="Arial"/>
          <w:sz w:val="20"/>
          <w:szCs w:val="20"/>
          <w:lang w:val="fr-CA"/>
        </w:rPr>
      </w:pPr>
    </w:p>
    <w:p w:rsidR="00362EC8" w:rsidRPr="00001E0D" w:rsidRDefault="00362EC8" w:rsidP="00362EC8">
      <w:pPr>
        <w:pStyle w:val="Heading3"/>
        <w:rPr>
          <w:lang w:val="fr-CA"/>
        </w:rPr>
      </w:pPr>
      <w:bookmarkStart w:id="15" w:name="_Toc485812695"/>
      <w:r w:rsidRPr="00001E0D">
        <w:rPr>
          <w:lang w:val="fr-CA"/>
        </w:rPr>
        <w:t xml:space="preserve">1.1.7. </w:t>
      </w:r>
      <w:r>
        <w:rPr>
          <w:lang w:val="fr-CA"/>
        </w:rPr>
        <w:t>Budget des dépenses</w:t>
      </w:r>
      <w:bookmarkEnd w:id="15"/>
    </w:p>
    <w:p w:rsidR="00362EC8" w:rsidRPr="00001E0D" w:rsidRDefault="00362EC8" w:rsidP="00362EC8">
      <w:pPr>
        <w:rPr>
          <w:rFonts w:ascii="Arial" w:hAnsi="Arial" w:cs="Arial"/>
          <w:sz w:val="20"/>
          <w:szCs w:val="20"/>
          <w:lang w:val="fr-CA"/>
        </w:rPr>
      </w:pPr>
    </w:p>
    <w:p w:rsidR="00362EC8" w:rsidRPr="00001E0D" w:rsidRDefault="00362EC8" w:rsidP="00362EC8">
      <w:pPr>
        <w:rPr>
          <w:rFonts w:ascii="Arial" w:hAnsi="Arial" w:cs="Arial"/>
          <w:sz w:val="20"/>
          <w:szCs w:val="20"/>
          <w:lang w:val="fr-CA"/>
        </w:rPr>
      </w:pPr>
      <w:r>
        <w:rPr>
          <w:rFonts w:ascii="Arial" w:hAnsi="Arial" w:cs="Arial"/>
          <w:sz w:val="20"/>
          <w:szCs w:val="20"/>
          <w:lang w:val="fr-CA"/>
        </w:rPr>
        <w:t>Le</w:t>
      </w:r>
      <w:r w:rsidRPr="00001E0D">
        <w:rPr>
          <w:rFonts w:ascii="Arial" w:hAnsi="Arial" w:cs="Arial"/>
          <w:sz w:val="20"/>
          <w:szCs w:val="20"/>
          <w:lang w:val="fr-CA"/>
        </w:rPr>
        <w:t xml:space="preserve"> </w:t>
      </w:r>
      <w:hyperlink r:id="rId19" w:history="1">
        <w:r>
          <w:rPr>
            <w:rStyle w:val="Hyperlink"/>
            <w:rFonts w:ascii="Arial" w:hAnsi="Arial" w:cs="Arial"/>
            <w:sz w:val="20"/>
            <w:szCs w:val="20"/>
            <w:lang w:val="fr-CA"/>
          </w:rPr>
          <w:t>Budget des dépenses</w:t>
        </w:r>
      </w:hyperlink>
      <w:r w:rsidRPr="00001E0D">
        <w:rPr>
          <w:rFonts w:ascii="Arial" w:hAnsi="Arial" w:cs="Arial"/>
          <w:sz w:val="20"/>
          <w:szCs w:val="20"/>
          <w:lang w:val="fr-CA"/>
        </w:rPr>
        <w:t xml:space="preserve"> </w:t>
      </w:r>
      <w:r w:rsidRPr="00D5477F">
        <w:rPr>
          <w:rFonts w:ascii="Arial" w:hAnsi="Arial" w:cs="Arial"/>
          <w:sz w:val="20"/>
          <w:szCs w:val="20"/>
          <w:lang w:val="fr-CA"/>
        </w:rPr>
        <w:t xml:space="preserve">fournit des détails sur les dépenses et le rendement du gouvernement et des </w:t>
      </w:r>
      <w:r w:rsidR="00B9516F">
        <w:rPr>
          <w:rFonts w:ascii="Arial" w:hAnsi="Arial" w:cs="Arial"/>
          <w:sz w:val="20"/>
          <w:szCs w:val="20"/>
          <w:lang w:val="fr-CA"/>
        </w:rPr>
        <w:t>ministère</w:t>
      </w:r>
      <w:r w:rsidRPr="00D5477F">
        <w:rPr>
          <w:rFonts w:ascii="Arial" w:hAnsi="Arial" w:cs="Arial"/>
          <w:sz w:val="20"/>
          <w:szCs w:val="20"/>
          <w:lang w:val="fr-CA"/>
        </w:rPr>
        <w:t>s. Chaque année, le gouvernement prépare le Budget des dépenses pour appuyer ses demandes adressées au Parlement en vue d’obtenir l’autorisation de dépenser des fonds publics. Cette demande est officialisée par le dépôt de projets de loi de crédits devant le Parlement. Le président du CT dépose devant le Parlement le Budget des dépenses, qui comprend trois parties</w:t>
      </w:r>
      <w:r>
        <w:rPr>
          <w:rFonts w:ascii="Arial" w:hAnsi="Arial" w:cs="Arial"/>
          <w:sz w:val="20"/>
          <w:szCs w:val="20"/>
          <w:lang w:val="fr-CA"/>
        </w:rPr>
        <w:t> </w:t>
      </w:r>
      <w:r w:rsidRPr="00001E0D">
        <w:rPr>
          <w:rFonts w:ascii="Arial" w:hAnsi="Arial" w:cs="Arial"/>
          <w:sz w:val="20"/>
          <w:szCs w:val="20"/>
          <w:lang w:val="fr-CA"/>
        </w:rPr>
        <w:t>:</w:t>
      </w:r>
    </w:p>
    <w:p w:rsidR="00362EC8" w:rsidRPr="00001E0D" w:rsidRDefault="00362EC8" w:rsidP="00362EC8">
      <w:pPr>
        <w:rPr>
          <w:rFonts w:ascii="Arial" w:hAnsi="Arial" w:cs="Arial"/>
          <w:sz w:val="20"/>
          <w:szCs w:val="20"/>
          <w:lang w:val="fr-CA"/>
        </w:rPr>
      </w:pPr>
    </w:p>
    <w:p w:rsidR="00362EC8" w:rsidRPr="00001E0D" w:rsidRDefault="00362EC8" w:rsidP="00362EC8">
      <w:pPr>
        <w:rPr>
          <w:rFonts w:ascii="Arial" w:hAnsi="Arial" w:cs="Arial"/>
          <w:b/>
          <w:sz w:val="20"/>
          <w:szCs w:val="20"/>
          <w:lang w:val="fr-CA"/>
        </w:rPr>
      </w:pPr>
      <w:r>
        <w:rPr>
          <w:rFonts w:ascii="Arial" w:hAnsi="Arial" w:cs="Arial"/>
          <w:b/>
          <w:sz w:val="20"/>
          <w:szCs w:val="20"/>
          <w:lang w:val="fr-CA"/>
        </w:rPr>
        <w:t>Le Plan de dépenses du gouvernement</w:t>
      </w:r>
      <w:r w:rsidRPr="00001E0D">
        <w:rPr>
          <w:rFonts w:ascii="Arial" w:hAnsi="Arial" w:cs="Arial"/>
          <w:b/>
          <w:sz w:val="20"/>
          <w:szCs w:val="20"/>
          <w:lang w:val="fr-CA"/>
        </w:rPr>
        <w:t xml:space="preserve"> (Part</w:t>
      </w:r>
      <w:r>
        <w:rPr>
          <w:rFonts w:ascii="Arial" w:hAnsi="Arial" w:cs="Arial"/>
          <w:b/>
          <w:sz w:val="20"/>
          <w:szCs w:val="20"/>
          <w:lang w:val="fr-CA"/>
        </w:rPr>
        <w:t>ie</w:t>
      </w:r>
      <w:r w:rsidRPr="00001E0D">
        <w:rPr>
          <w:rFonts w:ascii="Arial" w:hAnsi="Arial" w:cs="Arial"/>
          <w:b/>
          <w:sz w:val="20"/>
          <w:szCs w:val="20"/>
          <w:lang w:val="fr-CA"/>
        </w:rPr>
        <w:t xml:space="preserve"> I)</w:t>
      </w:r>
    </w:p>
    <w:p w:rsidR="00362EC8" w:rsidRPr="00001E0D" w:rsidRDefault="00362EC8" w:rsidP="00362EC8">
      <w:pPr>
        <w:rPr>
          <w:rFonts w:ascii="Arial" w:hAnsi="Arial" w:cs="Arial"/>
          <w:sz w:val="20"/>
          <w:szCs w:val="20"/>
          <w:lang w:val="fr-CA"/>
        </w:rPr>
      </w:pPr>
      <w:r w:rsidRPr="00D5477F">
        <w:rPr>
          <w:rFonts w:ascii="Arial" w:hAnsi="Arial" w:cs="Arial"/>
          <w:sz w:val="20"/>
          <w:szCs w:val="20"/>
          <w:lang w:val="fr-CA"/>
        </w:rPr>
        <w:t>Le Plan de dépenses du gouvernement présente un aperçu des dépenses fédérales et résume les éléments clés du Budget principal des dépenses</w:t>
      </w:r>
      <w:r>
        <w:rPr>
          <w:rFonts w:ascii="Arial" w:hAnsi="Arial" w:cs="Arial"/>
          <w:sz w:val="20"/>
          <w:szCs w:val="20"/>
          <w:lang w:val="fr-CA"/>
        </w:rPr>
        <w:t>.</w:t>
      </w:r>
    </w:p>
    <w:p w:rsidR="00362EC8" w:rsidRPr="00001E0D" w:rsidRDefault="00362EC8" w:rsidP="00362EC8">
      <w:pPr>
        <w:rPr>
          <w:rFonts w:ascii="Arial" w:hAnsi="Arial" w:cs="Arial"/>
          <w:sz w:val="20"/>
          <w:szCs w:val="20"/>
          <w:lang w:val="fr-CA"/>
        </w:rPr>
      </w:pPr>
    </w:p>
    <w:p w:rsidR="00362EC8" w:rsidRPr="00001E0D" w:rsidRDefault="00362EC8" w:rsidP="00362EC8">
      <w:pPr>
        <w:rPr>
          <w:rFonts w:ascii="Arial" w:hAnsi="Arial" w:cs="Arial"/>
          <w:b/>
          <w:sz w:val="20"/>
          <w:szCs w:val="20"/>
          <w:lang w:val="fr-CA"/>
        </w:rPr>
      </w:pPr>
      <w:r>
        <w:rPr>
          <w:rFonts w:ascii="Arial" w:hAnsi="Arial" w:cs="Arial"/>
          <w:b/>
          <w:sz w:val="20"/>
          <w:szCs w:val="20"/>
          <w:lang w:val="fr-CA"/>
        </w:rPr>
        <w:t>Budget principal des dépenses</w:t>
      </w:r>
      <w:r w:rsidRPr="00001E0D">
        <w:rPr>
          <w:rFonts w:ascii="Arial" w:hAnsi="Arial" w:cs="Arial"/>
          <w:b/>
          <w:sz w:val="20"/>
          <w:szCs w:val="20"/>
          <w:lang w:val="fr-CA"/>
        </w:rPr>
        <w:t xml:space="preserve"> (Part</w:t>
      </w:r>
      <w:r>
        <w:rPr>
          <w:rFonts w:ascii="Arial" w:hAnsi="Arial" w:cs="Arial"/>
          <w:b/>
          <w:sz w:val="20"/>
          <w:szCs w:val="20"/>
          <w:lang w:val="fr-CA"/>
        </w:rPr>
        <w:t>ie</w:t>
      </w:r>
      <w:r w:rsidRPr="00001E0D">
        <w:rPr>
          <w:rFonts w:ascii="Arial" w:hAnsi="Arial" w:cs="Arial"/>
          <w:b/>
          <w:sz w:val="20"/>
          <w:szCs w:val="20"/>
          <w:lang w:val="fr-CA"/>
        </w:rPr>
        <w:t xml:space="preserve"> II)</w:t>
      </w:r>
    </w:p>
    <w:p w:rsidR="00362EC8" w:rsidRPr="00001E0D" w:rsidRDefault="00362EC8" w:rsidP="00362EC8">
      <w:pPr>
        <w:rPr>
          <w:rFonts w:ascii="Arial" w:hAnsi="Arial" w:cs="Arial"/>
          <w:sz w:val="20"/>
          <w:szCs w:val="20"/>
          <w:lang w:val="fr-CA"/>
        </w:rPr>
      </w:pPr>
      <w:r w:rsidRPr="00D5477F">
        <w:rPr>
          <w:rFonts w:ascii="Arial" w:hAnsi="Arial" w:cs="Arial"/>
          <w:sz w:val="20"/>
          <w:szCs w:val="20"/>
          <w:lang w:val="fr-CA"/>
        </w:rPr>
        <w:t xml:space="preserve">Le Budget principal des dépenses présente une liste détaillée des ressources dont ont besoin chaque </w:t>
      </w:r>
      <w:r w:rsidR="00B9516F">
        <w:rPr>
          <w:rFonts w:ascii="Arial" w:hAnsi="Arial" w:cs="Arial"/>
          <w:sz w:val="20"/>
          <w:szCs w:val="20"/>
          <w:lang w:val="fr-CA"/>
        </w:rPr>
        <w:t>ministère</w:t>
      </w:r>
      <w:r w:rsidRPr="00D5477F">
        <w:rPr>
          <w:rFonts w:ascii="Arial" w:hAnsi="Arial" w:cs="Arial"/>
          <w:sz w:val="20"/>
          <w:szCs w:val="20"/>
          <w:lang w:val="fr-CA"/>
        </w:rPr>
        <w:t xml:space="preserve"> et chaque organisme pour l’exercice à venir. Ce document précise les pouvoirs de dépenser, connus sous le nom de crédits, et les montants qu’il est demandé au Parlement d’approuver. Les parties I et II du Budget principal des dépenses sont déposées au plus tard le 1</w:t>
      </w:r>
      <w:r w:rsidRPr="00D5477F">
        <w:rPr>
          <w:rFonts w:ascii="Arial" w:hAnsi="Arial" w:cs="Arial"/>
          <w:sz w:val="20"/>
          <w:szCs w:val="20"/>
          <w:vertAlign w:val="superscript"/>
          <w:lang w:val="fr-CA"/>
        </w:rPr>
        <w:t>er</w:t>
      </w:r>
      <w:r>
        <w:rPr>
          <w:rFonts w:ascii="Arial" w:hAnsi="Arial" w:cs="Arial"/>
          <w:sz w:val="20"/>
          <w:szCs w:val="20"/>
          <w:lang w:val="fr-CA"/>
        </w:rPr>
        <w:t xml:space="preserve"> </w:t>
      </w:r>
      <w:r w:rsidRPr="00D5477F">
        <w:rPr>
          <w:rFonts w:ascii="Arial" w:hAnsi="Arial" w:cs="Arial"/>
          <w:sz w:val="20"/>
          <w:szCs w:val="20"/>
          <w:lang w:val="fr-CA"/>
        </w:rPr>
        <w:t>mars chaque année</w:t>
      </w:r>
      <w:r w:rsidRPr="00001E0D">
        <w:rPr>
          <w:rFonts w:ascii="Arial" w:hAnsi="Arial" w:cs="Arial"/>
          <w:sz w:val="20"/>
          <w:szCs w:val="20"/>
          <w:lang w:val="fr-CA"/>
        </w:rPr>
        <w:t>.</w:t>
      </w:r>
    </w:p>
    <w:p w:rsidR="00362EC8" w:rsidRPr="00001E0D" w:rsidRDefault="00362EC8" w:rsidP="00362EC8">
      <w:pPr>
        <w:rPr>
          <w:rFonts w:ascii="Arial" w:hAnsi="Arial" w:cs="Arial"/>
          <w:sz w:val="20"/>
          <w:szCs w:val="20"/>
          <w:lang w:val="fr-CA"/>
        </w:rPr>
      </w:pPr>
    </w:p>
    <w:p w:rsidR="00362EC8" w:rsidRPr="00001E0D" w:rsidRDefault="00362EC8" w:rsidP="00362EC8">
      <w:pPr>
        <w:rPr>
          <w:rFonts w:ascii="Arial" w:hAnsi="Arial" w:cs="Arial"/>
          <w:b/>
          <w:sz w:val="20"/>
          <w:szCs w:val="20"/>
          <w:lang w:val="fr-CA"/>
        </w:rPr>
      </w:pPr>
      <w:r>
        <w:rPr>
          <w:rFonts w:ascii="Arial" w:hAnsi="Arial" w:cs="Arial"/>
          <w:b/>
          <w:sz w:val="20"/>
          <w:szCs w:val="20"/>
          <w:lang w:val="fr-CA"/>
        </w:rPr>
        <w:t xml:space="preserve">Plans de dépenses des </w:t>
      </w:r>
      <w:r w:rsidR="00B9516F">
        <w:rPr>
          <w:rFonts w:ascii="Arial" w:hAnsi="Arial" w:cs="Arial"/>
          <w:b/>
          <w:sz w:val="20"/>
          <w:szCs w:val="20"/>
          <w:lang w:val="fr-CA"/>
        </w:rPr>
        <w:t>ministère</w:t>
      </w:r>
      <w:r>
        <w:rPr>
          <w:rFonts w:ascii="Arial" w:hAnsi="Arial" w:cs="Arial"/>
          <w:b/>
          <w:sz w:val="20"/>
          <w:szCs w:val="20"/>
          <w:lang w:val="fr-CA"/>
        </w:rPr>
        <w:t>s</w:t>
      </w:r>
      <w:r w:rsidRPr="00001E0D">
        <w:rPr>
          <w:rFonts w:ascii="Arial" w:hAnsi="Arial" w:cs="Arial"/>
          <w:b/>
          <w:sz w:val="20"/>
          <w:szCs w:val="20"/>
          <w:lang w:val="fr-CA"/>
        </w:rPr>
        <w:t xml:space="preserve"> (Part</w:t>
      </w:r>
      <w:r>
        <w:rPr>
          <w:rFonts w:ascii="Arial" w:hAnsi="Arial" w:cs="Arial"/>
          <w:b/>
          <w:sz w:val="20"/>
          <w:szCs w:val="20"/>
          <w:lang w:val="fr-CA"/>
        </w:rPr>
        <w:t>ie</w:t>
      </w:r>
      <w:r w:rsidRPr="00001E0D">
        <w:rPr>
          <w:rFonts w:ascii="Arial" w:hAnsi="Arial" w:cs="Arial"/>
          <w:b/>
          <w:sz w:val="20"/>
          <w:szCs w:val="20"/>
          <w:lang w:val="fr-CA"/>
        </w:rPr>
        <w:t xml:space="preserve"> III)</w:t>
      </w:r>
    </w:p>
    <w:p w:rsidR="00362EC8" w:rsidRPr="00001E0D" w:rsidRDefault="00362EC8" w:rsidP="00362EC8">
      <w:pPr>
        <w:rPr>
          <w:rFonts w:ascii="Arial" w:hAnsi="Arial" w:cs="Arial"/>
          <w:sz w:val="20"/>
          <w:szCs w:val="20"/>
          <w:lang w:val="fr-CA"/>
        </w:rPr>
      </w:pPr>
      <w:r w:rsidRPr="00D5477F">
        <w:rPr>
          <w:rFonts w:ascii="Arial" w:hAnsi="Arial" w:cs="Arial"/>
          <w:sz w:val="20"/>
          <w:szCs w:val="20"/>
          <w:lang w:val="fr-CA"/>
        </w:rPr>
        <w:t>La partie III du Budget des dépenses se divise en deux composantes</w:t>
      </w:r>
      <w:r>
        <w:rPr>
          <w:rFonts w:ascii="Arial" w:hAnsi="Arial" w:cs="Arial"/>
          <w:sz w:val="20"/>
          <w:szCs w:val="20"/>
          <w:lang w:val="fr-CA"/>
        </w:rPr>
        <w:t> </w:t>
      </w:r>
      <w:r w:rsidRPr="00001E0D">
        <w:rPr>
          <w:rFonts w:ascii="Arial" w:hAnsi="Arial" w:cs="Arial"/>
          <w:sz w:val="20"/>
          <w:szCs w:val="20"/>
          <w:lang w:val="fr-CA"/>
        </w:rPr>
        <w:t>:</w:t>
      </w:r>
    </w:p>
    <w:p w:rsidR="00362EC8" w:rsidRPr="00001E0D" w:rsidRDefault="00362EC8" w:rsidP="00362EC8">
      <w:pPr>
        <w:rPr>
          <w:rFonts w:ascii="Arial" w:hAnsi="Arial" w:cs="Arial"/>
          <w:sz w:val="20"/>
          <w:szCs w:val="20"/>
          <w:lang w:val="fr-CA"/>
        </w:rPr>
      </w:pPr>
    </w:p>
    <w:p w:rsidR="00362EC8" w:rsidRPr="00001E0D" w:rsidRDefault="00362EC8" w:rsidP="00362EC8">
      <w:pPr>
        <w:rPr>
          <w:rFonts w:ascii="Arial" w:hAnsi="Arial" w:cs="Arial"/>
          <w:sz w:val="20"/>
          <w:szCs w:val="20"/>
          <w:lang w:val="fr-CA"/>
        </w:rPr>
      </w:pPr>
      <w:r>
        <w:rPr>
          <w:rFonts w:ascii="Arial" w:hAnsi="Arial" w:cs="Arial"/>
          <w:sz w:val="20"/>
          <w:szCs w:val="20"/>
          <w:lang w:val="fr-CA"/>
        </w:rPr>
        <w:lastRenderedPageBreak/>
        <w:t>Le</w:t>
      </w:r>
      <w:r w:rsidRPr="00001E0D">
        <w:rPr>
          <w:rFonts w:ascii="Arial" w:hAnsi="Arial" w:cs="Arial"/>
          <w:sz w:val="20"/>
          <w:szCs w:val="20"/>
          <w:lang w:val="fr-CA"/>
        </w:rPr>
        <w:t xml:space="preserve"> </w:t>
      </w:r>
      <w:hyperlink r:id="rId20" w:history="1">
        <w:r w:rsidRPr="00195E23">
          <w:rPr>
            <w:rStyle w:val="Hyperlink"/>
            <w:rFonts w:ascii="Arial" w:hAnsi="Arial" w:cs="Arial"/>
            <w:sz w:val="20"/>
            <w:szCs w:val="20"/>
            <w:lang w:val="fr-CA"/>
          </w:rPr>
          <w:t>Plan ministériel (PM)</w:t>
        </w:r>
      </w:hyperlink>
      <w:r>
        <w:rPr>
          <w:rFonts w:ascii="Arial" w:hAnsi="Arial" w:cs="Arial"/>
          <w:sz w:val="20"/>
          <w:szCs w:val="20"/>
          <w:lang w:val="fr-CA"/>
        </w:rPr>
        <w:t xml:space="preserve"> (précédemment le </w:t>
      </w:r>
      <w:r w:rsidR="00195E23">
        <w:rPr>
          <w:rFonts w:ascii="Arial" w:hAnsi="Arial" w:cs="Arial"/>
          <w:b/>
          <w:sz w:val="20"/>
          <w:szCs w:val="20"/>
          <w:lang w:val="fr-CA"/>
        </w:rPr>
        <w:t>R</w:t>
      </w:r>
      <w:r>
        <w:rPr>
          <w:rFonts w:ascii="Arial" w:hAnsi="Arial" w:cs="Arial"/>
          <w:b/>
          <w:sz w:val="20"/>
          <w:szCs w:val="20"/>
          <w:lang w:val="fr-CA"/>
        </w:rPr>
        <w:t>apport sur les plans et les priorités</w:t>
      </w:r>
      <w:r w:rsidRPr="00001E0D">
        <w:rPr>
          <w:rFonts w:ascii="Arial" w:hAnsi="Arial" w:cs="Arial"/>
          <w:b/>
          <w:sz w:val="20"/>
          <w:szCs w:val="20"/>
          <w:lang w:val="fr-CA"/>
        </w:rPr>
        <w:t xml:space="preserve"> (RPP)</w:t>
      </w:r>
      <w:r>
        <w:rPr>
          <w:rFonts w:ascii="Arial" w:hAnsi="Arial" w:cs="Arial"/>
          <w:b/>
          <w:sz w:val="20"/>
          <w:szCs w:val="20"/>
          <w:lang w:val="fr-CA"/>
        </w:rPr>
        <w:t>)</w:t>
      </w:r>
      <w:r w:rsidRPr="00001E0D">
        <w:rPr>
          <w:rFonts w:ascii="Arial" w:hAnsi="Arial" w:cs="Arial"/>
          <w:sz w:val="20"/>
          <w:szCs w:val="20"/>
          <w:lang w:val="fr-CA"/>
        </w:rPr>
        <w:t xml:space="preserve"> </w:t>
      </w:r>
      <w:r w:rsidRPr="00D5477F">
        <w:rPr>
          <w:rFonts w:ascii="Arial" w:hAnsi="Arial" w:cs="Arial"/>
          <w:sz w:val="20"/>
          <w:szCs w:val="20"/>
          <w:lang w:val="fr-CA"/>
        </w:rPr>
        <w:t>est un plan des dépenses ministérielles.</w:t>
      </w:r>
      <w:r>
        <w:rPr>
          <w:rFonts w:ascii="Arial" w:hAnsi="Arial" w:cs="Arial"/>
          <w:sz w:val="20"/>
          <w:szCs w:val="20"/>
          <w:lang w:val="fr-CA"/>
        </w:rPr>
        <w:t xml:space="preserve"> </w:t>
      </w:r>
      <w:r w:rsidRPr="007903EE">
        <w:rPr>
          <w:rFonts w:ascii="Arial" w:hAnsi="Arial" w:cs="Arial"/>
          <w:sz w:val="20"/>
          <w:szCs w:val="20"/>
          <w:lang w:val="fr-CA"/>
        </w:rPr>
        <w:t xml:space="preserve">Il décrit les priorités, les résultats stratégiques, les programmes, les résultats escomptés et les besoins en ressources connexes des </w:t>
      </w:r>
      <w:r w:rsidR="00B9516F">
        <w:rPr>
          <w:rFonts w:ascii="Arial" w:hAnsi="Arial" w:cs="Arial"/>
          <w:sz w:val="20"/>
          <w:szCs w:val="20"/>
          <w:lang w:val="fr-CA"/>
        </w:rPr>
        <w:t>ministère</w:t>
      </w:r>
      <w:r w:rsidRPr="007903EE">
        <w:rPr>
          <w:rFonts w:ascii="Arial" w:hAnsi="Arial" w:cs="Arial"/>
          <w:sz w:val="20"/>
          <w:szCs w:val="20"/>
          <w:lang w:val="fr-CA"/>
        </w:rPr>
        <w:t>s.</w:t>
      </w:r>
      <w:r w:rsidRPr="00D5477F">
        <w:rPr>
          <w:rFonts w:ascii="Arial" w:hAnsi="Arial" w:cs="Arial"/>
          <w:sz w:val="20"/>
          <w:szCs w:val="20"/>
          <w:lang w:val="fr-CA"/>
        </w:rPr>
        <w:t xml:space="preserve"> Les dépenses prévues sont présentées pour l’exercice à venir et les deux exercices ultérieurs. Le </w:t>
      </w:r>
      <w:r>
        <w:rPr>
          <w:rFonts w:ascii="Arial" w:hAnsi="Arial" w:cs="Arial"/>
          <w:sz w:val="20"/>
          <w:szCs w:val="20"/>
          <w:lang w:val="fr-CA"/>
        </w:rPr>
        <w:t>PM</w:t>
      </w:r>
      <w:r w:rsidRPr="00D5477F">
        <w:rPr>
          <w:rFonts w:ascii="Arial" w:hAnsi="Arial" w:cs="Arial"/>
          <w:sz w:val="20"/>
          <w:szCs w:val="20"/>
          <w:lang w:val="fr-CA"/>
        </w:rPr>
        <w:t xml:space="preserve"> fournit aussi des détails sur les effectifs nécessaires, les grands projets d’immobilisations, les subventions et contributions (S</w:t>
      </w:r>
      <w:r>
        <w:rPr>
          <w:rFonts w:ascii="Arial" w:hAnsi="Arial" w:cs="Arial"/>
          <w:sz w:val="20"/>
          <w:szCs w:val="20"/>
          <w:lang w:val="fr-CA"/>
        </w:rPr>
        <w:t xml:space="preserve"> et </w:t>
      </w:r>
      <w:r w:rsidRPr="00D5477F">
        <w:rPr>
          <w:rFonts w:ascii="Arial" w:hAnsi="Arial" w:cs="Arial"/>
          <w:sz w:val="20"/>
          <w:szCs w:val="20"/>
          <w:lang w:val="fr-CA"/>
        </w:rPr>
        <w:t xml:space="preserve">C) et les coûts nets des programmes. Le président du CT dépose généralement ce rapport devant le Parlement au plus tard le </w:t>
      </w:r>
      <w:r>
        <w:rPr>
          <w:rFonts w:ascii="Arial" w:hAnsi="Arial" w:cs="Arial"/>
          <w:sz w:val="20"/>
          <w:szCs w:val="20"/>
          <w:lang w:val="fr-CA"/>
        </w:rPr>
        <w:t xml:space="preserve">31 </w:t>
      </w:r>
      <w:r w:rsidRPr="00D5477F">
        <w:rPr>
          <w:rFonts w:ascii="Arial" w:hAnsi="Arial" w:cs="Arial"/>
          <w:sz w:val="20"/>
          <w:szCs w:val="20"/>
          <w:lang w:val="fr-CA"/>
        </w:rPr>
        <w:t>mars chaque année, au nom des ministres</w:t>
      </w:r>
      <w:r w:rsidRPr="00001E0D">
        <w:rPr>
          <w:rFonts w:ascii="Arial" w:hAnsi="Arial" w:cs="Arial"/>
          <w:sz w:val="20"/>
          <w:szCs w:val="20"/>
          <w:lang w:val="fr-CA"/>
        </w:rPr>
        <w:t>.</w:t>
      </w:r>
    </w:p>
    <w:p w:rsidR="00362EC8" w:rsidRPr="00001E0D" w:rsidRDefault="00362EC8" w:rsidP="00362EC8">
      <w:pPr>
        <w:rPr>
          <w:rFonts w:ascii="Arial" w:hAnsi="Arial" w:cs="Arial"/>
          <w:sz w:val="20"/>
          <w:szCs w:val="20"/>
          <w:lang w:val="fr-CA"/>
        </w:rPr>
      </w:pPr>
    </w:p>
    <w:p w:rsidR="00362EC8" w:rsidRPr="00001E0D" w:rsidRDefault="00362EC8" w:rsidP="00362EC8">
      <w:pPr>
        <w:rPr>
          <w:rFonts w:ascii="Arial" w:hAnsi="Arial" w:cs="Arial"/>
          <w:sz w:val="20"/>
          <w:szCs w:val="20"/>
          <w:lang w:val="fr-CA"/>
        </w:rPr>
      </w:pPr>
      <w:r>
        <w:rPr>
          <w:rFonts w:ascii="Arial" w:hAnsi="Arial" w:cs="Arial"/>
          <w:sz w:val="20"/>
          <w:szCs w:val="20"/>
          <w:lang w:val="fr-CA"/>
        </w:rPr>
        <w:t>Le</w:t>
      </w:r>
      <w:r w:rsidRPr="00001E0D">
        <w:rPr>
          <w:rFonts w:ascii="Arial" w:hAnsi="Arial" w:cs="Arial"/>
          <w:sz w:val="20"/>
          <w:szCs w:val="20"/>
          <w:lang w:val="fr-CA"/>
        </w:rPr>
        <w:t xml:space="preserve"> </w:t>
      </w:r>
      <w:hyperlink r:id="rId21" w:history="1">
        <w:r w:rsidRPr="00195E23">
          <w:rPr>
            <w:rStyle w:val="Hyperlink"/>
            <w:rFonts w:ascii="Arial" w:hAnsi="Arial" w:cs="Arial"/>
            <w:sz w:val="20"/>
            <w:szCs w:val="20"/>
            <w:lang w:val="fr-CA"/>
          </w:rPr>
          <w:t>Rapport sur les résultats ministériels (RRM)</w:t>
        </w:r>
      </w:hyperlink>
      <w:r>
        <w:rPr>
          <w:rFonts w:ascii="Arial" w:hAnsi="Arial" w:cs="Arial"/>
          <w:sz w:val="20"/>
          <w:szCs w:val="20"/>
          <w:lang w:val="fr-CA"/>
        </w:rPr>
        <w:t xml:space="preserve"> (précédemment le </w:t>
      </w:r>
      <w:r w:rsidR="00195E23">
        <w:rPr>
          <w:rFonts w:ascii="Arial" w:hAnsi="Arial" w:cs="Arial"/>
          <w:b/>
          <w:sz w:val="20"/>
          <w:szCs w:val="20"/>
          <w:lang w:val="fr-CA"/>
        </w:rPr>
        <w:t>R</w:t>
      </w:r>
      <w:r>
        <w:rPr>
          <w:rFonts w:ascii="Arial" w:hAnsi="Arial" w:cs="Arial"/>
          <w:b/>
          <w:sz w:val="20"/>
          <w:szCs w:val="20"/>
          <w:lang w:val="fr-CA"/>
        </w:rPr>
        <w:t>apport ministériel sur le rendement</w:t>
      </w:r>
      <w:r w:rsidRPr="00001E0D">
        <w:rPr>
          <w:rFonts w:ascii="Arial" w:hAnsi="Arial" w:cs="Arial"/>
          <w:b/>
          <w:sz w:val="20"/>
          <w:szCs w:val="20"/>
          <w:lang w:val="fr-CA"/>
        </w:rPr>
        <w:t xml:space="preserve"> (</w:t>
      </w:r>
      <w:r>
        <w:rPr>
          <w:rFonts w:ascii="Arial" w:hAnsi="Arial" w:cs="Arial"/>
          <w:b/>
          <w:sz w:val="20"/>
          <w:szCs w:val="20"/>
          <w:lang w:val="fr-CA"/>
        </w:rPr>
        <w:t>RMR</w:t>
      </w:r>
      <w:r w:rsidRPr="00001E0D">
        <w:rPr>
          <w:rFonts w:ascii="Arial" w:hAnsi="Arial" w:cs="Arial"/>
          <w:b/>
          <w:sz w:val="20"/>
          <w:szCs w:val="20"/>
          <w:lang w:val="fr-CA"/>
        </w:rPr>
        <w:t>)</w:t>
      </w:r>
      <w:r>
        <w:rPr>
          <w:rFonts w:ascii="Arial" w:hAnsi="Arial" w:cs="Arial"/>
          <w:b/>
          <w:sz w:val="20"/>
          <w:szCs w:val="20"/>
          <w:lang w:val="fr-CA"/>
        </w:rPr>
        <w:t>)</w:t>
      </w:r>
      <w:r w:rsidRPr="00001E0D">
        <w:rPr>
          <w:rFonts w:ascii="Arial" w:hAnsi="Arial" w:cs="Arial"/>
          <w:sz w:val="20"/>
          <w:szCs w:val="20"/>
          <w:lang w:val="fr-CA"/>
        </w:rPr>
        <w:t xml:space="preserve"> </w:t>
      </w:r>
      <w:r>
        <w:rPr>
          <w:rFonts w:ascii="Arial" w:hAnsi="Arial" w:cs="Arial"/>
          <w:sz w:val="20"/>
          <w:szCs w:val="20"/>
          <w:lang w:val="fr-CA"/>
        </w:rPr>
        <w:t xml:space="preserve">fournit de l’information sur le rendement réalisé par les </w:t>
      </w:r>
      <w:r w:rsidR="00B9516F">
        <w:rPr>
          <w:rFonts w:ascii="Arial" w:hAnsi="Arial" w:cs="Arial"/>
          <w:sz w:val="20"/>
          <w:szCs w:val="20"/>
          <w:lang w:val="fr-CA"/>
        </w:rPr>
        <w:t>ministère</w:t>
      </w:r>
      <w:r>
        <w:rPr>
          <w:rFonts w:ascii="Arial" w:hAnsi="Arial" w:cs="Arial"/>
          <w:sz w:val="20"/>
          <w:szCs w:val="20"/>
          <w:lang w:val="fr-CA"/>
        </w:rPr>
        <w:t>s, pour le dernier exercice financier terminé, en comparaison avec les plans, les priorités et les résultats attendus énoncés dans leur PM respectifs</w:t>
      </w:r>
      <w:r w:rsidRPr="00D5477F">
        <w:rPr>
          <w:rFonts w:ascii="Arial" w:hAnsi="Arial" w:cs="Arial"/>
          <w:sz w:val="20"/>
          <w:szCs w:val="20"/>
          <w:lang w:val="fr-CA"/>
        </w:rPr>
        <w:t xml:space="preserve">. Veuillez consulter la section 4 intitulée « Présentation de rapports et surveillance » pour obtenir de plus amples renseignements sur le </w:t>
      </w:r>
      <w:r>
        <w:rPr>
          <w:rFonts w:ascii="Arial" w:hAnsi="Arial" w:cs="Arial"/>
          <w:sz w:val="20"/>
          <w:szCs w:val="20"/>
          <w:lang w:val="fr-CA"/>
        </w:rPr>
        <w:t>RRM</w:t>
      </w:r>
      <w:r w:rsidRPr="00001E0D">
        <w:rPr>
          <w:rFonts w:ascii="Arial" w:hAnsi="Arial" w:cs="Arial"/>
          <w:sz w:val="20"/>
          <w:szCs w:val="20"/>
          <w:lang w:val="fr-CA"/>
        </w:rPr>
        <w:t>.</w:t>
      </w:r>
    </w:p>
    <w:p w:rsidR="00362EC8" w:rsidRPr="00001E0D" w:rsidRDefault="00362EC8" w:rsidP="00362EC8">
      <w:pPr>
        <w:rPr>
          <w:rFonts w:ascii="Arial" w:hAnsi="Arial" w:cs="Arial"/>
          <w:sz w:val="20"/>
          <w:szCs w:val="20"/>
          <w:lang w:val="fr-CA"/>
        </w:rPr>
      </w:pPr>
    </w:p>
    <w:p w:rsidR="00362EC8" w:rsidRPr="00001E0D" w:rsidRDefault="00362EC8" w:rsidP="00362EC8">
      <w:pPr>
        <w:pStyle w:val="Heading3"/>
        <w:rPr>
          <w:lang w:val="fr-CA"/>
        </w:rPr>
      </w:pPr>
      <w:bookmarkStart w:id="16" w:name="_Toc485812696"/>
      <w:r w:rsidRPr="00001E0D">
        <w:rPr>
          <w:lang w:val="fr-CA"/>
        </w:rPr>
        <w:t xml:space="preserve">1.1.8. </w:t>
      </w:r>
      <w:r>
        <w:rPr>
          <w:lang w:val="fr-CA"/>
        </w:rPr>
        <w:t>Budget supplémentaire des dépenses</w:t>
      </w:r>
      <w:bookmarkEnd w:id="16"/>
    </w:p>
    <w:p w:rsidR="00362EC8" w:rsidRPr="00001E0D" w:rsidRDefault="00362EC8" w:rsidP="00362EC8">
      <w:pPr>
        <w:rPr>
          <w:rFonts w:ascii="Arial" w:hAnsi="Arial" w:cs="Arial"/>
          <w:sz w:val="20"/>
          <w:szCs w:val="20"/>
          <w:lang w:val="fr-CA"/>
        </w:rPr>
      </w:pPr>
    </w:p>
    <w:p w:rsidR="00362EC8" w:rsidRPr="00001E0D" w:rsidRDefault="00362EC8" w:rsidP="00362EC8">
      <w:pPr>
        <w:rPr>
          <w:rFonts w:ascii="Arial" w:hAnsi="Arial" w:cs="Arial"/>
          <w:sz w:val="20"/>
          <w:szCs w:val="20"/>
          <w:lang w:val="fr-CA"/>
        </w:rPr>
      </w:pPr>
      <w:r w:rsidRPr="007419CD">
        <w:rPr>
          <w:rFonts w:ascii="Arial" w:hAnsi="Arial" w:cs="Arial"/>
          <w:sz w:val="20"/>
          <w:szCs w:val="20"/>
          <w:lang w:val="fr-CA"/>
        </w:rPr>
        <w:t>Étant donné que le Budget principal des dépenses est généralement préparé bien avant le début d’un exercice, il ne comprend pas toujours toutes les dépenses qui sont prévues dans le budget le plus récent. Des circonstances peuvent aussi faire en sorte que le gouvernement juge approprié de modifier ses plans de dépenses pour que ce</w:t>
      </w:r>
      <w:r>
        <w:rPr>
          <w:rFonts w:ascii="Arial" w:hAnsi="Arial" w:cs="Arial"/>
          <w:sz w:val="20"/>
          <w:szCs w:val="20"/>
          <w:lang w:val="fr-CA"/>
        </w:rPr>
        <w:t>ux</w:t>
      </w:r>
      <w:r w:rsidRPr="007419CD">
        <w:rPr>
          <w:rFonts w:ascii="Arial" w:hAnsi="Arial" w:cs="Arial"/>
          <w:sz w:val="20"/>
          <w:szCs w:val="20"/>
          <w:lang w:val="fr-CA"/>
        </w:rPr>
        <w:t>-ci reflètent le budget des dépenses déposé (p. ex. dans le cadre de la mise à jour économique et financière du ministre des Finances). L’autorisation nécessaire pour procéder aux ajustements mentionnés ci-dessus s’obtient au moyen du Budget supplémentaire des dépenses. Le</w:t>
      </w:r>
      <w:r w:rsidRPr="00001E0D">
        <w:rPr>
          <w:rFonts w:ascii="Arial" w:hAnsi="Arial" w:cs="Arial"/>
          <w:sz w:val="20"/>
          <w:szCs w:val="20"/>
          <w:lang w:val="fr-CA"/>
        </w:rPr>
        <w:t xml:space="preserve"> </w:t>
      </w:r>
      <w:hyperlink r:id="rId22" w:history="1">
        <w:r>
          <w:rPr>
            <w:rStyle w:val="Hyperlink"/>
            <w:rFonts w:ascii="Arial" w:hAnsi="Arial" w:cs="Arial"/>
            <w:sz w:val="20"/>
            <w:szCs w:val="20"/>
            <w:lang w:val="fr-CA"/>
          </w:rPr>
          <w:t>Budget supplémentaire des dépenses</w:t>
        </w:r>
      </w:hyperlink>
      <w:r w:rsidRPr="00001E0D">
        <w:rPr>
          <w:rFonts w:ascii="Arial" w:hAnsi="Arial" w:cs="Arial"/>
          <w:sz w:val="20"/>
          <w:szCs w:val="20"/>
          <w:lang w:val="fr-CA"/>
        </w:rPr>
        <w:t xml:space="preserve"> </w:t>
      </w:r>
      <w:r>
        <w:rPr>
          <w:rFonts w:ascii="Arial" w:hAnsi="Arial" w:cs="Arial"/>
          <w:sz w:val="20"/>
          <w:szCs w:val="20"/>
          <w:lang w:val="fr-CA"/>
        </w:rPr>
        <w:t>sert alors à deux fins</w:t>
      </w:r>
      <w:r w:rsidRPr="00001E0D">
        <w:rPr>
          <w:rFonts w:ascii="Arial" w:hAnsi="Arial" w:cs="Arial"/>
          <w:sz w:val="20"/>
          <w:szCs w:val="20"/>
          <w:lang w:val="fr-CA"/>
        </w:rPr>
        <w:t xml:space="preserve">. </w:t>
      </w:r>
      <w:r w:rsidRPr="007419CD">
        <w:rPr>
          <w:rFonts w:ascii="Arial" w:hAnsi="Arial" w:cs="Arial"/>
          <w:sz w:val="20"/>
          <w:szCs w:val="20"/>
          <w:lang w:val="fr-CA"/>
        </w:rPr>
        <w:t xml:space="preserve">Premièrement, il vise l’approbation des niveaux de dépenses révisés que le Parlement devra approuver dans une loi de crédits. Deuxièmement, il présente au Parlement les modifications à apporter aux dépenses prévues en vertu des lois précédemment adoptées au Parlement. Afin d’obtenir l’approbation du Parlement pour ces décisions de dépenses supplémentaires, le président du CT dépose habituellement trois Budgets supplémentaires des dépenses pour des ressources affectées vers la fin du printemps </w:t>
      </w:r>
      <w:r>
        <w:rPr>
          <w:rFonts w:ascii="Arial" w:hAnsi="Arial" w:cs="Arial"/>
          <w:sz w:val="20"/>
          <w:szCs w:val="20"/>
          <w:lang w:val="fr-CA"/>
        </w:rPr>
        <w:t>(</w:t>
      </w:r>
      <w:r w:rsidRPr="007419CD">
        <w:rPr>
          <w:rFonts w:ascii="Arial" w:hAnsi="Arial" w:cs="Arial"/>
          <w:sz w:val="20"/>
          <w:szCs w:val="20"/>
          <w:lang w:val="fr-CA"/>
        </w:rPr>
        <w:t>Budget supplémentaire des dépenses (A)</w:t>
      </w:r>
      <w:r>
        <w:rPr>
          <w:rFonts w:ascii="Arial" w:hAnsi="Arial" w:cs="Arial"/>
          <w:sz w:val="20"/>
          <w:szCs w:val="20"/>
          <w:lang w:val="fr-CA"/>
        </w:rPr>
        <w:t>)</w:t>
      </w:r>
      <w:r w:rsidRPr="007419CD">
        <w:rPr>
          <w:rFonts w:ascii="Arial" w:hAnsi="Arial" w:cs="Arial"/>
          <w:sz w:val="20"/>
          <w:szCs w:val="20"/>
          <w:lang w:val="fr-CA"/>
        </w:rPr>
        <w:t xml:space="preserve">, un vers la fin de l’automne </w:t>
      </w:r>
      <w:r>
        <w:rPr>
          <w:rFonts w:ascii="Arial" w:hAnsi="Arial" w:cs="Arial"/>
          <w:sz w:val="20"/>
          <w:szCs w:val="20"/>
          <w:lang w:val="fr-CA"/>
        </w:rPr>
        <w:t>(</w:t>
      </w:r>
      <w:r w:rsidRPr="007419CD">
        <w:rPr>
          <w:rFonts w:ascii="Arial" w:hAnsi="Arial" w:cs="Arial"/>
          <w:sz w:val="20"/>
          <w:szCs w:val="20"/>
          <w:lang w:val="fr-CA"/>
        </w:rPr>
        <w:t xml:space="preserve">Budget </w:t>
      </w:r>
      <w:r>
        <w:rPr>
          <w:rFonts w:ascii="Arial" w:hAnsi="Arial" w:cs="Arial"/>
          <w:sz w:val="20"/>
          <w:szCs w:val="20"/>
          <w:lang w:val="fr-CA"/>
        </w:rPr>
        <w:t>supplémentaire des dépenses (B))</w:t>
      </w:r>
      <w:r w:rsidRPr="007419CD">
        <w:rPr>
          <w:rFonts w:ascii="Arial" w:hAnsi="Arial" w:cs="Arial"/>
          <w:sz w:val="20"/>
          <w:szCs w:val="20"/>
          <w:lang w:val="fr-CA"/>
        </w:rPr>
        <w:t xml:space="preserve"> et un au début du printemps </w:t>
      </w:r>
      <w:r>
        <w:rPr>
          <w:rFonts w:ascii="Arial" w:hAnsi="Arial" w:cs="Arial"/>
          <w:sz w:val="20"/>
          <w:szCs w:val="20"/>
          <w:lang w:val="fr-CA"/>
        </w:rPr>
        <w:t>(</w:t>
      </w:r>
      <w:r w:rsidRPr="007419CD">
        <w:rPr>
          <w:rFonts w:ascii="Arial" w:hAnsi="Arial" w:cs="Arial"/>
          <w:sz w:val="20"/>
          <w:szCs w:val="20"/>
          <w:lang w:val="fr-CA"/>
        </w:rPr>
        <w:t>Budget supplémentaire des dépenses (C)</w:t>
      </w:r>
      <w:r>
        <w:rPr>
          <w:rFonts w:ascii="Arial" w:hAnsi="Arial" w:cs="Arial"/>
          <w:sz w:val="20"/>
          <w:szCs w:val="20"/>
          <w:lang w:val="fr-CA"/>
        </w:rPr>
        <w:t>)</w:t>
      </w:r>
      <w:r w:rsidRPr="00001E0D">
        <w:rPr>
          <w:rFonts w:ascii="Arial" w:hAnsi="Arial" w:cs="Arial"/>
          <w:sz w:val="20"/>
          <w:szCs w:val="20"/>
          <w:lang w:val="fr-CA"/>
        </w:rPr>
        <w:t>.</w:t>
      </w:r>
    </w:p>
    <w:p w:rsidR="00362EC8" w:rsidRPr="00001E0D" w:rsidRDefault="00362EC8" w:rsidP="00362EC8">
      <w:pPr>
        <w:rPr>
          <w:rFonts w:ascii="Arial" w:hAnsi="Arial" w:cs="Arial"/>
          <w:sz w:val="20"/>
          <w:szCs w:val="20"/>
          <w:lang w:val="fr-CA"/>
        </w:rPr>
      </w:pPr>
    </w:p>
    <w:p w:rsidR="00362EC8" w:rsidRPr="00001E0D" w:rsidRDefault="00362EC8" w:rsidP="00362EC8">
      <w:pPr>
        <w:pStyle w:val="Heading3"/>
        <w:rPr>
          <w:lang w:val="fr-CA"/>
        </w:rPr>
      </w:pPr>
      <w:bookmarkStart w:id="17" w:name="_Toc485812697"/>
      <w:r w:rsidRPr="00001E0D">
        <w:rPr>
          <w:lang w:val="fr-CA"/>
        </w:rPr>
        <w:t xml:space="preserve">1.1.9. </w:t>
      </w:r>
      <w:r>
        <w:rPr>
          <w:lang w:val="fr-CA"/>
        </w:rPr>
        <w:t>Projets de loi de crédits</w:t>
      </w:r>
      <w:bookmarkEnd w:id="17"/>
    </w:p>
    <w:p w:rsidR="00362EC8" w:rsidRPr="00001E0D" w:rsidRDefault="00362EC8" w:rsidP="00362EC8">
      <w:pPr>
        <w:rPr>
          <w:rFonts w:ascii="Arial" w:hAnsi="Arial" w:cs="Arial"/>
          <w:sz w:val="20"/>
          <w:szCs w:val="20"/>
          <w:lang w:val="fr-CA"/>
        </w:rPr>
      </w:pPr>
    </w:p>
    <w:p w:rsidR="00362EC8" w:rsidRPr="00C96B78" w:rsidRDefault="00362EC8" w:rsidP="00362EC8">
      <w:pPr>
        <w:rPr>
          <w:rFonts w:ascii="Arial" w:hAnsi="Arial" w:cs="Arial"/>
          <w:sz w:val="20"/>
          <w:szCs w:val="20"/>
          <w:lang w:val="fr-CA"/>
        </w:rPr>
      </w:pPr>
      <w:r w:rsidRPr="00C96B78">
        <w:rPr>
          <w:rFonts w:ascii="Arial" w:hAnsi="Arial" w:cs="Arial"/>
          <w:sz w:val="20"/>
          <w:szCs w:val="20"/>
          <w:lang w:val="fr-CA"/>
        </w:rPr>
        <w:t xml:space="preserve">Lorsque le Budget principal des dépenses est déposé devant le Parlement, il est examiné par divers comités permanents qui doivent rendre compte des conclusions de leur examen au plus tard le 31 mai. Pour assurer le financement nécessaire des opérations permanentes pendant que le Budget des dépenses fait l’objet de l’examen, la Chambre des communes adopte un </w:t>
      </w:r>
      <w:hyperlink r:id="rId23" w:history="1">
        <w:r w:rsidRPr="00C96B78">
          <w:rPr>
            <w:rStyle w:val="Hyperlink"/>
            <w:rFonts w:ascii="Arial" w:hAnsi="Arial" w:cs="Arial"/>
            <w:sz w:val="20"/>
            <w:szCs w:val="20"/>
            <w:lang w:val="fr-CA"/>
          </w:rPr>
          <w:t>projet de loi de crédits provisoires</w:t>
        </w:r>
      </w:hyperlink>
      <w:r w:rsidRPr="00C96B78">
        <w:rPr>
          <w:rFonts w:ascii="Arial" w:hAnsi="Arial" w:cs="Arial"/>
          <w:sz w:val="20"/>
          <w:szCs w:val="20"/>
          <w:lang w:val="fr-CA"/>
        </w:rPr>
        <w:t xml:space="preserve"> qui accorde aux </w:t>
      </w:r>
      <w:r w:rsidR="00B9516F">
        <w:rPr>
          <w:rFonts w:ascii="Arial" w:hAnsi="Arial" w:cs="Arial"/>
          <w:sz w:val="20"/>
          <w:szCs w:val="20"/>
          <w:lang w:val="fr-CA"/>
        </w:rPr>
        <w:t>ministère</w:t>
      </w:r>
      <w:r w:rsidRPr="00C96B78">
        <w:rPr>
          <w:rFonts w:ascii="Arial" w:hAnsi="Arial" w:cs="Arial"/>
          <w:sz w:val="20"/>
          <w:szCs w:val="20"/>
          <w:lang w:val="fr-CA"/>
        </w:rPr>
        <w:t>s un financement provisoire pour les trois premiers mois de l’exercice. Le financement provisoire est généralement le 3/12</w:t>
      </w:r>
      <w:r w:rsidR="00C96B78" w:rsidRPr="00C96B78">
        <w:rPr>
          <w:rFonts w:ascii="Arial" w:hAnsi="Arial" w:cs="Arial"/>
          <w:sz w:val="20"/>
          <w:szCs w:val="20"/>
          <w:vertAlign w:val="superscript"/>
          <w:lang w:val="fr-CA"/>
        </w:rPr>
        <w:t xml:space="preserve"> ème</w:t>
      </w:r>
      <w:r w:rsidRPr="00C96B78">
        <w:rPr>
          <w:rFonts w:ascii="Arial" w:hAnsi="Arial" w:cs="Arial"/>
          <w:sz w:val="20"/>
          <w:szCs w:val="20"/>
          <w:lang w:val="fr-CA"/>
        </w:rPr>
        <w:t xml:space="preserve"> du vote. Avec justification</w:t>
      </w:r>
      <w:r w:rsidR="00C96B78" w:rsidRPr="00C96B78">
        <w:rPr>
          <w:rFonts w:ascii="Arial" w:hAnsi="Arial" w:cs="Arial"/>
          <w:sz w:val="20"/>
          <w:szCs w:val="20"/>
          <w:lang w:val="fr-CA"/>
        </w:rPr>
        <w:t>,</w:t>
      </w:r>
      <w:r w:rsidRPr="00C96B78">
        <w:rPr>
          <w:rFonts w:ascii="Arial" w:hAnsi="Arial" w:cs="Arial"/>
          <w:sz w:val="20"/>
          <w:szCs w:val="20"/>
          <w:lang w:val="fr-CA"/>
        </w:rPr>
        <w:t xml:space="preserve"> 1/12</w:t>
      </w:r>
      <w:r w:rsidRPr="00C96B78">
        <w:rPr>
          <w:rFonts w:ascii="Arial" w:hAnsi="Arial" w:cs="Arial"/>
          <w:sz w:val="20"/>
          <w:szCs w:val="20"/>
          <w:vertAlign w:val="superscript"/>
          <w:lang w:val="fr-CA"/>
        </w:rPr>
        <w:t>ème</w:t>
      </w:r>
      <w:r w:rsidRPr="00C96B78">
        <w:rPr>
          <w:rFonts w:ascii="Arial" w:hAnsi="Arial" w:cs="Arial"/>
          <w:sz w:val="20"/>
          <w:szCs w:val="20"/>
          <w:lang w:val="fr-CA"/>
        </w:rPr>
        <w:t xml:space="preserve"> supplémentaire peut être demandé jusqu’à un maximum de 11/12</w:t>
      </w:r>
      <w:r w:rsidRPr="00C96B78">
        <w:rPr>
          <w:rFonts w:ascii="Arial" w:hAnsi="Arial" w:cs="Arial"/>
          <w:sz w:val="20"/>
          <w:szCs w:val="20"/>
          <w:vertAlign w:val="superscript"/>
          <w:lang w:val="fr-CA"/>
        </w:rPr>
        <w:t>ème</w:t>
      </w:r>
      <w:r w:rsidRPr="00C96B78">
        <w:rPr>
          <w:rFonts w:ascii="Arial" w:hAnsi="Arial" w:cs="Arial"/>
          <w:sz w:val="20"/>
          <w:szCs w:val="20"/>
          <w:lang w:val="fr-CA"/>
        </w:rPr>
        <w:t xml:space="preserve">. À la fin de cette période, le Budget des dépenses est voté et le gouvernement présente un </w:t>
      </w:r>
      <w:hyperlink r:id="rId24" w:history="1">
        <w:r w:rsidRPr="00C96B78">
          <w:rPr>
            <w:rStyle w:val="Hyperlink"/>
            <w:rFonts w:ascii="Arial" w:hAnsi="Arial" w:cs="Arial"/>
            <w:sz w:val="20"/>
            <w:szCs w:val="20"/>
            <w:lang w:val="fr-CA"/>
          </w:rPr>
          <w:t>projet de loi pour la totalité des crédits</w:t>
        </w:r>
      </w:hyperlink>
      <w:r w:rsidRPr="00C96B78">
        <w:rPr>
          <w:rFonts w:ascii="Arial" w:hAnsi="Arial" w:cs="Arial"/>
          <w:sz w:val="20"/>
          <w:szCs w:val="20"/>
          <w:lang w:val="fr-CA"/>
        </w:rPr>
        <w:t>. Cela se produit habituellement en juin et fournit le solde du financement pour le reste de l’exercice.</w:t>
      </w:r>
    </w:p>
    <w:p w:rsidR="00362EC8" w:rsidRPr="00001E0D" w:rsidRDefault="00362EC8" w:rsidP="00362EC8">
      <w:pPr>
        <w:rPr>
          <w:rFonts w:ascii="Arial" w:hAnsi="Arial" w:cs="Arial"/>
          <w:sz w:val="20"/>
          <w:szCs w:val="20"/>
          <w:lang w:val="fr-CA"/>
        </w:rPr>
      </w:pPr>
    </w:p>
    <w:p w:rsidR="00362EC8" w:rsidRPr="00001E0D" w:rsidRDefault="00362EC8" w:rsidP="00362EC8">
      <w:pPr>
        <w:rPr>
          <w:rFonts w:ascii="Arial" w:hAnsi="Arial" w:cs="Arial"/>
          <w:sz w:val="20"/>
          <w:szCs w:val="20"/>
          <w:lang w:val="fr-CA"/>
        </w:rPr>
      </w:pPr>
      <w:r w:rsidRPr="00AF5C32">
        <w:rPr>
          <w:rFonts w:ascii="Arial" w:hAnsi="Arial" w:cs="Arial"/>
          <w:sz w:val="20"/>
          <w:szCs w:val="20"/>
          <w:lang w:val="fr-CA"/>
        </w:rPr>
        <w:t>En ce qui concerne le Budget supplémentaire des dépenses, le Parlement ouvre des crédits en juin pour le premier Budget supplémentaire des dépenses (A), en décembre pour le deuxième Budget supplémentaire des dépenses (B) et en mars pour le dernier Budget supplémentaire des dépenses (C)</w:t>
      </w:r>
      <w:r w:rsidRPr="00001E0D">
        <w:rPr>
          <w:rFonts w:ascii="Arial" w:hAnsi="Arial" w:cs="Arial"/>
          <w:sz w:val="20"/>
          <w:szCs w:val="20"/>
          <w:lang w:val="fr-CA"/>
        </w:rPr>
        <w:t>.</w:t>
      </w:r>
    </w:p>
    <w:p w:rsidR="00362EC8" w:rsidRPr="00001E0D" w:rsidRDefault="00362EC8" w:rsidP="00362EC8">
      <w:pPr>
        <w:rPr>
          <w:rFonts w:ascii="Arial" w:hAnsi="Arial" w:cs="Arial"/>
          <w:sz w:val="20"/>
          <w:szCs w:val="20"/>
          <w:lang w:val="fr-CA"/>
        </w:rPr>
      </w:pPr>
    </w:p>
    <w:p w:rsidR="00362EC8" w:rsidRPr="00001E0D" w:rsidRDefault="00362EC8" w:rsidP="00362EC8">
      <w:pPr>
        <w:rPr>
          <w:rFonts w:ascii="Arial" w:hAnsi="Arial" w:cs="Arial"/>
          <w:sz w:val="20"/>
          <w:szCs w:val="20"/>
          <w:lang w:val="fr-CA"/>
        </w:rPr>
      </w:pPr>
      <w:r w:rsidRPr="00AF5C32">
        <w:rPr>
          <w:rFonts w:ascii="Arial" w:hAnsi="Arial" w:cs="Arial"/>
          <w:sz w:val="20"/>
          <w:szCs w:val="20"/>
          <w:lang w:val="fr-CA"/>
        </w:rPr>
        <w:t>Généralement, le processus d’affectation de crédits comporte trois exigences : un projet de loi de crédits doit être présenté au Parlement; le projet de loi doit avoir été adopté et avoir reçu la sanction royale, et le gouverneur général doit avoir délivré un mandat autorisant le gouvernement à retirer les fonds affectés en provenance du Trésor</w:t>
      </w:r>
      <w:r w:rsidRPr="00001E0D">
        <w:rPr>
          <w:rFonts w:ascii="Arial" w:hAnsi="Arial" w:cs="Arial"/>
          <w:sz w:val="20"/>
          <w:szCs w:val="20"/>
          <w:lang w:val="fr-CA"/>
        </w:rPr>
        <w:t>.</w:t>
      </w:r>
    </w:p>
    <w:p w:rsidR="00362EC8" w:rsidRPr="00001E0D" w:rsidRDefault="00362EC8" w:rsidP="00362EC8">
      <w:pPr>
        <w:rPr>
          <w:rFonts w:ascii="Arial" w:hAnsi="Arial" w:cs="Arial"/>
          <w:sz w:val="20"/>
          <w:szCs w:val="20"/>
          <w:lang w:val="fr-CA"/>
        </w:rPr>
      </w:pPr>
    </w:p>
    <w:p w:rsidR="00362EC8" w:rsidRPr="00001E0D" w:rsidRDefault="00362EC8" w:rsidP="00362EC8">
      <w:pPr>
        <w:rPr>
          <w:rFonts w:ascii="Arial" w:hAnsi="Arial" w:cs="Arial"/>
          <w:sz w:val="20"/>
          <w:szCs w:val="20"/>
          <w:lang w:val="fr-CA"/>
        </w:rPr>
      </w:pPr>
      <w:r w:rsidRPr="00AF5C32">
        <w:rPr>
          <w:rFonts w:ascii="Arial" w:hAnsi="Arial" w:cs="Arial"/>
          <w:sz w:val="20"/>
          <w:szCs w:val="20"/>
          <w:lang w:val="fr-CA"/>
        </w:rPr>
        <w:t>D’autres mécanismes existent aussi pour l’obtention du financement temporaire avant que les projets de loi de crédits ne soient approuvés ou dans des circonstances particulières</w:t>
      </w:r>
      <w:r>
        <w:rPr>
          <w:rFonts w:ascii="Arial" w:hAnsi="Arial" w:cs="Arial"/>
          <w:sz w:val="20"/>
          <w:szCs w:val="20"/>
          <w:lang w:val="fr-CA"/>
        </w:rPr>
        <w:t> </w:t>
      </w:r>
      <w:r w:rsidRPr="00001E0D">
        <w:rPr>
          <w:rFonts w:ascii="Arial" w:hAnsi="Arial" w:cs="Arial"/>
          <w:sz w:val="20"/>
          <w:szCs w:val="20"/>
          <w:lang w:val="fr-CA"/>
        </w:rPr>
        <w:t>:</w:t>
      </w:r>
    </w:p>
    <w:p w:rsidR="00362EC8" w:rsidRPr="00001E0D" w:rsidRDefault="00362EC8" w:rsidP="00362EC8">
      <w:pPr>
        <w:rPr>
          <w:rFonts w:ascii="Arial" w:hAnsi="Arial" w:cs="Arial"/>
          <w:sz w:val="20"/>
          <w:szCs w:val="20"/>
          <w:lang w:val="fr-CA"/>
        </w:rPr>
      </w:pPr>
    </w:p>
    <w:p w:rsidR="00362EC8" w:rsidRPr="00001E0D" w:rsidRDefault="00362EC8" w:rsidP="00362EC8">
      <w:pPr>
        <w:rPr>
          <w:rFonts w:ascii="Arial" w:hAnsi="Arial" w:cs="Arial"/>
          <w:b/>
          <w:sz w:val="20"/>
          <w:szCs w:val="20"/>
          <w:lang w:val="fr-CA"/>
        </w:rPr>
      </w:pPr>
      <w:r>
        <w:rPr>
          <w:rFonts w:ascii="Arial" w:hAnsi="Arial" w:cs="Arial"/>
          <w:b/>
          <w:sz w:val="20"/>
          <w:szCs w:val="20"/>
          <w:lang w:val="fr-CA"/>
        </w:rPr>
        <w:t>Mandats spéciaux du gouverneur général</w:t>
      </w:r>
    </w:p>
    <w:p w:rsidR="00362EC8" w:rsidRPr="00001E0D" w:rsidRDefault="00362EC8" w:rsidP="00362EC8">
      <w:pPr>
        <w:rPr>
          <w:rFonts w:ascii="Arial" w:hAnsi="Arial" w:cs="Arial"/>
          <w:sz w:val="20"/>
          <w:szCs w:val="20"/>
          <w:lang w:val="fr-CA"/>
        </w:rPr>
      </w:pPr>
      <w:r>
        <w:rPr>
          <w:rFonts w:ascii="Arial" w:hAnsi="Arial" w:cs="Arial"/>
          <w:sz w:val="20"/>
          <w:szCs w:val="20"/>
          <w:lang w:val="fr-CA"/>
        </w:rPr>
        <w:t>Les</w:t>
      </w:r>
      <w:r w:rsidRPr="00001E0D">
        <w:rPr>
          <w:rFonts w:ascii="Arial" w:hAnsi="Arial" w:cs="Arial"/>
          <w:sz w:val="20"/>
          <w:szCs w:val="20"/>
          <w:lang w:val="fr-CA"/>
        </w:rPr>
        <w:t xml:space="preserve"> </w:t>
      </w:r>
      <w:hyperlink r:id="rId25" w:history="1">
        <w:r>
          <w:rPr>
            <w:rStyle w:val="Hyperlink"/>
            <w:rFonts w:ascii="Arial" w:hAnsi="Arial" w:cs="Arial"/>
            <w:sz w:val="20"/>
            <w:szCs w:val="20"/>
            <w:lang w:val="fr-CA"/>
          </w:rPr>
          <w:t>mandats spéciaux du gouverneur général</w:t>
        </w:r>
      </w:hyperlink>
      <w:r w:rsidRPr="00001E0D">
        <w:rPr>
          <w:rFonts w:ascii="Arial" w:hAnsi="Arial" w:cs="Arial"/>
          <w:sz w:val="20"/>
          <w:szCs w:val="20"/>
          <w:lang w:val="fr-CA"/>
        </w:rPr>
        <w:t xml:space="preserve"> </w:t>
      </w:r>
      <w:r w:rsidRPr="00AF5C32">
        <w:rPr>
          <w:rFonts w:ascii="Arial" w:hAnsi="Arial" w:cs="Arial"/>
          <w:sz w:val="20"/>
          <w:szCs w:val="20"/>
          <w:lang w:val="fr-CA"/>
        </w:rPr>
        <w:t>constituent l’instrument établi pour obtenir des crédits lorsque le Parlement est dissous en vue d’une élection générale</w:t>
      </w:r>
      <w:r w:rsidRPr="00001E0D">
        <w:rPr>
          <w:rFonts w:ascii="Arial" w:hAnsi="Arial" w:cs="Arial"/>
          <w:sz w:val="20"/>
          <w:szCs w:val="20"/>
          <w:lang w:val="fr-CA"/>
        </w:rPr>
        <w:t xml:space="preserve">. </w:t>
      </w:r>
      <w:r w:rsidRPr="00AF5C32">
        <w:rPr>
          <w:rFonts w:ascii="Arial" w:hAnsi="Arial" w:cs="Arial"/>
          <w:sz w:val="20"/>
          <w:szCs w:val="20"/>
          <w:lang w:val="fr-CA"/>
        </w:rPr>
        <w:t xml:space="preserve">C’est grâce à eux que les opérations de base du gouvernement peuvent se poursuivre même si le Parlement ne siège pas et que le processus normal d’affectation de crédits a été </w:t>
      </w:r>
      <w:r w:rsidRPr="00AF5C32">
        <w:rPr>
          <w:rFonts w:ascii="Arial" w:hAnsi="Arial" w:cs="Arial"/>
          <w:sz w:val="20"/>
          <w:szCs w:val="20"/>
          <w:lang w:val="fr-CA"/>
        </w:rPr>
        <w:lastRenderedPageBreak/>
        <w:t>interrompu. Une des principales caractéristiques des mandats spéciaux consiste à fournir les crédits nécessaires pour un paiement sans toutefois conférer une autorisation qui requiert l’approbation du Parlement. Trois conditions de base doivent être remplies avant qu’un mandat spécial ne puisse être établi</w:t>
      </w:r>
      <w:r>
        <w:rPr>
          <w:rFonts w:ascii="Arial" w:hAnsi="Arial" w:cs="Arial"/>
          <w:sz w:val="20"/>
          <w:szCs w:val="20"/>
          <w:lang w:val="fr-CA"/>
        </w:rPr>
        <w:t> </w:t>
      </w:r>
      <w:r w:rsidRPr="00001E0D">
        <w:rPr>
          <w:rFonts w:ascii="Arial" w:hAnsi="Arial" w:cs="Arial"/>
          <w:sz w:val="20"/>
          <w:szCs w:val="20"/>
          <w:lang w:val="fr-CA"/>
        </w:rPr>
        <w:t>:</w:t>
      </w:r>
    </w:p>
    <w:p w:rsidR="00362EC8" w:rsidRPr="00001E0D" w:rsidRDefault="00362EC8" w:rsidP="00362EC8">
      <w:pPr>
        <w:rPr>
          <w:rFonts w:ascii="Arial" w:hAnsi="Arial" w:cs="Arial"/>
          <w:sz w:val="20"/>
          <w:szCs w:val="20"/>
          <w:lang w:val="fr-CA"/>
        </w:rPr>
      </w:pPr>
    </w:p>
    <w:p w:rsidR="00362EC8" w:rsidRPr="00001E0D" w:rsidRDefault="00362EC8" w:rsidP="00362EC8">
      <w:pPr>
        <w:numPr>
          <w:ilvl w:val="0"/>
          <w:numId w:val="3"/>
        </w:numPr>
        <w:rPr>
          <w:rFonts w:ascii="Arial" w:hAnsi="Arial" w:cs="Arial"/>
          <w:sz w:val="20"/>
          <w:szCs w:val="20"/>
          <w:lang w:val="fr-CA"/>
        </w:rPr>
      </w:pPr>
      <w:r w:rsidRPr="00AF5C32">
        <w:rPr>
          <w:rFonts w:ascii="Arial" w:hAnsi="Arial" w:cs="Arial"/>
          <w:sz w:val="20"/>
          <w:szCs w:val="20"/>
          <w:lang w:val="fr-CA"/>
        </w:rPr>
        <w:t>le Parlement ne siège pas, en vue d’une élection générale</w:t>
      </w:r>
      <w:r w:rsidRPr="00001E0D">
        <w:rPr>
          <w:rFonts w:ascii="Arial" w:hAnsi="Arial" w:cs="Arial"/>
          <w:sz w:val="20"/>
          <w:szCs w:val="20"/>
          <w:lang w:val="fr-CA"/>
        </w:rPr>
        <w:t>;</w:t>
      </w:r>
    </w:p>
    <w:p w:rsidR="00362EC8" w:rsidRPr="00001E0D" w:rsidRDefault="00362EC8" w:rsidP="00362EC8">
      <w:pPr>
        <w:numPr>
          <w:ilvl w:val="0"/>
          <w:numId w:val="3"/>
        </w:numPr>
        <w:rPr>
          <w:rFonts w:ascii="Arial" w:hAnsi="Arial" w:cs="Arial"/>
          <w:sz w:val="20"/>
          <w:szCs w:val="20"/>
          <w:lang w:val="fr-CA"/>
        </w:rPr>
      </w:pPr>
      <w:r w:rsidRPr="00AF5C32">
        <w:rPr>
          <w:rFonts w:ascii="Arial" w:hAnsi="Arial" w:cs="Arial"/>
          <w:sz w:val="20"/>
          <w:szCs w:val="20"/>
          <w:lang w:val="fr-CA"/>
        </w:rPr>
        <w:t xml:space="preserve">il n’y a pas d’autre crédit non grevé </w:t>
      </w:r>
      <w:r>
        <w:rPr>
          <w:rFonts w:ascii="Arial" w:hAnsi="Arial" w:cs="Arial"/>
          <w:sz w:val="20"/>
          <w:szCs w:val="20"/>
          <w:lang w:val="fr-CA"/>
        </w:rPr>
        <w:t>dans lequel</w:t>
      </w:r>
      <w:r w:rsidRPr="00AF5C32">
        <w:rPr>
          <w:rFonts w:ascii="Arial" w:hAnsi="Arial" w:cs="Arial"/>
          <w:sz w:val="20"/>
          <w:szCs w:val="20"/>
          <w:lang w:val="fr-CA"/>
        </w:rPr>
        <w:t xml:space="preserve"> peut être puisé le paiement requis</w:t>
      </w:r>
      <w:r>
        <w:rPr>
          <w:rFonts w:ascii="Arial" w:hAnsi="Arial" w:cs="Arial"/>
          <w:sz w:val="20"/>
          <w:szCs w:val="20"/>
          <w:lang w:val="fr-CA"/>
        </w:rPr>
        <w:t>;</w:t>
      </w:r>
    </w:p>
    <w:p w:rsidR="00362EC8" w:rsidRPr="00001E0D" w:rsidRDefault="00362EC8" w:rsidP="00362EC8">
      <w:pPr>
        <w:numPr>
          <w:ilvl w:val="0"/>
          <w:numId w:val="3"/>
        </w:numPr>
        <w:rPr>
          <w:rFonts w:ascii="Arial" w:hAnsi="Arial" w:cs="Arial"/>
          <w:sz w:val="20"/>
          <w:szCs w:val="20"/>
          <w:lang w:val="fr-CA"/>
        </w:rPr>
      </w:pPr>
      <w:r w:rsidRPr="00AF5C32">
        <w:rPr>
          <w:rFonts w:ascii="Arial" w:hAnsi="Arial" w:cs="Arial"/>
          <w:sz w:val="20"/>
          <w:szCs w:val="20"/>
          <w:lang w:val="fr-CA"/>
        </w:rPr>
        <w:t>un paiement s’impose d’urgence dans l’intérêt public</w:t>
      </w:r>
      <w:r w:rsidRPr="00001E0D">
        <w:rPr>
          <w:rFonts w:ascii="Arial" w:hAnsi="Arial" w:cs="Arial"/>
          <w:sz w:val="20"/>
          <w:szCs w:val="20"/>
          <w:lang w:val="fr-CA"/>
        </w:rPr>
        <w:t>.</w:t>
      </w:r>
    </w:p>
    <w:p w:rsidR="00362EC8" w:rsidRPr="00001E0D" w:rsidRDefault="00362EC8" w:rsidP="00362EC8">
      <w:pPr>
        <w:rPr>
          <w:rFonts w:ascii="Arial" w:hAnsi="Arial" w:cs="Arial"/>
          <w:sz w:val="20"/>
          <w:szCs w:val="20"/>
          <w:lang w:val="fr-CA"/>
        </w:rPr>
      </w:pPr>
    </w:p>
    <w:p w:rsidR="00362EC8" w:rsidRPr="00001E0D" w:rsidRDefault="00362EC8" w:rsidP="00362EC8">
      <w:pPr>
        <w:rPr>
          <w:rFonts w:ascii="Arial" w:hAnsi="Arial" w:cs="Arial"/>
          <w:b/>
          <w:sz w:val="20"/>
          <w:szCs w:val="20"/>
          <w:lang w:val="fr-CA"/>
        </w:rPr>
      </w:pPr>
      <w:r>
        <w:rPr>
          <w:rFonts w:ascii="Arial" w:hAnsi="Arial" w:cs="Arial"/>
          <w:b/>
          <w:sz w:val="20"/>
          <w:szCs w:val="20"/>
          <w:lang w:val="fr-CA"/>
        </w:rPr>
        <w:t>Crédits centraux du CT</w:t>
      </w:r>
    </w:p>
    <w:p w:rsidR="00362EC8" w:rsidRDefault="00362EC8" w:rsidP="00362EC8">
      <w:pPr>
        <w:rPr>
          <w:rFonts w:ascii="Arial" w:hAnsi="Arial" w:cs="Arial"/>
          <w:sz w:val="20"/>
          <w:szCs w:val="20"/>
          <w:lang w:val="fr-CA"/>
        </w:rPr>
      </w:pPr>
      <w:r w:rsidRPr="00AF5C32">
        <w:rPr>
          <w:rFonts w:ascii="Arial" w:hAnsi="Arial" w:cs="Arial"/>
          <w:sz w:val="20"/>
          <w:szCs w:val="20"/>
          <w:lang w:val="fr-CA"/>
        </w:rPr>
        <w:t>Demander l’accès à un crédit central du CT constitue également un mécanisme visant à obtenir un financement supplémentaire en dehors du processus relatif au Budget des dépenses. Sous réserve de l’approbation du CT, les crédits centraux s’ajoutent à d’autres crédits, par exemple le Crédit pour éventualités du gouvernement (Crédit 5 du CT), afin d’assurer au gouvernement une marge de manœuvre suffisante pour faire face à des dépenses urgentes ou imprévues lorsqu’il existe un besoin de trésorerie valable avant la période d’octroi des crédits</w:t>
      </w:r>
      <w:r w:rsidRPr="00001E0D">
        <w:rPr>
          <w:rFonts w:ascii="Arial" w:hAnsi="Arial" w:cs="Arial"/>
          <w:sz w:val="20"/>
          <w:szCs w:val="20"/>
          <w:lang w:val="fr-CA"/>
        </w:rPr>
        <w:t>.</w:t>
      </w:r>
    </w:p>
    <w:p w:rsidR="00362EC8" w:rsidRPr="00001E0D" w:rsidRDefault="00362EC8" w:rsidP="00362EC8">
      <w:pPr>
        <w:rPr>
          <w:rFonts w:ascii="Arial" w:hAnsi="Arial" w:cs="Arial"/>
          <w:sz w:val="20"/>
          <w:szCs w:val="20"/>
          <w:lang w:val="fr-CA"/>
        </w:rPr>
      </w:pPr>
    </w:p>
    <w:p w:rsidR="00362EC8" w:rsidRPr="00001E0D" w:rsidRDefault="00362EC8" w:rsidP="00362EC8">
      <w:pPr>
        <w:pStyle w:val="Heading2"/>
        <w:rPr>
          <w:lang w:val="fr-CA"/>
        </w:rPr>
      </w:pPr>
      <w:bookmarkStart w:id="18" w:name="_Toc485812698"/>
      <w:r w:rsidRPr="00001E0D">
        <w:rPr>
          <w:lang w:val="fr-CA"/>
        </w:rPr>
        <w:t xml:space="preserve">1.2 </w:t>
      </w:r>
      <w:r>
        <w:rPr>
          <w:lang w:val="fr-CA"/>
        </w:rPr>
        <w:t>PROVENANCE DES FONDS</w:t>
      </w:r>
      <w:bookmarkEnd w:id="18"/>
    </w:p>
    <w:p w:rsidR="00362EC8" w:rsidRPr="00001E0D" w:rsidRDefault="00362EC8" w:rsidP="00362EC8">
      <w:pPr>
        <w:rPr>
          <w:rFonts w:ascii="Arial" w:hAnsi="Arial" w:cs="Arial"/>
          <w:sz w:val="20"/>
          <w:szCs w:val="20"/>
          <w:lang w:val="fr-CA"/>
        </w:rPr>
      </w:pPr>
    </w:p>
    <w:p w:rsidR="00362EC8" w:rsidRPr="00001E0D" w:rsidRDefault="00362EC8" w:rsidP="00362EC8">
      <w:pPr>
        <w:rPr>
          <w:rFonts w:ascii="Arial" w:hAnsi="Arial" w:cs="Arial"/>
          <w:sz w:val="20"/>
          <w:szCs w:val="20"/>
          <w:lang w:val="fr-CA"/>
        </w:rPr>
      </w:pPr>
      <w:r w:rsidRPr="00AF5C32">
        <w:rPr>
          <w:rFonts w:ascii="Arial" w:hAnsi="Arial" w:cs="Arial"/>
          <w:sz w:val="20"/>
          <w:szCs w:val="20"/>
          <w:lang w:val="fr-CA"/>
        </w:rPr>
        <w:t xml:space="preserve">Les activités d’EDSC sont financées </w:t>
      </w:r>
      <w:r>
        <w:rPr>
          <w:rFonts w:ascii="Arial" w:hAnsi="Arial" w:cs="Arial"/>
          <w:sz w:val="20"/>
          <w:szCs w:val="20"/>
          <w:lang w:val="fr-CA"/>
        </w:rPr>
        <w:t xml:space="preserve">principalement </w:t>
      </w:r>
      <w:r w:rsidRPr="00AF5C32">
        <w:rPr>
          <w:rFonts w:ascii="Arial" w:hAnsi="Arial" w:cs="Arial"/>
          <w:sz w:val="20"/>
          <w:szCs w:val="20"/>
          <w:lang w:val="fr-CA"/>
        </w:rPr>
        <w:t xml:space="preserve">à partir </w:t>
      </w:r>
      <w:r>
        <w:rPr>
          <w:rFonts w:ascii="Arial" w:hAnsi="Arial" w:cs="Arial"/>
          <w:sz w:val="20"/>
          <w:szCs w:val="20"/>
          <w:lang w:val="fr-CA"/>
        </w:rPr>
        <w:t>des</w:t>
      </w:r>
      <w:r w:rsidRPr="00AF5C32">
        <w:rPr>
          <w:rFonts w:ascii="Arial" w:hAnsi="Arial" w:cs="Arial"/>
          <w:sz w:val="20"/>
          <w:szCs w:val="20"/>
          <w:lang w:val="fr-CA"/>
        </w:rPr>
        <w:t xml:space="preserve"> sources</w:t>
      </w:r>
      <w:r>
        <w:rPr>
          <w:rFonts w:ascii="Arial" w:hAnsi="Arial" w:cs="Arial"/>
          <w:sz w:val="20"/>
          <w:szCs w:val="20"/>
          <w:lang w:val="fr-CA"/>
        </w:rPr>
        <w:t xml:space="preserve"> suivantes </w:t>
      </w:r>
      <w:r w:rsidRPr="00001E0D">
        <w:rPr>
          <w:rFonts w:ascii="Arial" w:hAnsi="Arial" w:cs="Arial"/>
          <w:sz w:val="20"/>
          <w:szCs w:val="20"/>
          <w:lang w:val="fr-CA"/>
        </w:rPr>
        <w:t xml:space="preserve">: </w:t>
      </w:r>
    </w:p>
    <w:p w:rsidR="00362EC8" w:rsidRPr="00001E0D" w:rsidRDefault="00362EC8" w:rsidP="00362EC8">
      <w:pPr>
        <w:rPr>
          <w:rFonts w:ascii="Arial" w:hAnsi="Arial" w:cs="Arial"/>
          <w:sz w:val="20"/>
          <w:szCs w:val="20"/>
          <w:lang w:val="fr-CA"/>
        </w:rPr>
      </w:pPr>
    </w:p>
    <w:p w:rsidR="00362EC8" w:rsidRPr="00001E0D" w:rsidRDefault="00362EC8" w:rsidP="00362EC8">
      <w:pPr>
        <w:numPr>
          <w:ilvl w:val="0"/>
          <w:numId w:val="3"/>
        </w:numPr>
        <w:rPr>
          <w:rFonts w:ascii="Arial" w:hAnsi="Arial" w:cs="Arial"/>
          <w:sz w:val="20"/>
          <w:szCs w:val="20"/>
          <w:lang w:val="fr-CA"/>
        </w:rPr>
      </w:pPr>
      <w:r>
        <w:rPr>
          <w:rFonts w:ascii="Arial" w:hAnsi="Arial" w:cs="Arial"/>
          <w:sz w:val="20"/>
          <w:szCs w:val="20"/>
          <w:lang w:val="fr-CA"/>
        </w:rPr>
        <w:t xml:space="preserve">les </w:t>
      </w:r>
      <w:r w:rsidRPr="00AF5C32">
        <w:rPr>
          <w:rFonts w:ascii="Arial" w:hAnsi="Arial" w:cs="Arial"/>
          <w:sz w:val="20"/>
          <w:szCs w:val="20"/>
          <w:lang w:val="fr-CA"/>
        </w:rPr>
        <w:t>fonds affectés en provenance du Trésor</w:t>
      </w:r>
      <w:r w:rsidRPr="00001E0D">
        <w:rPr>
          <w:rFonts w:ascii="Arial" w:hAnsi="Arial" w:cs="Arial"/>
          <w:sz w:val="20"/>
          <w:szCs w:val="20"/>
          <w:lang w:val="fr-CA"/>
        </w:rPr>
        <w:t>;</w:t>
      </w:r>
    </w:p>
    <w:p w:rsidR="00362EC8" w:rsidRPr="00001E0D" w:rsidRDefault="00362EC8" w:rsidP="00362EC8">
      <w:pPr>
        <w:numPr>
          <w:ilvl w:val="0"/>
          <w:numId w:val="3"/>
        </w:numPr>
        <w:rPr>
          <w:rFonts w:ascii="Arial" w:hAnsi="Arial" w:cs="Arial"/>
          <w:sz w:val="20"/>
          <w:szCs w:val="20"/>
          <w:lang w:val="fr-CA"/>
        </w:rPr>
      </w:pPr>
      <w:r>
        <w:rPr>
          <w:rFonts w:ascii="Arial" w:hAnsi="Arial" w:cs="Arial"/>
          <w:sz w:val="20"/>
          <w:szCs w:val="20"/>
          <w:lang w:val="fr-CA"/>
        </w:rPr>
        <w:t xml:space="preserve">le </w:t>
      </w:r>
      <w:r w:rsidRPr="00AF5C32">
        <w:rPr>
          <w:rFonts w:ascii="Arial" w:hAnsi="Arial" w:cs="Arial"/>
          <w:sz w:val="20"/>
          <w:szCs w:val="20"/>
          <w:lang w:val="fr-CA"/>
        </w:rPr>
        <w:t>Compte des opérations de l’assurance-emploi</w:t>
      </w:r>
      <w:r w:rsidRPr="00001E0D">
        <w:rPr>
          <w:rFonts w:ascii="Arial" w:hAnsi="Arial" w:cs="Arial"/>
          <w:sz w:val="20"/>
          <w:szCs w:val="20"/>
          <w:lang w:val="fr-CA"/>
        </w:rPr>
        <w:t>;</w:t>
      </w:r>
    </w:p>
    <w:p w:rsidR="00362EC8" w:rsidRDefault="00362EC8" w:rsidP="00362EC8">
      <w:pPr>
        <w:numPr>
          <w:ilvl w:val="0"/>
          <w:numId w:val="3"/>
        </w:numPr>
        <w:rPr>
          <w:rFonts w:ascii="Arial" w:hAnsi="Arial" w:cs="Arial"/>
          <w:sz w:val="20"/>
          <w:szCs w:val="20"/>
          <w:lang w:val="fr-CA"/>
        </w:rPr>
      </w:pPr>
      <w:r>
        <w:rPr>
          <w:rFonts w:ascii="Arial" w:hAnsi="Arial" w:cs="Arial"/>
          <w:sz w:val="20"/>
          <w:szCs w:val="20"/>
          <w:lang w:val="fr-CA"/>
        </w:rPr>
        <w:t xml:space="preserve">le </w:t>
      </w:r>
      <w:r w:rsidRPr="00AF5C32">
        <w:rPr>
          <w:rFonts w:ascii="Arial" w:hAnsi="Arial" w:cs="Arial"/>
          <w:sz w:val="20"/>
          <w:szCs w:val="20"/>
          <w:lang w:val="fr-CA"/>
        </w:rPr>
        <w:t>Régime de pensions du Canada (RPC</w:t>
      </w:r>
      <w:r>
        <w:rPr>
          <w:rFonts w:ascii="Arial" w:hAnsi="Arial" w:cs="Arial"/>
          <w:sz w:val="20"/>
          <w:szCs w:val="20"/>
          <w:lang w:val="fr-CA"/>
        </w:rPr>
        <w:t>);</w:t>
      </w:r>
    </w:p>
    <w:p w:rsidR="00362EC8" w:rsidRPr="00001E0D" w:rsidRDefault="00362EC8" w:rsidP="00362EC8">
      <w:pPr>
        <w:numPr>
          <w:ilvl w:val="0"/>
          <w:numId w:val="3"/>
        </w:numPr>
        <w:rPr>
          <w:rFonts w:ascii="Arial" w:hAnsi="Arial" w:cs="Arial"/>
          <w:sz w:val="20"/>
          <w:szCs w:val="20"/>
          <w:lang w:val="fr-CA"/>
        </w:rPr>
      </w:pPr>
      <w:r>
        <w:rPr>
          <w:rFonts w:ascii="Arial" w:hAnsi="Arial" w:cs="Arial"/>
          <w:sz w:val="20"/>
          <w:szCs w:val="20"/>
          <w:lang w:val="fr-CA"/>
        </w:rPr>
        <w:t>RVC (ex. Passeport)</w:t>
      </w:r>
    </w:p>
    <w:p w:rsidR="00362EC8" w:rsidRPr="00001E0D" w:rsidRDefault="00362EC8" w:rsidP="00362EC8">
      <w:pPr>
        <w:rPr>
          <w:rFonts w:ascii="Arial" w:hAnsi="Arial" w:cs="Arial"/>
          <w:sz w:val="20"/>
          <w:szCs w:val="20"/>
          <w:lang w:val="fr-CA"/>
        </w:rPr>
      </w:pPr>
    </w:p>
    <w:p w:rsidR="00362EC8" w:rsidRPr="00001E0D" w:rsidRDefault="00362EC8" w:rsidP="00362EC8">
      <w:pPr>
        <w:rPr>
          <w:rFonts w:ascii="Arial" w:hAnsi="Arial" w:cs="Arial"/>
          <w:sz w:val="20"/>
          <w:szCs w:val="20"/>
          <w:lang w:val="fr-CA"/>
        </w:rPr>
      </w:pPr>
      <w:r w:rsidRPr="0029098E">
        <w:rPr>
          <w:rFonts w:ascii="Arial" w:hAnsi="Arial" w:cs="Arial"/>
          <w:sz w:val="20"/>
          <w:szCs w:val="20"/>
          <w:lang w:val="fr-CA"/>
        </w:rPr>
        <w:t xml:space="preserve">Le Trésor est défini comme étant « l’ensemble des fonds publics en dépôt au crédit du receveur général du Canada ». Une fois que le Parlement autorise le paiement de fonds en provenance du Trésor, cette autorisation devient une loi de crédits, qui représente le moyen par lequel le Parlement accorde une autorisation de dépenser aux </w:t>
      </w:r>
      <w:r w:rsidR="00B9516F">
        <w:rPr>
          <w:rFonts w:ascii="Arial" w:hAnsi="Arial" w:cs="Arial"/>
          <w:sz w:val="20"/>
          <w:szCs w:val="20"/>
          <w:lang w:val="fr-CA"/>
        </w:rPr>
        <w:t>ministère</w:t>
      </w:r>
      <w:r w:rsidRPr="0029098E">
        <w:rPr>
          <w:rFonts w:ascii="Arial" w:hAnsi="Arial" w:cs="Arial"/>
          <w:sz w:val="20"/>
          <w:szCs w:val="20"/>
          <w:lang w:val="fr-CA"/>
        </w:rPr>
        <w:t>s. Les autorisations de dépenser se divisent en deux catégories : les dépenses votées et les dépenses législatives</w:t>
      </w:r>
      <w:r>
        <w:rPr>
          <w:rFonts w:ascii="Arial" w:hAnsi="Arial" w:cs="Arial"/>
          <w:sz w:val="20"/>
          <w:szCs w:val="20"/>
          <w:lang w:val="fr-CA"/>
        </w:rPr>
        <w:t>.</w:t>
      </w:r>
    </w:p>
    <w:p w:rsidR="00362EC8" w:rsidRPr="00001E0D" w:rsidRDefault="00362EC8" w:rsidP="00362EC8">
      <w:pPr>
        <w:rPr>
          <w:rFonts w:ascii="Arial" w:hAnsi="Arial" w:cs="Arial"/>
          <w:sz w:val="20"/>
          <w:szCs w:val="20"/>
          <w:lang w:val="fr-CA"/>
        </w:rPr>
      </w:pPr>
    </w:p>
    <w:p w:rsidR="00362EC8" w:rsidRPr="00001E0D" w:rsidRDefault="00362EC8" w:rsidP="00362EC8">
      <w:pPr>
        <w:rPr>
          <w:rFonts w:ascii="Arial" w:hAnsi="Arial" w:cs="Arial"/>
          <w:sz w:val="20"/>
          <w:szCs w:val="20"/>
          <w:lang w:val="fr-CA"/>
        </w:rPr>
      </w:pPr>
      <w:r w:rsidRPr="0029098E">
        <w:rPr>
          <w:rFonts w:ascii="Arial" w:hAnsi="Arial" w:cs="Arial"/>
          <w:sz w:val="20"/>
          <w:szCs w:val="20"/>
          <w:lang w:val="fr-CA"/>
        </w:rPr>
        <w:t xml:space="preserve">Les dépenses votées sont celles que le gouvernement doit faire approuver par le Parlement tous les ans au moyen d’une loi de crédits. Les autorisations législatives sont celles que le Parlement a </w:t>
      </w:r>
      <w:r w:rsidR="00C96B78" w:rsidRPr="0029098E">
        <w:rPr>
          <w:rFonts w:ascii="Arial" w:hAnsi="Arial" w:cs="Arial"/>
          <w:sz w:val="20"/>
          <w:szCs w:val="20"/>
          <w:lang w:val="fr-CA"/>
        </w:rPr>
        <w:t>approuvées</w:t>
      </w:r>
      <w:r w:rsidRPr="0029098E">
        <w:rPr>
          <w:rFonts w:ascii="Arial" w:hAnsi="Arial" w:cs="Arial"/>
          <w:sz w:val="20"/>
          <w:szCs w:val="20"/>
          <w:lang w:val="fr-CA"/>
        </w:rPr>
        <w:t xml:space="preserve"> précédemment par l’intermédiaire d’autres lois qui précisent l’objectif et les modalités des dépenses</w:t>
      </w:r>
      <w:r w:rsidRPr="00001E0D">
        <w:rPr>
          <w:rFonts w:ascii="Arial" w:hAnsi="Arial" w:cs="Arial"/>
          <w:sz w:val="20"/>
          <w:szCs w:val="20"/>
          <w:lang w:val="fr-CA"/>
        </w:rPr>
        <w:t>.</w:t>
      </w:r>
    </w:p>
    <w:p w:rsidR="00362EC8" w:rsidRPr="00001E0D" w:rsidRDefault="00362EC8" w:rsidP="00362EC8">
      <w:pPr>
        <w:rPr>
          <w:rFonts w:ascii="Arial" w:hAnsi="Arial" w:cs="Arial"/>
          <w:sz w:val="20"/>
          <w:szCs w:val="20"/>
          <w:lang w:val="fr-CA"/>
        </w:rPr>
      </w:pPr>
    </w:p>
    <w:p w:rsidR="00362EC8" w:rsidRPr="00001E0D" w:rsidRDefault="00362EC8" w:rsidP="00362EC8">
      <w:pPr>
        <w:rPr>
          <w:rFonts w:ascii="Arial" w:hAnsi="Arial" w:cs="Arial"/>
          <w:sz w:val="20"/>
          <w:szCs w:val="20"/>
          <w:lang w:val="fr-CA"/>
        </w:rPr>
      </w:pPr>
      <w:r w:rsidRPr="0029098E">
        <w:rPr>
          <w:rFonts w:ascii="Arial" w:hAnsi="Arial" w:cs="Arial"/>
          <w:sz w:val="20"/>
          <w:szCs w:val="20"/>
          <w:lang w:val="fr-CA"/>
        </w:rPr>
        <w:t xml:space="preserve">Le Budget des dépenses d’EDSC est présenté en chiffres bruts et en chiffres nets. Les chiffres bruts représentent l’ensemble de l’autorisation accordée, et il s’agit du niveau auquel est géré le </w:t>
      </w:r>
      <w:r w:rsidR="00A65707">
        <w:rPr>
          <w:rFonts w:ascii="Arial" w:hAnsi="Arial" w:cs="Arial"/>
          <w:sz w:val="20"/>
          <w:szCs w:val="20"/>
          <w:lang w:val="fr-CA"/>
        </w:rPr>
        <w:t>ministère</w:t>
      </w:r>
      <w:r w:rsidRPr="0029098E">
        <w:rPr>
          <w:rFonts w:ascii="Arial" w:hAnsi="Arial" w:cs="Arial"/>
          <w:sz w:val="20"/>
          <w:szCs w:val="20"/>
          <w:lang w:val="fr-CA"/>
        </w:rPr>
        <w:t>. À partir de ces chiffres bruts, des fonds sont recouverts pour les services qui peuvent être imputés au Compte des</w:t>
      </w:r>
      <w:r>
        <w:rPr>
          <w:rFonts w:ascii="Arial" w:hAnsi="Arial" w:cs="Arial"/>
          <w:sz w:val="20"/>
          <w:szCs w:val="20"/>
          <w:lang w:val="fr-CA"/>
        </w:rPr>
        <w:t xml:space="preserve"> </w:t>
      </w:r>
      <w:r w:rsidRPr="0029098E">
        <w:rPr>
          <w:rFonts w:ascii="Arial" w:hAnsi="Arial" w:cs="Arial"/>
          <w:sz w:val="20"/>
          <w:szCs w:val="20"/>
          <w:lang w:val="fr-CA"/>
        </w:rPr>
        <w:t xml:space="preserve">opérations de l’assurance-emploi, au RPC, à des organismes mandataires de l’État et à d’autres </w:t>
      </w:r>
      <w:r w:rsidR="00B9516F">
        <w:rPr>
          <w:rFonts w:ascii="Arial" w:hAnsi="Arial" w:cs="Arial"/>
          <w:sz w:val="20"/>
          <w:szCs w:val="20"/>
          <w:lang w:val="fr-CA"/>
        </w:rPr>
        <w:t>ministère</w:t>
      </w:r>
      <w:r w:rsidRPr="0029098E">
        <w:rPr>
          <w:rFonts w:ascii="Arial" w:hAnsi="Arial" w:cs="Arial"/>
          <w:sz w:val="20"/>
          <w:szCs w:val="20"/>
          <w:lang w:val="fr-CA"/>
        </w:rPr>
        <w:t xml:space="preserve">s. Les chiffres bruts, moins ces recouvrements, </w:t>
      </w:r>
      <w:r w:rsidR="00C96B78">
        <w:rPr>
          <w:rFonts w:ascii="Arial" w:hAnsi="Arial" w:cs="Arial"/>
          <w:sz w:val="20"/>
          <w:szCs w:val="20"/>
          <w:lang w:val="fr-CA"/>
        </w:rPr>
        <w:t xml:space="preserve">correspondent aux chiffres nets et </w:t>
      </w:r>
      <w:r w:rsidRPr="0029098E">
        <w:rPr>
          <w:rFonts w:ascii="Arial" w:hAnsi="Arial" w:cs="Arial"/>
          <w:sz w:val="20"/>
          <w:szCs w:val="20"/>
          <w:lang w:val="fr-CA"/>
        </w:rPr>
        <w:t>représente</w:t>
      </w:r>
      <w:r w:rsidR="00C96B78">
        <w:rPr>
          <w:rFonts w:ascii="Arial" w:hAnsi="Arial" w:cs="Arial"/>
          <w:sz w:val="20"/>
          <w:szCs w:val="20"/>
          <w:lang w:val="fr-CA"/>
        </w:rPr>
        <w:t>nt</w:t>
      </w:r>
      <w:r w:rsidRPr="0029098E">
        <w:rPr>
          <w:rFonts w:ascii="Arial" w:hAnsi="Arial" w:cs="Arial"/>
          <w:sz w:val="20"/>
          <w:szCs w:val="20"/>
          <w:lang w:val="fr-CA"/>
        </w:rPr>
        <w:t xml:space="preserve"> la portion du Trésor que le Parlement affecte à EDSC au moyen des processus ordinaires de</w:t>
      </w:r>
      <w:r w:rsidR="00C96B78">
        <w:rPr>
          <w:rFonts w:ascii="Arial" w:hAnsi="Arial" w:cs="Arial"/>
          <w:sz w:val="20"/>
          <w:szCs w:val="20"/>
          <w:lang w:val="fr-CA"/>
        </w:rPr>
        <w:t>s crédits.</w:t>
      </w:r>
      <w:r>
        <w:rPr>
          <w:rFonts w:ascii="Arial" w:hAnsi="Arial" w:cs="Arial"/>
          <w:sz w:val="20"/>
          <w:szCs w:val="20"/>
          <w:lang w:val="fr-CA"/>
        </w:rPr>
        <w:t xml:space="preserve"> </w:t>
      </w:r>
      <w:r w:rsidRPr="00461A0E">
        <w:rPr>
          <w:rFonts w:ascii="Arial" w:hAnsi="Arial" w:cs="Arial"/>
          <w:sz w:val="20"/>
          <w:szCs w:val="20"/>
          <w:lang w:val="fr-CA"/>
        </w:rPr>
        <w:t xml:space="preserve">En raison de la complexité de ces arrangements financiers, les gestionnaires ne sont pas responsables de l'application des méthodologies d'allocation des coûts par source de fonds. </w:t>
      </w:r>
      <w:r w:rsidR="00C96B78">
        <w:rPr>
          <w:rFonts w:ascii="Arial" w:hAnsi="Arial" w:cs="Arial"/>
          <w:sz w:val="20"/>
          <w:szCs w:val="20"/>
          <w:lang w:val="fr-CA"/>
        </w:rPr>
        <w:t>Plutôt, ceci est la</w:t>
      </w:r>
      <w:r w:rsidRPr="00461A0E">
        <w:rPr>
          <w:rFonts w:ascii="Arial" w:hAnsi="Arial" w:cs="Arial"/>
          <w:sz w:val="20"/>
          <w:szCs w:val="20"/>
          <w:lang w:val="fr-CA"/>
        </w:rPr>
        <w:t xml:space="preserve"> responsabilité</w:t>
      </w:r>
      <w:r>
        <w:rPr>
          <w:rFonts w:ascii="Arial" w:hAnsi="Arial" w:cs="Arial"/>
          <w:sz w:val="20"/>
          <w:szCs w:val="20"/>
          <w:lang w:val="fr-CA"/>
        </w:rPr>
        <w:t xml:space="preserve"> </w:t>
      </w:r>
      <w:r w:rsidR="00C96B78">
        <w:rPr>
          <w:rFonts w:ascii="Arial" w:hAnsi="Arial" w:cs="Arial"/>
          <w:sz w:val="20"/>
          <w:szCs w:val="20"/>
          <w:lang w:val="fr-CA"/>
        </w:rPr>
        <w:t>du DPF.</w:t>
      </w:r>
    </w:p>
    <w:p w:rsidR="00362EC8" w:rsidRPr="00001E0D" w:rsidRDefault="00362EC8" w:rsidP="00362EC8">
      <w:pPr>
        <w:rPr>
          <w:rFonts w:ascii="Arial" w:hAnsi="Arial" w:cs="Arial"/>
          <w:sz w:val="20"/>
          <w:szCs w:val="20"/>
          <w:lang w:val="fr-CA"/>
        </w:rPr>
      </w:pPr>
    </w:p>
    <w:p w:rsidR="00362EC8" w:rsidRPr="00001E0D" w:rsidRDefault="00362EC8" w:rsidP="00362EC8">
      <w:pPr>
        <w:rPr>
          <w:rFonts w:ascii="Arial" w:hAnsi="Arial" w:cs="Arial"/>
          <w:sz w:val="20"/>
          <w:szCs w:val="20"/>
          <w:lang w:val="fr-CA"/>
        </w:rPr>
      </w:pPr>
    </w:p>
    <w:p w:rsidR="00362EC8" w:rsidRPr="00001E0D" w:rsidRDefault="00362EC8" w:rsidP="00362EC8">
      <w:pPr>
        <w:autoSpaceDE w:val="0"/>
        <w:autoSpaceDN w:val="0"/>
        <w:adjustRightInd w:val="0"/>
        <w:rPr>
          <w:rFonts w:ascii="Arial" w:hAnsi="Arial" w:cs="Arial"/>
          <w:b/>
          <w:bCs/>
          <w:sz w:val="20"/>
          <w:szCs w:val="20"/>
          <w:lang w:val="fr-CA"/>
        </w:rPr>
      </w:pPr>
      <w:bookmarkStart w:id="19" w:name="IB1"/>
      <w:bookmarkEnd w:id="19"/>
      <w:r>
        <w:rPr>
          <w:rFonts w:ascii="Arial" w:hAnsi="Arial" w:cs="Arial"/>
          <w:b/>
          <w:bCs/>
          <w:sz w:val="20"/>
          <w:szCs w:val="20"/>
          <w:lang w:val="fr-CA"/>
        </w:rPr>
        <w:t>Profil des dépenses prévues pour 2017-2018</w:t>
      </w:r>
    </w:p>
    <w:p w:rsidR="00362EC8" w:rsidRPr="00001E0D" w:rsidRDefault="00362EC8" w:rsidP="00362EC8">
      <w:pPr>
        <w:autoSpaceDE w:val="0"/>
        <w:autoSpaceDN w:val="0"/>
        <w:adjustRightInd w:val="0"/>
        <w:rPr>
          <w:rFonts w:ascii="Arial" w:hAnsi="Arial" w:cs="Arial"/>
          <w:sz w:val="20"/>
          <w:szCs w:val="20"/>
          <w:lang w:val="fr-CA"/>
        </w:rPr>
      </w:pPr>
      <w:r>
        <w:rPr>
          <w:rFonts w:ascii="Arial" w:hAnsi="Arial" w:cs="Arial"/>
          <w:sz w:val="20"/>
          <w:szCs w:val="20"/>
          <w:lang w:val="fr-CA"/>
        </w:rPr>
        <w:t>Pour</w:t>
      </w:r>
      <w:r w:rsidRPr="00001E0D">
        <w:rPr>
          <w:rFonts w:ascii="Arial" w:hAnsi="Arial" w:cs="Arial"/>
          <w:sz w:val="20"/>
          <w:szCs w:val="20"/>
          <w:lang w:val="fr-CA"/>
        </w:rPr>
        <w:t xml:space="preserve"> </w:t>
      </w:r>
      <w:r>
        <w:rPr>
          <w:rFonts w:ascii="Arial" w:hAnsi="Arial" w:cs="Arial"/>
          <w:sz w:val="20"/>
          <w:szCs w:val="20"/>
          <w:lang w:val="fr-CA"/>
        </w:rPr>
        <w:t>2017-2018</w:t>
      </w:r>
      <w:r w:rsidRPr="00001E0D">
        <w:rPr>
          <w:rFonts w:ascii="Arial" w:hAnsi="Arial" w:cs="Arial"/>
          <w:sz w:val="20"/>
          <w:szCs w:val="20"/>
          <w:lang w:val="fr-CA"/>
        </w:rPr>
        <w:t xml:space="preserve">, </w:t>
      </w:r>
      <w:r w:rsidRPr="0029098E">
        <w:rPr>
          <w:rFonts w:ascii="Arial" w:hAnsi="Arial" w:cs="Arial"/>
          <w:sz w:val="20"/>
          <w:szCs w:val="20"/>
          <w:lang w:val="fr-CA"/>
        </w:rPr>
        <w:t xml:space="preserve">EDSC a des dépenses </w:t>
      </w:r>
      <w:r>
        <w:rPr>
          <w:rFonts w:ascii="Arial" w:hAnsi="Arial" w:cs="Arial"/>
          <w:sz w:val="20"/>
          <w:szCs w:val="20"/>
          <w:lang w:val="fr-CA"/>
        </w:rPr>
        <w:t>budgétaires prévues de 128.3 milliards</w:t>
      </w:r>
      <w:r w:rsidRPr="00001E0D">
        <w:rPr>
          <w:rFonts w:ascii="Arial" w:hAnsi="Arial" w:cs="Arial"/>
          <w:sz w:val="20"/>
          <w:szCs w:val="20"/>
          <w:lang w:val="fr-CA"/>
        </w:rPr>
        <w:t xml:space="preserve">. </w:t>
      </w:r>
      <w:r>
        <w:rPr>
          <w:rFonts w:ascii="Arial" w:hAnsi="Arial" w:cs="Arial"/>
          <w:sz w:val="20"/>
          <w:szCs w:val="20"/>
          <w:lang w:val="fr-CA"/>
        </w:rPr>
        <w:t>De ce montant</w:t>
      </w:r>
      <w:r w:rsidRPr="00001E0D">
        <w:rPr>
          <w:rFonts w:ascii="Arial" w:hAnsi="Arial" w:cs="Arial"/>
          <w:sz w:val="20"/>
          <w:szCs w:val="20"/>
          <w:lang w:val="fr-CA"/>
        </w:rPr>
        <w:t xml:space="preserve">, </w:t>
      </w:r>
      <w:r>
        <w:rPr>
          <w:rFonts w:ascii="Arial" w:hAnsi="Arial" w:cs="Arial"/>
          <w:sz w:val="20"/>
          <w:szCs w:val="20"/>
          <w:lang w:val="fr-CA"/>
        </w:rPr>
        <w:t>122,4</w:t>
      </w:r>
      <w:r w:rsidRPr="00001E0D">
        <w:rPr>
          <w:rFonts w:ascii="Arial" w:hAnsi="Arial" w:cs="Arial"/>
          <w:sz w:val="20"/>
          <w:szCs w:val="20"/>
          <w:lang w:val="fr-CA"/>
        </w:rPr>
        <w:t xml:space="preserve"> </w:t>
      </w:r>
      <w:r>
        <w:rPr>
          <w:rFonts w:ascii="Arial" w:hAnsi="Arial" w:cs="Arial"/>
          <w:sz w:val="20"/>
          <w:szCs w:val="20"/>
          <w:lang w:val="fr-CA"/>
        </w:rPr>
        <w:t>milliards de dollars</w:t>
      </w:r>
      <w:r w:rsidRPr="00001E0D">
        <w:rPr>
          <w:rFonts w:ascii="Arial" w:hAnsi="Arial" w:cs="Arial"/>
          <w:sz w:val="20"/>
          <w:szCs w:val="20"/>
          <w:lang w:val="fr-CA"/>
        </w:rPr>
        <w:t xml:space="preserve">, </w:t>
      </w:r>
      <w:r w:rsidR="00C96B78">
        <w:rPr>
          <w:rFonts w:ascii="Arial" w:hAnsi="Arial" w:cs="Arial"/>
          <w:sz w:val="20"/>
          <w:szCs w:val="20"/>
          <w:lang w:val="fr-CA"/>
        </w:rPr>
        <w:t>ou</w:t>
      </w:r>
      <w:r w:rsidRPr="00001E0D">
        <w:rPr>
          <w:rFonts w:ascii="Arial" w:hAnsi="Arial" w:cs="Arial"/>
          <w:sz w:val="20"/>
          <w:szCs w:val="20"/>
          <w:lang w:val="fr-CA"/>
        </w:rPr>
        <w:t xml:space="preserve"> </w:t>
      </w:r>
      <w:r>
        <w:rPr>
          <w:rFonts w:ascii="Arial" w:hAnsi="Arial" w:cs="Arial"/>
          <w:sz w:val="20"/>
          <w:szCs w:val="20"/>
          <w:lang w:val="fr-CA"/>
        </w:rPr>
        <w:t>95</w:t>
      </w:r>
      <w:r w:rsidRPr="00001E0D">
        <w:rPr>
          <w:rFonts w:ascii="Arial" w:hAnsi="Arial" w:cs="Arial"/>
          <w:sz w:val="20"/>
          <w:szCs w:val="20"/>
          <w:lang w:val="fr-CA"/>
        </w:rPr>
        <w:t xml:space="preserve">%, </w:t>
      </w:r>
      <w:r w:rsidRPr="005B2E0C">
        <w:rPr>
          <w:rFonts w:ascii="Arial" w:hAnsi="Arial" w:cs="Arial"/>
          <w:sz w:val="20"/>
          <w:szCs w:val="20"/>
          <w:lang w:val="fr-CA"/>
        </w:rPr>
        <w:t xml:space="preserve">profiteront directement aux Canadiens par l’entremise des programmes de paiements de transfert prévus par la loi, notamment l’assurance-emploi, le RPC, , la Sécurité de la vieillesse (SV), ainsi que les </w:t>
      </w:r>
      <w:r w:rsidR="00C96B78">
        <w:rPr>
          <w:rFonts w:ascii="Arial" w:hAnsi="Arial" w:cs="Arial"/>
          <w:sz w:val="20"/>
          <w:szCs w:val="20"/>
          <w:lang w:val="fr-CA"/>
        </w:rPr>
        <w:t>P</w:t>
      </w:r>
      <w:r w:rsidRPr="005B2E0C">
        <w:rPr>
          <w:rFonts w:ascii="Arial" w:hAnsi="Arial" w:cs="Arial"/>
          <w:sz w:val="20"/>
          <w:szCs w:val="20"/>
          <w:lang w:val="fr-CA"/>
        </w:rPr>
        <w:t xml:space="preserve">rêts </w:t>
      </w:r>
      <w:r>
        <w:rPr>
          <w:rFonts w:ascii="Arial" w:hAnsi="Arial" w:cs="Arial"/>
          <w:sz w:val="20"/>
          <w:szCs w:val="20"/>
          <w:lang w:val="fr-CA"/>
        </w:rPr>
        <w:t>et subventions du Canada et le Programme canadien de prêts pour les apprentis.</w:t>
      </w:r>
      <w:r w:rsidRPr="00001E0D">
        <w:rPr>
          <w:rFonts w:ascii="Arial" w:hAnsi="Arial" w:cs="Arial"/>
          <w:sz w:val="20"/>
          <w:szCs w:val="20"/>
          <w:lang w:val="fr-CA"/>
        </w:rPr>
        <w:t xml:space="preserve">  </w:t>
      </w:r>
      <w:r>
        <w:rPr>
          <w:rFonts w:ascii="Arial" w:hAnsi="Arial" w:cs="Arial"/>
          <w:sz w:val="20"/>
          <w:szCs w:val="20"/>
          <w:lang w:val="fr-CA"/>
        </w:rPr>
        <w:t xml:space="preserve">Le </w:t>
      </w:r>
      <w:r w:rsidR="00B9516F">
        <w:rPr>
          <w:rFonts w:ascii="Arial" w:hAnsi="Arial" w:cs="Arial"/>
          <w:sz w:val="20"/>
          <w:szCs w:val="20"/>
          <w:lang w:val="fr-CA"/>
        </w:rPr>
        <w:t>ministère</w:t>
      </w:r>
      <w:r>
        <w:rPr>
          <w:rFonts w:ascii="Arial" w:hAnsi="Arial" w:cs="Arial"/>
          <w:sz w:val="20"/>
          <w:szCs w:val="20"/>
          <w:lang w:val="fr-CA"/>
        </w:rPr>
        <w:t xml:space="preserve"> a également des dépenses prévues de</w:t>
      </w:r>
      <w:r w:rsidRPr="00001E0D">
        <w:rPr>
          <w:rFonts w:ascii="Arial" w:hAnsi="Arial" w:cs="Arial"/>
          <w:sz w:val="20"/>
          <w:szCs w:val="20"/>
          <w:lang w:val="fr-CA"/>
        </w:rPr>
        <w:t xml:space="preserve"> 1</w:t>
      </w:r>
      <w:r>
        <w:rPr>
          <w:rFonts w:ascii="Arial" w:hAnsi="Arial" w:cs="Arial"/>
          <w:sz w:val="20"/>
          <w:szCs w:val="20"/>
          <w:lang w:val="fr-CA"/>
        </w:rPr>
        <w:t>,8</w:t>
      </w:r>
      <w:r w:rsidR="00C96B78">
        <w:rPr>
          <w:rFonts w:ascii="Arial" w:hAnsi="Arial" w:cs="Arial"/>
          <w:sz w:val="20"/>
          <w:szCs w:val="20"/>
          <w:lang w:val="fr-CA"/>
        </w:rPr>
        <w:t xml:space="preserve"> </w:t>
      </w:r>
      <w:r>
        <w:rPr>
          <w:rFonts w:ascii="Arial" w:hAnsi="Arial" w:cs="Arial"/>
          <w:sz w:val="20"/>
          <w:szCs w:val="20"/>
          <w:lang w:val="fr-CA"/>
        </w:rPr>
        <w:t>milliard de dollars</w:t>
      </w:r>
      <w:r w:rsidRPr="00001E0D">
        <w:rPr>
          <w:rFonts w:ascii="Arial" w:hAnsi="Arial" w:cs="Arial"/>
          <w:sz w:val="20"/>
          <w:szCs w:val="20"/>
          <w:lang w:val="fr-CA"/>
        </w:rPr>
        <w:t xml:space="preserve"> </w:t>
      </w:r>
      <w:r>
        <w:rPr>
          <w:rFonts w:ascii="Arial" w:hAnsi="Arial" w:cs="Arial"/>
          <w:sz w:val="20"/>
          <w:szCs w:val="20"/>
          <w:lang w:val="fr-CA"/>
        </w:rPr>
        <w:t>en S et C votées</w:t>
      </w:r>
      <w:r w:rsidRPr="00001E0D">
        <w:rPr>
          <w:rFonts w:ascii="Arial" w:hAnsi="Arial" w:cs="Arial"/>
          <w:sz w:val="20"/>
          <w:szCs w:val="20"/>
          <w:lang w:val="fr-CA"/>
        </w:rPr>
        <w:t xml:space="preserve"> </w:t>
      </w:r>
      <w:r>
        <w:rPr>
          <w:rFonts w:ascii="Arial" w:hAnsi="Arial" w:cs="Arial"/>
          <w:sz w:val="20"/>
          <w:szCs w:val="20"/>
          <w:lang w:val="fr-CA"/>
        </w:rPr>
        <w:t>et de</w:t>
      </w:r>
      <w:r w:rsidRPr="00001E0D">
        <w:rPr>
          <w:rFonts w:ascii="Arial" w:hAnsi="Arial" w:cs="Arial"/>
          <w:sz w:val="20"/>
          <w:szCs w:val="20"/>
          <w:lang w:val="fr-CA"/>
        </w:rPr>
        <w:t xml:space="preserve"> 2</w:t>
      </w:r>
      <w:r>
        <w:rPr>
          <w:rFonts w:ascii="Arial" w:hAnsi="Arial" w:cs="Arial"/>
          <w:sz w:val="20"/>
          <w:szCs w:val="20"/>
          <w:lang w:val="fr-CA"/>
        </w:rPr>
        <w:t>,</w:t>
      </w:r>
      <w:r w:rsidRPr="00001E0D">
        <w:rPr>
          <w:rFonts w:ascii="Arial" w:hAnsi="Arial" w:cs="Arial"/>
          <w:sz w:val="20"/>
          <w:szCs w:val="20"/>
          <w:lang w:val="fr-CA"/>
        </w:rPr>
        <w:t xml:space="preserve">1 </w:t>
      </w:r>
      <w:r>
        <w:rPr>
          <w:rFonts w:ascii="Arial" w:hAnsi="Arial" w:cs="Arial"/>
          <w:sz w:val="20"/>
          <w:szCs w:val="20"/>
          <w:lang w:val="fr-CA"/>
        </w:rPr>
        <w:t xml:space="preserve">milliards de dollars en vertu de la partie II de la </w:t>
      </w:r>
      <w:r w:rsidRPr="005B2E0C">
        <w:rPr>
          <w:rFonts w:ascii="Arial" w:hAnsi="Arial" w:cs="Arial"/>
          <w:i/>
          <w:sz w:val="20"/>
          <w:szCs w:val="20"/>
          <w:lang w:val="fr-CA"/>
        </w:rPr>
        <w:t>Loi sur l’assurance-emploi</w:t>
      </w:r>
      <w:r>
        <w:rPr>
          <w:rFonts w:ascii="Arial" w:hAnsi="Arial" w:cs="Arial"/>
          <w:sz w:val="20"/>
          <w:szCs w:val="20"/>
          <w:lang w:val="fr-CA"/>
        </w:rPr>
        <w:t>.</w:t>
      </w:r>
      <w:r w:rsidR="00C96B78">
        <w:rPr>
          <w:rFonts w:ascii="Arial" w:hAnsi="Arial" w:cs="Arial"/>
          <w:sz w:val="20"/>
          <w:szCs w:val="20"/>
          <w:lang w:val="fr-CA"/>
        </w:rPr>
        <w:t xml:space="preserve"> Le restant des budgets prévus sera dédié aux opérations ministérielles. </w:t>
      </w:r>
    </w:p>
    <w:p w:rsidR="00362EC8" w:rsidRPr="00001E0D" w:rsidRDefault="00362EC8" w:rsidP="00362EC8">
      <w:pPr>
        <w:tabs>
          <w:tab w:val="left" w:pos="8750"/>
        </w:tabs>
        <w:autoSpaceDE w:val="0"/>
        <w:autoSpaceDN w:val="0"/>
        <w:adjustRightInd w:val="0"/>
        <w:rPr>
          <w:rFonts w:ascii="Arial" w:hAnsi="Arial" w:cs="Arial"/>
          <w:sz w:val="20"/>
          <w:szCs w:val="20"/>
          <w:lang w:val="fr-CA"/>
        </w:rPr>
      </w:pPr>
      <w:r>
        <w:rPr>
          <w:rFonts w:ascii="Arial" w:hAnsi="Arial" w:cs="Arial"/>
          <w:sz w:val="20"/>
          <w:szCs w:val="20"/>
          <w:lang w:val="fr-CA"/>
        </w:rPr>
        <w:tab/>
      </w:r>
    </w:p>
    <w:p w:rsidR="00362EC8" w:rsidRPr="00001E0D" w:rsidRDefault="00362EC8" w:rsidP="00362EC8">
      <w:pPr>
        <w:autoSpaceDE w:val="0"/>
        <w:autoSpaceDN w:val="0"/>
        <w:adjustRightInd w:val="0"/>
        <w:rPr>
          <w:rFonts w:ascii="Arial" w:hAnsi="Arial" w:cs="Arial"/>
          <w:sz w:val="20"/>
          <w:szCs w:val="20"/>
          <w:lang w:val="fr-CA"/>
        </w:rPr>
      </w:pPr>
    </w:p>
    <w:p w:rsidR="00362EC8" w:rsidRPr="00001E0D" w:rsidRDefault="00362EC8" w:rsidP="00362EC8">
      <w:pPr>
        <w:pStyle w:val="Heading3"/>
        <w:rPr>
          <w:lang w:val="fr-CA"/>
        </w:rPr>
      </w:pPr>
      <w:bookmarkStart w:id="20" w:name="_Toc485812699"/>
      <w:r w:rsidRPr="00001E0D">
        <w:rPr>
          <w:lang w:val="fr-CA"/>
        </w:rPr>
        <w:lastRenderedPageBreak/>
        <w:t xml:space="preserve">1.2.1. </w:t>
      </w:r>
      <w:r>
        <w:rPr>
          <w:lang w:val="fr-CA"/>
        </w:rPr>
        <w:t>Comptes à fins déterminées</w:t>
      </w:r>
      <w:r w:rsidRPr="00001E0D">
        <w:rPr>
          <w:lang w:val="fr-CA"/>
        </w:rPr>
        <w:t xml:space="preserve"> (</w:t>
      </w:r>
      <w:r>
        <w:rPr>
          <w:lang w:val="fr-CA"/>
        </w:rPr>
        <w:t>CFD</w:t>
      </w:r>
      <w:r w:rsidRPr="00001E0D">
        <w:rPr>
          <w:lang w:val="fr-CA"/>
        </w:rPr>
        <w:t>)</w:t>
      </w:r>
      <w:bookmarkEnd w:id="20"/>
    </w:p>
    <w:p w:rsidR="00362EC8" w:rsidRPr="00001E0D" w:rsidRDefault="00362EC8" w:rsidP="00362EC8">
      <w:pPr>
        <w:rPr>
          <w:rFonts w:ascii="Arial" w:hAnsi="Arial" w:cs="Arial"/>
          <w:sz w:val="20"/>
          <w:szCs w:val="20"/>
          <w:lang w:val="fr-CA"/>
        </w:rPr>
      </w:pPr>
    </w:p>
    <w:p w:rsidR="00362EC8" w:rsidRPr="00001E0D" w:rsidRDefault="00362EC8" w:rsidP="00362EC8">
      <w:pPr>
        <w:rPr>
          <w:rFonts w:ascii="Arial" w:hAnsi="Arial" w:cs="Arial"/>
          <w:sz w:val="20"/>
          <w:szCs w:val="20"/>
          <w:lang w:val="fr-CA"/>
        </w:rPr>
      </w:pPr>
      <w:r w:rsidRPr="007C6AC8">
        <w:rPr>
          <w:rFonts w:ascii="Arial" w:hAnsi="Arial" w:cs="Arial"/>
          <w:sz w:val="20"/>
          <w:szCs w:val="20"/>
          <w:lang w:val="fr-CA"/>
        </w:rPr>
        <w:t xml:space="preserve">Les comptes à fins déterminées (CFD) sont des catégories particulières de recettes et de dépenses. Ils font état des opérations de certains comptes à l’égard desquels les lois habilitantes prescrivent que les recettes doivent être affectées à une fin particulière et que les paiements et dépenses connexes doivent être déduits de ces recettes. Les opérations de ces comptes sont comptabilisées séparément. EDSC est responsable de l’administration de </w:t>
      </w:r>
      <w:r>
        <w:rPr>
          <w:rFonts w:ascii="Arial" w:hAnsi="Arial" w:cs="Arial"/>
          <w:sz w:val="20"/>
          <w:szCs w:val="20"/>
          <w:lang w:val="fr-CA"/>
        </w:rPr>
        <w:t>quatre</w:t>
      </w:r>
      <w:r w:rsidRPr="007C6AC8">
        <w:rPr>
          <w:rFonts w:ascii="Arial" w:hAnsi="Arial" w:cs="Arial"/>
          <w:sz w:val="20"/>
          <w:szCs w:val="20"/>
          <w:lang w:val="fr-CA"/>
        </w:rPr>
        <w:t xml:space="preserve"> de ces comptes</w:t>
      </w:r>
      <w:r>
        <w:rPr>
          <w:rFonts w:ascii="Arial" w:hAnsi="Arial" w:cs="Arial"/>
          <w:sz w:val="20"/>
          <w:szCs w:val="20"/>
          <w:lang w:val="fr-CA"/>
        </w:rPr>
        <w:t> </w:t>
      </w:r>
      <w:r w:rsidRPr="00001E0D">
        <w:rPr>
          <w:rFonts w:ascii="Arial" w:hAnsi="Arial" w:cs="Arial"/>
          <w:sz w:val="20"/>
          <w:szCs w:val="20"/>
          <w:lang w:val="fr-CA"/>
        </w:rPr>
        <w:t>:</w:t>
      </w:r>
    </w:p>
    <w:p w:rsidR="00362EC8" w:rsidRPr="00001E0D" w:rsidRDefault="00362EC8" w:rsidP="00362EC8">
      <w:pPr>
        <w:rPr>
          <w:rFonts w:ascii="Arial" w:hAnsi="Arial" w:cs="Arial"/>
          <w:sz w:val="20"/>
          <w:szCs w:val="20"/>
          <w:lang w:val="fr-CA"/>
        </w:rPr>
      </w:pPr>
    </w:p>
    <w:p w:rsidR="00362EC8" w:rsidRPr="00001E0D" w:rsidRDefault="00362EC8" w:rsidP="00362EC8">
      <w:pPr>
        <w:pStyle w:val="Heading4"/>
        <w:ind w:left="630"/>
        <w:rPr>
          <w:lang w:val="fr-CA"/>
        </w:rPr>
      </w:pPr>
      <w:bookmarkStart w:id="21" w:name="_Toc485812700"/>
      <w:r w:rsidRPr="00001E0D">
        <w:rPr>
          <w:lang w:val="fr-CA"/>
        </w:rPr>
        <w:t xml:space="preserve">1.2.1.1. </w:t>
      </w:r>
      <w:r>
        <w:rPr>
          <w:lang w:val="fr-CA"/>
        </w:rPr>
        <w:t>Compte des opérations de l’assurance-emploi</w:t>
      </w:r>
      <w:bookmarkEnd w:id="21"/>
    </w:p>
    <w:p w:rsidR="00362EC8" w:rsidRPr="00001E0D" w:rsidRDefault="00362EC8" w:rsidP="00362EC8">
      <w:pPr>
        <w:ind w:left="630"/>
        <w:rPr>
          <w:rFonts w:ascii="Arial" w:hAnsi="Arial" w:cs="Arial"/>
          <w:sz w:val="20"/>
          <w:szCs w:val="20"/>
          <w:lang w:val="fr-CA"/>
        </w:rPr>
      </w:pPr>
    </w:p>
    <w:p w:rsidR="00362EC8" w:rsidRPr="00001E0D" w:rsidRDefault="00362EC8" w:rsidP="00362EC8">
      <w:pPr>
        <w:ind w:left="630"/>
        <w:rPr>
          <w:rFonts w:ascii="Arial" w:hAnsi="Arial" w:cs="Arial"/>
          <w:sz w:val="20"/>
          <w:szCs w:val="20"/>
          <w:lang w:val="fr-CA"/>
        </w:rPr>
      </w:pPr>
      <w:r w:rsidRPr="00D546EA">
        <w:rPr>
          <w:rFonts w:ascii="Arial" w:hAnsi="Arial" w:cs="Arial"/>
          <w:sz w:val="20"/>
          <w:szCs w:val="20"/>
          <w:lang w:val="fr-CA"/>
        </w:rPr>
        <w:t>Le Compte des opérations de l’assurance-emploi est un CFD consolidé, ce qui signifie qu’il figure dans les rapports financiers du gouvernement du Canada. Les CFD consolidés sont utilisés principalement lorsque les activités sont de nature semblable à celle des activités ministérielles et que les opérations ne représentent pas des dettes envers des tiers, mais constituent essentiellement des recettes et des dépenses du gouvernement. Bien que le Compte des opérations de l’assurance-emploi soit considéré comme une entité indépendante, EDSC est responsable de son administration</w:t>
      </w:r>
      <w:r>
        <w:rPr>
          <w:rFonts w:ascii="Arial" w:hAnsi="Arial" w:cs="Arial"/>
          <w:sz w:val="20"/>
          <w:szCs w:val="20"/>
          <w:lang w:val="fr-CA"/>
        </w:rPr>
        <w:t>.</w:t>
      </w:r>
    </w:p>
    <w:p w:rsidR="00362EC8" w:rsidRPr="00001E0D" w:rsidRDefault="00362EC8" w:rsidP="00362EC8">
      <w:pPr>
        <w:ind w:left="630"/>
        <w:rPr>
          <w:rFonts w:ascii="Arial" w:hAnsi="Arial" w:cs="Arial"/>
          <w:sz w:val="20"/>
          <w:szCs w:val="20"/>
          <w:lang w:val="fr-CA"/>
        </w:rPr>
      </w:pPr>
    </w:p>
    <w:p w:rsidR="00362EC8" w:rsidRPr="00001E0D" w:rsidRDefault="00362EC8" w:rsidP="00362EC8">
      <w:pPr>
        <w:ind w:left="630"/>
        <w:rPr>
          <w:rFonts w:ascii="Arial" w:hAnsi="Arial" w:cs="Arial"/>
          <w:sz w:val="20"/>
          <w:szCs w:val="20"/>
          <w:lang w:val="fr-CA"/>
        </w:rPr>
      </w:pPr>
      <w:r w:rsidRPr="00D546EA">
        <w:rPr>
          <w:rFonts w:ascii="Arial" w:hAnsi="Arial" w:cs="Arial"/>
          <w:sz w:val="20"/>
          <w:szCs w:val="20"/>
          <w:lang w:val="fr-CA"/>
        </w:rPr>
        <w:t xml:space="preserve">L’article 77 de la Loi sur l’assurance-emploi prescrit que les frais d’administration de la Loi doivent être portés au débit du Compte des opérations de l’assurance-emploi. Les frais engagés par le </w:t>
      </w:r>
      <w:r w:rsidR="00A65707">
        <w:rPr>
          <w:rFonts w:ascii="Arial" w:hAnsi="Arial" w:cs="Arial"/>
          <w:sz w:val="20"/>
          <w:szCs w:val="20"/>
          <w:lang w:val="fr-CA"/>
        </w:rPr>
        <w:t>ministère</w:t>
      </w:r>
      <w:r w:rsidRPr="00D546EA">
        <w:rPr>
          <w:rFonts w:ascii="Arial" w:hAnsi="Arial" w:cs="Arial"/>
          <w:sz w:val="20"/>
          <w:szCs w:val="20"/>
          <w:lang w:val="fr-CA"/>
        </w:rPr>
        <w:t xml:space="preserve"> pour l’application de la Loi sont recouvrables du Compte selon la méthode de calcul des coûts approuvée par le CT</w:t>
      </w:r>
      <w:r w:rsidRPr="00001E0D">
        <w:rPr>
          <w:rFonts w:ascii="Arial" w:hAnsi="Arial" w:cs="Arial"/>
          <w:sz w:val="20"/>
          <w:szCs w:val="20"/>
          <w:lang w:val="fr-CA"/>
        </w:rPr>
        <w:t>.</w:t>
      </w:r>
    </w:p>
    <w:p w:rsidR="00362EC8" w:rsidRPr="00001E0D" w:rsidRDefault="00362EC8" w:rsidP="00362EC8">
      <w:pPr>
        <w:ind w:left="630"/>
        <w:rPr>
          <w:rFonts w:ascii="Arial" w:hAnsi="Arial" w:cs="Arial"/>
          <w:sz w:val="20"/>
          <w:szCs w:val="20"/>
          <w:lang w:val="fr-CA"/>
        </w:rPr>
      </w:pPr>
    </w:p>
    <w:p w:rsidR="00362EC8" w:rsidRPr="00001E0D" w:rsidRDefault="00362EC8" w:rsidP="00362EC8">
      <w:pPr>
        <w:pStyle w:val="Heading4"/>
        <w:ind w:left="630"/>
        <w:rPr>
          <w:lang w:val="fr-CA"/>
        </w:rPr>
      </w:pPr>
      <w:bookmarkStart w:id="22" w:name="_Toc485812701"/>
      <w:r w:rsidRPr="00001E0D">
        <w:rPr>
          <w:lang w:val="fr-CA"/>
        </w:rPr>
        <w:t xml:space="preserve">1.2.1.2. </w:t>
      </w:r>
      <w:r>
        <w:rPr>
          <w:lang w:val="fr-CA"/>
        </w:rPr>
        <w:t>Régime de pensions du Canada</w:t>
      </w:r>
      <w:r w:rsidRPr="00001E0D">
        <w:rPr>
          <w:lang w:val="fr-CA"/>
        </w:rPr>
        <w:t xml:space="preserve"> (</w:t>
      </w:r>
      <w:r>
        <w:rPr>
          <w:lang w:val="fr-CA"/>
        </w:rPr>
        <w:t>RPC</w:t>
      </w:r>
      <w:r w:rsidRPr="00001E0D">
        <w:rPr>
          <w:lang w:val="fr-CA"/>
        </w:rPr>
        <w:t>)</w:t>
      </w:r>
      <w:bookmarkEnd w:id="22"/>
      <w:r w:rsidRPr="00001E0D">
        <w:rPr>
          <w:lang w:val="fr-CA"/>
        </w:rPr>
        <w:t xml:space="preserve"> </w:t>
      </w:r>
    </w:p>
    <w:p w:rsidR="00362EC8" w:rsidRPr="00001E0D" w:rsidRDefault="00362EC8" w:rsidP="00362EC8">
      <w:pPr>
        <w:ind w:left="630"/>
        <w:rPr>
          <w:rFonts w:ascii="Arial" w:hAnsi="Arial" w:cs="Arial"/>
          <w:sz w:val="20"/>
          <w:szCs w:val="20"/>
          <w:lang w:val="fr-CA"/>
        </w:rPr>
      </w:pPr>
    </w:p>
    <w:p w:rsidR="00362EC8" w:rsidRPr="00001E0D" w:rsidRDefault="00362EC8" w:rsidP="00362EC8">
      <w:pPr>
        <w:ind w:left="630"/>
        <w:rPr>
          <w:rFonts w:ascii="Arial" w:hAnsi="Arial" w:cs="Arial"/>
          <w:sz w:val="20"/>
          <w:szCs w:val="20"/>
          <w:lang w:val="fr-CA"/>
        </w:rPr>
      </w:pPr>
      <w:r w:rsidRPr="00D546EA">
        <w:rPr>
          <w:rFonts w:ascii="Arial" w:hAnsi="Arial" w:cs="Arial"/>
          <w:sz w:val="20"/>
          <w:szCs w:val="20"/>
          <w:lang w:val="fr-CA"/>
        </w:rPr>
        <w:t>Le Régime de pensions du Canada (RPC) est un CFD, mais il n’est pas consolidé et ne figure pas dans les états financiers du gouvernement du Canada. Il fait l’objet d’un contrôle conjoint de la part du gouvernement et des provinces participantes. Le pouvoir de dépenser du gouvernement, à titre d’administrateur, se limite au solde du Régime</w:t>
      </w:r>
      <w:r w:rsidRPr="00001E0D">
        <w:rPr>
          <w:rFonts w:ascii="Arial" w:hAnsi="Arial" w:cs="Arial"/>
          <w:sz w:val="20"/>
          <w:szCs w:val="20"/>
          <w:lang w:val="fr-CA"/>
        </w:rPr>
        <w:t>.</w:t>
      </w:r>
    </w:p>
    <w:p w:rsidR="00362EC8" w:rsidRPr="00001E0D" w:rsidRDefault="00362EC8" w:rsidP="00362EC8">
      <w:pPr>
        <w:ind w:left="630"/>
        <w:rPr>
          <w:rFonts w:ascii="Arial" w:hAnsi="Arial" w:cs="Arial"/>
          <w:sz w:val="20"/>
          <w:szCs w:val="20"/>
          <w:lang w:val="fr-CA"/>
        </w:rPr>
      </w:pPr>
    </w:p>
    <w:p w:rsidR="00362EC8" w:rsidRDefault="00362EC8" w:rsidP="00362EC8">
      <w:pPr>
        <w:ind w:left="630"/>
        <w:rPr>
          <w:rFonts w:ascii="Arial" w:hAnsi="Arial" w:cs="Arial"/>
          <w:sz w:val="20"/>
          <w:szCs w:val="20"/>
          <w:lang w:val="fr-CA"/>
        </w:rPr>
      </w:pPr>
      <w:r w:rsidRPr="002C6AAF">
        <w:rPr>
          <w:rFonts w:ascii="Arial" w:hAnsi="Arial" w:cs="Arial"/>
          <w:sz w:val="20"/>
          <w:szCs w:val="20"/>
          <w:lang w:val="fr-CA"/>
        </w:rPr>
        <w:t xml:space="preserve">EDSC, Finances Canada, l’Agence du revenu du Canada (ARC), Services </w:t>
      </w:r>
      <w:r>
        <w:rPr>
          <w:rFonts w:ascii="Arial" w:hAnsi="Arial" w:cs="Arial"/>
          <w:sz w:val="20"/>
          <w:szCs w:val="20"/>
          <w:lang w:val="fr-CA"/>
        </w:rPr>
        <w:t xml:space="preserve">publics et approvisionnement </w:t>
      </w:r>
      <w:r w:rsidRPr="002C6AAF">
        <w:rPr>
          <w:rFonts w:ascii="Arial" w:hAnsi="Arial" w:cs="Arial"/>
          <w:sz w:val="20"/>
          <w:szCs w:val="20"/>
          <w:lang w:val="fr-CA"/>
        </w:rPr>
        <w:t>Canada (</w:t>
      </w:r>
      <w:r>
        <w:rPr>
          <w:rFonts w:ascii="Arial" w:hAnsi="Arial" w:cs="Arial"/>
          <w:sz w:val="20"/>
          <w:szCs w:val="20"/>
          <w:lang w:val="fr-CA"/>
        </w:rPr>
        <w:t>SPAC</w:t>
      </w:r>
      <w:r w:rsidRPr="002C6AAF">
        <w:rPr>
          <w:rFonts w:ascii="Arial" w:hAnsi="Arial" w:cs="Arial"/>
          <w:sz w:val="20"/>
          <w:szCs w:val="20"/>
          <w:lang w:val="fr-CA"/>
        </w:rPr>
        <w:t>), la Gendarmerie royale du Canada (GRC)</w:t>
      </w:r>
      <w:r>
        <w:rPr>
          <w:rFonts w:ascii="Arial" w:hAnsi="Arial" w:cs="Arial"/>
          <w:sz w:val="20"/>
          <w:szCs w:val="20"/>
          <w:lang w:val="fr-CA"/>
        </w:rPr>
        <w:t>, le Service canadien d’appui aux tribunaux administratifs</w:t>
      </w:r>
      <w:r w:rsidRPr="002C6AAF">
        <w:rPr>
          <w:rFonts w:ascii="Arial" w:hAnsi="Arial" w:cs="Arial"/>
          <w:sz w:val="20"/>
          <w:szCs w:val="20"/>
          <w:lang w:val="fr-CA"/>
        </w:rPr>
        <w:t xml:space="preserve"> et le Bureau du surintendant des institutions financières (BSIF) fournissent les services qui appuient la gestion et l’exécution du RPC. Les frais engagés par ces </w:t>
      </w:r>
      <w:r w:rsidR="00B9516F">
        <w:rPr>
          <w:rFonts w:ascii="Arial" w:hAnsi="Arial" w:cs="Arial"/>
          <w:sz w:val="20"/>
          <w:szCs w:val="20"/>
          <w:lang w:val="fr-CA"/>
        </w:rPr>
        <w:t>ministère</w:t>
      </w:r>
      <w:r w:rsidRPr="002C6AAF">
        <w:rPr>
          <w:rFonts w:ascii="Arial" w:hAnsi="Arial" w:cs="Arial"/>
          <w:sz w:val="20"/>
          <w:szCs w:val="20"/>
          <w:lang w:val="fr-CA"/>
        </w:rPr>
        <w:t xml:space="preserve">s et organismes pour l’administration du Régime sont recouvrables du Compte, conformément aux principes </w:t>
      </w:r>
      <w:r>
        <w:rPr>
          <w:rFonts w:ascii="Arial" w:hAnsi="Arial" w:cs="Arial"/>
          <w:sz w:val="20"/>
          <w:szCs w:val="20"/>
          <w:lang w:val="fr-CA"/>
        </w:rPr>
        <w:t xml:space="preserve">suivants </w:t>
      </w:r>
      <w:r w:rsidRPr="002C6AAF">
        <w:rPr>
          <w:rFonts w:ascii="Arial" w:hAnsi="Arial" w:cs="Arial"/>
          <w:sz w:val="20"/>
          <w:szCs w:val="20"/>
          <w:lang w:val="fr-CA"/>
        </w:rPr>
        <w:t>de calcul des coûts approuvés par le CT</w:t>
      </w:r>
      <w:r>
        <w:rPr>
          <w:rFonts w:ascii="Arial" w:hAnsi="Arial" w:cs="Arial"/>
          <w:sz w:val="20"/>
          <w:szCs w:val="20"/>
          <w:lang w:val="fr-CA"/>
        </w:rPr>
        <w:t> :</w:t>
      </w:r>
    </w:p>
    <w:p w:rsidR="00362EC8" w:rsidRDefault="00362EC8" w:rsidP="00362EC8">
      <w:pPr>
        <w:pStyle w:val="ListParagraph"/>
        <w:numPr>
          <w:ilvl w:val="0"/>
          <w:numId w:val="5"/>
        </w:numPr>
        <w:rPr>
          <w:rFonts w:ascii="Arial" w:hAnsi="Arial" w:cs="Arial"/>
          <w:sz w:val="20"/>
          <w:szCs w:val="20"/>
          <w:lang w:val="fr-CA"/>
        </w:rPr>
      </w:pPr>
      <w:r>
        <w:rPr>
          <w:rFonts w:ascii="Arial" w:hAnsi="Arial" w:cs="Arial"/>
          <w:sz w:val="20"/>
          <w:szCs w:val="20"/>
          <w:lang w:val="fr-CA"/>
        </w:rPr>
        <w:t>tous les coûts facturés au RPC doivent être « directement » attribuables et traçables;</w:t>
      </w:r>
    </w:p>
    <w:p w:rsidR="00362EC8" w:rsidRDefault="00362EC8" w:rsidP="00362EC8">
      <w:pPr>
        <w:pStyle w:val="ListParagraph"/>
        <w:numPr>
          <w:ilvl w:val="0"/>
          <w:numId w:val="5"/>
        </w:numPr>
        <w:rPr>
          <w:rFonts w:ascii="Arial" w:hAnsi="Arial" w:cs="Arial"/>
          <w:sz w:val="20"/>
          <w:szCs w:val="20"/>
          <w:lang w:val="fr-CA"/>
        </w:rPr>
      </w:pPr>
      <w:r>
        <w:rPr>
          <w:rFonts w:ascii="Arial" w:hAnsi="Arial" w:cs="Arial"/>
          <w:sz w:val="20"/>
          <w:szCs w:val="20"/>
          <w:lang w:val="fr-CA"/>
        </w:rPr>
        <w:t>tous les coûts identifiables « indirectement » ayant une relation causale devraient être imputés au RPC;</w:t>
      </w:r>
    </w:p>
    <w:p w:rsidR="00362EC8" w:rsidRDefault="00362EC8" w:rsidP="00362EC8">
      <w:pPr>
        <w:pStyle w:val="ListParagraph"/>
        <w:numPr>
          <w:ilvl w:val="0"/>
          <w:numId w:val="5"/>
        </w:numPr>
        <w:rPr>
          <w:rFonts w:ascii="Arial" w:hAnsi="Arial" w:cs="Arial"/>
          <w:sz w:val="20"/>
          <w:szCs w:val="20"/>
          <w:lang w:val="fr-CA"/>
        </w:rPr>
      </w:pPr>
      <w:r>
        <w:rPr>
          <w:rFonts w:ascii="Arial" w:hAnsi="Arial" w:cs="Arial"/>
          <w:sz w:val="20"/>
          <w:szCs w:val="20"/>
          <w:lang w:val="fr-CA"/>
        </w:rPr>
        <w:t>Des vérificateurs externes indépendants seront requis chaque année pour examiner les coûts administratifs facturés au compte du RPC.</w:t>
      </w:r>
    </w:p>
    <w:p w:rsidR="00362EC8" w:rsidRPr="00F6757A" w:rsidRDefault="00362EC8" w:rsidP="00362EC8">
      <w:pPr>
        <w:pStyle w:val="ListParagraph"/>
        <w:numPr>
          <w:ilvl w:val="0"/>
          <w:numId w:val="5"/>
        </w:numPr>
        <w:rPr>
          <w:rFonts w:ascii="Arial" w:hAnsi="Arial" w:cs="Arial"/>
          <w:sz w:val="20"/>
          <w:szCs w:val="20"/>
          <w:lang w:val="fr-CA"/>
        </w:rPr>
      </w:pPr>
      <w:r>
        <w:rPr>
          <w:rFonts w:ascii="Arial" w:hAnsi="Arial" w:cs="Arial"/>
          <w:sz w:val="20"/>
          <w:szCs w:val="20"/>
          <w:lang w:val="fr-CA"/>
        </w:rPr>
        <w:t xml:space="preserve">Le RPC et les </w:t>
      </w:r>
      <w:r w:rsidR="00B9516F">
        <w:rPr>
          <w:rFonts w:ascii="Arial" w:hAnsi="Arial" w:cs="Arial"/>
          <w:sz w:val="20"/>
          <w:szCs w:val="20"/>
          <w:lang w:val="fr-CA"/>
        </w:rPr>
        <w:t>ministère</w:t>
      </w:r>
      <w:r>
        <w:rPr>
          <w:rFonts w:ascii="Arial" w:hAnsi="Arial" w:cs="Arial"/>
          <w:sz w:val="20"/>
          <w:szCs w:val="20"/>
          <w:lang w:val="fr-CA"/>
        </w:rPr>
        <w:t>s participants doivent conclure des protocoles d’entente pour s’assurer de l’application des critères et des principes d’établissement des coûts pour recouvrer les coûts.</w:t>
      </w:r>
    </w:p>
    <w:p w:rsidR="00362EC8" w:rsidRPr="00001E0D" w:rsidRDefault="00362EC8" w:rsidP="00362EC8">
      <w:pPr>
        <w:ind w:left="630"/>
        <w:rPr>
          <w:rFonts w:ascii="Arial" w:hAnsi="Arial" w:cs="Arial"/>
          <w:sz w:val="20"/>
          <w:szCs w:val="20"/>
          <w:lang w:val="fr-CA"/>
        </w:rPr>
      </w:pPr>
    </w:p>
    <w:p w:rsidR="00362EC8" w:rsidRPr="00001E0D" w:rsidRDefault="00362EC8" w:rsidP="00362EC8">
      <w:pPr>
        <w:pStyle w:val="Heading4"/>
        <w:ind w:left="630"/>
        <w:rPr>
          <w:lang w:val="fr-CA"/>
        </w:rPr>
      </w:pPr>
      <w:bookmarkStart w:id="23" w:name="_Toc485812702"/>
      <w:r w:rsidRPr="00001E0D">
        <w:rPr>
          <w:lang w:val="fr-CA"/>
        </w:rPr>
        <w:t xml:space="preserve">1.2.1.3. </w:t>
      </w:r>
      <w:r>
        <w:rPr>
          <w:lang w:val="fr-CA"/>
        </w:rPr>
        <w:t>Compte des rentes sur l’État</w:t>
      </w:r>
      <w:bookmarkEnd w:id="23"/>
    </w:p>
    <w:p w:rsidR="00362EC8" w:rsidRPr="00001E0D" w:rsidRDefault="00362EC8" w:rsidP="00362EC8">
      <w:pPr>
        <w:ind w:left="630"/>
        <w:rPr>
          <w:rFonts w:ascii="Arial" w:hAnsi="Arial" w:cs="Arial"/>
          <w:sz w:val="20"/>
          <w:szCs w:val="20"/>
          <w:lang w:val="fr-CA"/>
        </w:rPr>
      </w:pPr>
    </w:p>
    <w:p w:rsidR="00362EC8" w:rsidRPr="00001E0D" w:rsidRDefault="00362EC8" w:rsidP="00362EC8">
      <w:pPr>
        <w:ind w:left="630"/>
        <w:rPr>
          <w:rFonts w:ascii="Arial" w:hAnsi="Arial" w:cs="Arial"/>
          <w:sz w:val="20"/>
          <w:szCs w:val="20"/>
          <w:lang w:val="fr-CA"/>
        </w:rPr>
      </w:pPr>
      <w:r w:rsidRPr="002C6AAF">
        <w:rPr>
          <w:rFonts w:ascii="Arial" w:hAnsi="Arial" w:cs="Arial"/>
          <w:sz w:val="20"/>
          <w:szCs w:val="20"/>
          <w:lang w:val="fr-CA"/>
        </w:rPr>
        <w:t xml:space="preserve">Le Compte des rentes sur l’État est un CFD consolidé qui figure dans les rapports financiers du gouvernement du Canada. Il a été établi en vertu de la </w:t>
      </w:r>
      <w:r w:rsidRPr="002C6AAF">
        <w:rPr>
          <w:rFonts w:ascii="Arial" w:hAnsi="Arial" w:cs="Arial"/>
          <w:i/>
          <w:sz w:val="20"/>
          <w:szCs w:val="20"/>
          <w:lang w:val="fr-CA"/>
        </w:rPr>
        <w:t>Loi relative aux rentes sur l’État</w:t>
      </w:r>
      <w:r w:rsidRPr="002C6AAF">
        <w:rPr>
          <w:rFonts w:ascii="Arial" w:hAnsi="Arial" w:cs="Arial"/>
          <w:sz w:val="20"/>
          <w:szCs w:val="20"/>
          <w:lang w:val="fr-CA"/>
        </w:rPr>
        <w:t xml:space="preserve"> et modifié par la</w:t>
      </w:r>
      <w:r>
        <w:rPr>
          <w:rFonts w:ascii="Arial" w:hAnsi="Arial" w:cs="Arial"/>
          <w:sz w:val="20"/>
          <w:szCs w:val="20"/>
          <w:lang w:val="fr-CA"/>
        </w:rPr>
        <w:t xml:space="preserve"> </w:t>
      </w:r>
      <w:r w:rsidRPr="002C6AAF">
        <w:rPr>
          <w:rFonts w:ascii="Arial" w:hAnsi="Arial" w:cs="Arial"/>
          <w:i/>
          <w:sz w:val="20"/>
          <w:szCs w:val="20"/>
          <w:lang w:val="fr-CA"/>
        </w:rPr>
        <w:t>Loi sur l’augmentation du rendement des rentes sur l’État</w:t>
      </w:r>
      <w:r w:rsidRPr="002C6AAF">
        <w:rPr>
          <w:rFonts w:ascii="Arial" w:hAnsi="Arial" w:cs="Arial"/>
          <w:sz w:val="20"/>
          <w:szCs w:val="20"/>
          <w:lang w:val="fr-CA"/>
        </w:rPr>
        <w:t>, qui a mis fin aux ventes de rentes en 1975. Le Compte est évalué chaque année sur une base actuarielle, et les déficits ou les excédents sont portés au débit ou au crédit du Trésor</w:t>
      </w:r>
      <w:r>
        <w:rPr>
          <w:rFonts w:ascii="Arial" w:hAnsi="Arial" w:cs="Arial"/>
          <w:sz w:val="20"/>
          <w:szCs w:val="20"/>
          <w:lang w:val="fr-CA"/>
        </w:rPr>
        <w:t>.</w:t>
      </w:r>
    </w:p>
    <w:p w:rsidR="00362EC8" w:rsidRPr="00001E0D" w:rsidRDefault="00362EC8" w:rsidP="00362EC8">
      <w:pPr>
        <w:ind w:left="630"/>
        <w:rPr>
          <w:rFonts w:ascii="Arial" w:hAnsi="Arial" w:cs="Arial"/>
          <w:sz w:val="20"/>
          <w:szCs w:val="20"/>
          <w:lang w:val="fr-CA"/>
        </w:rPr>
      </w:pPr>
    </w:p>
    <w:p w:rsidR="00362EC8" w:rsidRDefault="00362EC8" w:rsidP="00362EC8">
      <w:pPr>
        <w:ind w:left="630"/>
        <w:rPr>
          <w:rFonts w:ascii="Arial" w:hAnsi="Arial" w:cs="Arial"/>
          <w:sz w:val="20"/>
          <w:szCs w:val="20"/>
          <w:lang w:val="fr-CA"/>
        </w:rPr>
      </w:pPr>
    </w:p>
    <w:p w:rsidR="00711C36" w:rsidRPr="00001E0D" w:rsidRDefault="00711C36" w:rsidP="00362EC8">
      <w:pPr>
        <w:ind w:left="630"/>
        <w:rPr>
          <w:rFonts w:ascii="Arial" w:hAnsi="Arial" w:cs="Arial"/>
          <w:sz w:val="20"/>
          <w:szCs w:val="20"/>
          <w:lang w:val="fr-CA"/>
        </w:rPr>
      </w:pPr>
    </w:p>
    <w:p w:rsidR="00362EC8" w:rsidRPr="00001E0D" w:rsidRDefault="00362EC8" w:rsidP="00362EC8">
      <w:pPr>
        <w:pStyle w:val="Heading4"/>
        <w:ind w:left="630"/>
        <w:rPr>
          <w:lang w:val="fr-CA"/>
        </w:rPr>
      </w:pPr>
      <w:bookmarkStart w:id="24" w:name="_Toc485812703"/>
      <w:r w:rsidRPr="00001E0D">
        <w:rPr>
          <w:lang w:val="fr-CA"/>
        </w:rPr>
        <w:lastRenderedPageBreak/>
        <w:t xml:space="preserve">1.2.1.4. </w:t>
      </w:r>
      <w:r>
        <w:rPr>
          <w:lang w:val="fr-CA"/>
        </w:rPr>
        <w:t>Fonds d’assurance du service civil</w:t>
      </w:r>
      <w:bookmarkEnd w:id="24"/>
    </w:p>
    <w:p w:rsidR="00362EC8" w:rsidRPr="00001E0D" w:rsidRDefault="00362EC8" w:rsidP="00362EC8">
      <w:pPr>
        <w:ind w:left="630"/>
        <w:rPr>
          <w:rFonts w:ascii="Arial" w:hAnsi="Arial" w:cs="Arial"/>
          <w:sz w:val="20"/>
          <w:szCs w:val="20"/>
          <w:lang w:val="fr-CA"/>
        </w:rPr>
      </w:pPr>
    </w:p>
    <w:p w:rsidR="00362EC8" w:rsidRPr="00001E0D" w:rsidRDefault="00362EC8" w:rsidP="00362EC8">
      <w:pPr>
        <w:ind w:left="630"/>
        <w:rPr>
          <w:rFonts w:ascii="Arial" w:hAnsi="Arial" w:cs="Arial"/>
          <w:sz w:val="20"/>
          <w:szCs w:val="20"/>
          <w:lang w:val="fr-CA"/>
        </w:rPr>
      </w:pPr>
      <w:r w:rsidRPr="00510832">
        <w:rPr>
          <w:rFonts w:ascii="Arial" w:hAnsi="Arial" w:cs="Arial"/>
          <w:sz w:val="20"/>
          <w:szCs w:val="20"/>
          <w:lang w:val="fr-CA"/>
        </w:rPr>
        <w:t xml:space="preserve">Le Fonds d’assurance du service civil est un CFD consolidé qui figure dans les rapports financiers du gouvernement du Canada. Il a été établi en vertu de la </w:t>
      </w:r>
      <w:r w:rsidRPr="00510832">
        <w:rPr>
          <w:rFonts w:ascii="Arial" w:hAnsi="Arial" w:cs="Arial"/>
          <w:i/>
          <w:sz w:val="20"/>
          <w:szCs w:val="20"/>
          <w:lang w:val="fr-CA"/>
        </w:rPr>
        <w:t>Loi sur l’assurance du service civil</w:t>
      </w:r>
      <w:r w:rsidRPr="00510832">
        <w:rPr>
          <w:rFonts w:ascii="Arial" w:hAnsi="Arial" w:cs="Arial"/>
          <w:sz w:val="20"/>
          <w:szCs w:val="20"/>
          <w:lang w:val="fr-CA"/>
        </w:rPr>
        <w:t xml:space="preserve">. Conformément au paragraphe 16(3) du </w:t>
      </w:r>
      <w:r w:rsidRPr="00510832">
        <w:rPr>
          <w:rFonts w:ascii="Arial" w:hAnsi="Arial" w:cs="Arial"/>
          <w:i/>
          <w:sz w:val="20"/>
          <w:szCs w:val="20"/>
          <w:lang w:val="fr-CA"/>
        </w:rPr>
        <w:t>Règlement sur l’assurance du service civil</w:t>
      </w:r>
      <w:r w:rsidRPr="00510832">
        <w:rPr>
          <w:rFonts w:ascii="Arial" w:hAnsi="Arial" w:cs="Arial"/>
          <w:sz w:val="20"/>
          <w:szCs w:val="20"/>
          <w:lang w:val="fr-CA"/>
        </w:rPr>
        <w:t>, le montant des déficits actuariels est transféré du Trésor au Compte d’assurance du service civil afin d’équilibrer l’actif et le passif du programme</w:t>
      </w:r>
      <w:r w:rsidRPr="00001E0D">
        <w:rPr>
          <w:rFonts w:ascii="Arial" w:hAnsi="Arial" w:cs="Arial"/>
          <w:sz w:val="20"/>
          <w:szCs w:val="20"/>
          <w:lang w:val="fr-CA"/>
        </w:rPr>
        <w:t>.</w:t>
      </w:r>
    </w:p>
    <w:p w:rsidR="00362EC8" w:rsidRDefault="00362EC8" w:rsidP="00362EC8">
      <w:pPr>
        <w:rPr>
          <w:rFonts w:ascii="Arial" w:hAnsi="Arial" w:cs="Arial"/>
          <w:sz w:val="20"/>
          <w:szCs w:val="20"/>
          <w:lang w:val="fr-CA"/>
        </w:rPr>
      </w:pPr>
      <w:bookmarkStart w:id="25" w:name="IIA"/>
      <w:bookmarkStart w:id="26" w:name="II"/>
      <w:bookmarkEnd w:id="25"/>
      <w:bookmarkEnd w:id="26"/>
    </w:p>
    <w:p w:rsidR="00362EC8" w:rsidRDefault="00362EC8" w:rsidP="00362EC8">
      <w:pPr>
        <w:rPr>
          <w:rFonts w:ascii="Arial" w:hAnsi="Arial" w:cs="Arial"/>
          <w:sz w:val="20"/>
          <w:szCs w:val="20"/>
          <w:lang w:val="fr-CA"/>
        </w:rPr>
      </w:pPr>
    </w:p>
    <w:p w:rsidR="00362EC8" w:rsidRPr="00001E0D" w:rsidRDefault="00362EC8" w:rsidP="00362EC8">
      <w:pPr>
        <w:pStyle w:val="Heading1"/>
        <w:rPr>
          <w:lang w:val="fr-CA"/>
        </w:rPr>
      </w:pPr>
      <w:bookmarkStart w:id="27" w:name="_Toc485812704"/>
      <w:r w:rsidRPr="00001E0D">
        <w:rPr>
          <w:lang w:val="fr-CA"/>
        </w:rPr>
        <w:t xml:space="preserve">2. </w:t>
      </w:r>
      <w:r>
        <w:rPr>
          <w:lang w:val="fr-CA"/>
        </w:rPr>
        <w:t>AFFECTATION DES RESSOURCES</w:t>
      </w:r>
      <w:bookmarkEnd w:id="27"/>
    </w:p>
    <w:p w:rsidR="00362EC8" w:rsidRPr="00001E0D" w:rsidRDefault="00362EC8" w:rsidP="00362EC8">
      <w:pPr>
        <w:rPr>
          <w:rFonts w:ascii="Arial" w:hAnsi="Arial" w:cs="Arial"/>
          <w:sz w:val="20"/>
          <w:szCs w:val="20"/>
          <w:lang w:val="fr-CA"/>
        </w:rPr>
      </w:pPr>
    </w:p>
    <w:p w:rsidR="00362EC8" w:rsidRPr="00001E0D" w:rsidRDefault="00362EC8" w:rsidP="00362EC8">
      <w:pPr>
        <w:pStyle w:val="Heading2"/>
        <w:rPr>
          <w:lang w:val="fr-CA"/>
        </w:rPr>
      </w:pPr>
      <w:bookmarkStart w:id="28" w:name="_Toc485812705"/>
      <w:r w:rsidRPr="00001E0D">
        <w:rPr>
          <w:lang w:val="fr-CA"/>
        </w:rPr>
        <w:t xml:space="preserve">2.1. </w:t>
      </w:r>
      <w:r>
        <w:rPr>
          <w:lang w:val="fr-CA"/>
        </w:rPr>
        <w:t>STRUCTURE DE GOUVERNANCE</w:t>
      </w:r>
      <w:bookmarkEnd w:id="28"/>
    </w:p>
    <w:p w:rsidR="00362EC8" w:rsidRPr="00001E0D" w:rsidRDefault="00362EC8" w:rsidP="00362EC8">
      <w:pPr>
        <w:rPr>
          <w:rFonts w:ascii="Arial" w:hAnsi="Arial" w:cs="Arial"/>
          <w:sz w:val="20"/>
          <w:szCs w:val="20"/>
          <w:lang w:val="fr-CA"/>
        </w:rPr>
      </w:pPr>
    </w:p>
    <w:p w:rsidR="00362EC8" w:rsidRPr="00C96B78" w:rsidRDefault="00362EC8" w:rsidP="00362EC8">
      <w:pPr>
        <w:rPr>
          <w:rFonts w:ascii="Arial" w:hAnsi="Arial" w:cs="Arial"/>
          <w:sz w:val="20"/>
          <w:szCs w:val="20"/>
          <w:lang w:val="fr-CA"/>
        </w:rPr>
      </w:pPr>
      <w:r w:rsidRPr="00C96B78">
        <w:rPr>
          <w:rFonts w:ascii="Arial" w:hAnsi="Arial" w:cs="Arial"/>
          <w:sz w:val="20"/>
          <w:szCs w:val="20"/>
          <w:lang w:val="fr-CA"/>
        </w:rPr>
        <w:t>La structure de gouvernance du portefeuille d</w:t>
      </w:r>
      <w:r w:rsidR="00C96B78" w:rsidRPr="00C96B78">
        <w:rPr>
          <w:rFonts w:ascii="Arial" w:hAnsi="Arial" w:cs="Arial"/>
          <w:sz w:val="20"/>
          <w:szCs w:val="20"/>
          <w:lang w:val="fr-CA"/>
        </w:rPr>
        <w:t>’</w:t>
      </w:r>
      <w:r w:rsidRPr="00C96B78">
        <w:rPr>
          <w:rFonts w:ascii="Arial" w:hAnsi="Arial" w:cs="Arial"/>
          <w:sz w:val="20"/>
          <w:szCs w:val="20"/>
          <w:lang w:val="fr-CA"/>
        </w:rPr>
        <w:t xml:space="preserve">EDSC est composée d’une série de comités ministériels qui jouent un rôle clé dans le soutien du mandat législatif ainsi que des priorités en matière de politiques, de programmes et de prestation de services du </w:t>
      </w:r>
      <w:r w:rsidR="00A65707">
        <w:rPr>
          <w:rFonts w:ascii="Arial" w:hAnsi="Arial" w:cs="Arial"/>
          <w:sz w:val="20"/>
          <w:szCs w:val="20"/>
          <w:lang w:val="fr-CA"/>
        </w:rPr>
        <w:t>ministère</w:t>
      </w:r>
      <w:r w:rsidRPr="00C96B78">
        <w:rPr>
          <w:rFonts w:ascii="Arial" w:hAnsi="Arial" w:cs="Arial"/>
          <w:sz w:val="20"/>
          <w:szCs w:val="20"/>
          <w:lang w:val="fr-CA"/>
        </w:rPr>
        <w:t>. L’</w:t>
      </w:r>
      <w:hyperlink w:anchor="_Annex_D:_" w:history="1">
        <w:r w:rsidRPr="00C96B78">
          <w:rPr>
            <w:rStyle w:val="Hyperlink"/>
            <w:rFonts w:ascii="Arial" w:hAnsi="Arial" w:cs="Arial"/>
            <w:i/>
            <w:sz w:val="20"/>
            <w:szCs w:val="20"/>
            <w:lang w:val="fr-CA"/>
          </w:rPr>
          <w:t>annexe D</w:t>
        </w:r>
      </w:hyperlink>
      <w:r w:rsidRPr="00C96B78">
        <w:rPr>
          <w:rFonts w:ascii="Arial" w:hAnsi="Arial" w:cs="Arial"/>
          <w:i/>
          <w:sz w:val="20"/>
          <w:szCs w:val="20"/>
          <w:lang w:val="fr-CA"/>
        </w:rPr>
        <w:t xml:space="preserve">, </w:t>
      </w:r>
      <w:r w:rsidRPr="00C96B78">
        <w:rPr>
          <w:rFonts w:ascii="Arial" w:hAnsi="Arial" w:cs="Arial"/>
          <w:sz w:val="20"/>
          <w:szCs w:val="20"/>
          <w:lang w:val="fr-CA"/>
        </w:rPr>
        <w:t>intitulée</w:t>
      </w:r>
      <w:r w:rsidRPr="00C96B78">
        <w:rPr>
          <w:rFonts w:ascii="Arial" w:hAnsi="Arial" w:cs="Arial"/>
          <w:i/>
          <w:sz w:val="20"/>
          <w:szCs w:val="20"/>
          <w:lang w:val="fr-CA"/>
        </w:rPr>
        <w:t xml:space="preserve"> Comités ministériels d’EDSC</w:t>
      </w:r>
      <w:r w:rsidRPr="00C96B78">
        <w:rPr>
          <w:rFonts w:ascii="Arial" w:hAnsi="Arial" w:cs="Arial"/>
          <w:sz w:val="20"/>
          <w:szCs w:val="20"/>
          <w:lang w:val="fr-CA"/>
        </w:rPr>
        <w:t>, donne un bref aperçu des comités qui offrent une orientation en ce qui concerne l’établissement des priorités et l’affectation des ressources disponibles.</w:t>
      </w:r>
    </w:p>
    <w:p w:rsidR="00362EC8" w:rsidRPr="00001E0D" w:rsidRDefault="00362EC8" w:rsidP="00362EC8">
      <w:pPr>
        <w:rPr>
          <w:rFonts w:ascii="Arial" w:hAnsi="Arial" w:cs="Arial"/>
          <w:sz w:val="20"/>
          <w:szCs w:val="20"/>
          <w:lang w:val="fr-CA"/>
        </w:rPr>
      </w:pPr>
    </w:p>
    <w:p w:rsidR="00362EC8" w:rsidRPr="00001E0D" w:rsidRDefault="00362EC8" w:rsidP="00362EC8">
      <w:pPr>
        <w:pStyle w:val="Heading2"/>
        <w:rPr>
          <w:lang w:val="fr-CA"/>
        </w:rPr>
      </w:pPr>
      <w:bookmarkStart w:id="29" w:name="_Toc485812706"/>
      <w:r w:rsidRPr="00001E0D">
        <w:rPr>
          <w:lang w:val="fr-CA"/>
        </w:rPr>
        <w:t xml:space="preserve">2.2. </w:t>
      </w:r>
      <w:r>
        <w:rPr>
          <w:lang w:val="fr-CA"/>
        </w:rPr>
        <w:t>PLANIFICATION OPÉRATIONNELLE</w:t>
      </w:r>
      <w:bookmarkEnd w:id="29"/>
    </w:p>
    <w:p w:rsidR="00362EC8" w:rsidRPr="00001E0D" w:rsidRDefault="00362EC8" w:rsidP="00362EC8">
      <w:pPr>
        <w:rPr>
          <w:rFonts w:ascii="Arial" w:hAnsi="Arial" w:cs="Arial"/>
          <w:sz w:val="20"/>
          <w:szCs w:val="20"/>
          <w:lang w:val="fr-CA"/>
        </w:rPr>
      </w:pPr>
    </w:p>
    <w:p w:rsidR="00362EC8" w:rsidRPr="00001E0D" w:rsidRDefault="00362EC8" w:rsidP="00362EC8">
      <w:pPr>
        <w:rPr>
          <w:rFonts w:ascii="Arial" w:hAnsi="Arial" w:cs="Arial"/>
          <w:sz w:val="20"/>
          <w:szCs w:val="20"/>
          <w:lang w:val="fr-CA"/>
        </w:rPr>
      </w:pPr>
      <w:r w:rsidRPr="007E5BE7">
        <w:rPr>
          <w:rFonts w:ascii="Arial" w:hAnsi="Arial" w:cs="Arial"/>
          <w:sz w:val="20"/>
          <w:szCs w:val="20"/>
          <w:lang w:val="fr-CA"/>
        </w:rPr>
        <w:t>La planification opérationnelle ou la planification d’activités est l’étape où les priorités sont converties en initiatives, propositions, projets ou activités. La planification et la budgétisation se font dans le contexte des programmes et des ressources qui sont approuvés par le CT et le Parlement. Du point de vue des régions et des directions générales, les ressources approuvées correspondent à celles qui sont définies dans le calcul des budgets de base, comme on le décrit plus en détail ci-dessous</w:t>
      </w:r>
      <w:r w:rsidRPr="00001E0D">
        <w:rPr>
          <w:rFonts w:ascii="Arial" w:hAnsi="Arial" w:cs="Arial"/>
          <w:sz w:val="20"/>
          <w:szCs w:val="20"/>
          <w:lang w:val="fr-CA"/>
        </w:rPr>
        <w:t>.</w:t>
      </w:r>
    </w:p>
    <w:p w:rsidR="00362EC8" w:rsidRPr="00001E0D" w:rsidRDefault="00362EC8" w:rsidP="00362EC8">
      <w:pPr>
        <w:rPr>
          <w:rFonts w:ascii="Arial" w:hAnsi="Arial" w:cs="Arial"/>
          <w:sz w:val="20"/>
          <w:szCs w:val="20"/>
          <w:lang w:val="fr-CA"/>
        </w:rPr>
      </w:pPr>
    </w:p>
    <w:p w:rsidR="00362EC8" w:rsidRPr="00001E0D" w:rsidRDefault="00362EC8" w:rsidP="00362EC8">
      <w:pPr>
        <w:pStyle w:val="Heading3"/>
        <w:rPr>
          <w:lang w:val="fr-CA"/>
        </w:rPr>
      </w:pPr>
      <w:bookmarkStart w:id="30" w:name="_Toc485812707"/>
      <w:r w:rsidRPr="00001E0D">
        <w:rPr>
          <w:lang w:val="fr-CA"/>
        </w:rPr>
        <w:t xml:space="preserve">2.2.1. </w:t>
      </w:r>
      <w:r w:rsidRPr="007E5BE7">
        <w:rPr>
          <w:lang w:val="fr-CA"/>
        </w:rPr>
        <w:t>Processus de planification intégrée des activités</w:t>
      </w:r>
      <w:bookmarkEnd w:id="30"/>
    </w:p>
    <w:p w:rsidR="00362EC8" w:rsidRPr="00001E0D" w:rsidRDefault="00362EC8" w:rsidP="00362EC8">
      <w:pPr>
        <w:rPr>
          <w:rFonts w:ascii="Arial" w:hAnsi="Arial" w:cs="Arial"/>
          <w:sz w:val="20"/>
          <w:szCs w:val="20"/>
          <w:lang w:val="fr-CA"/>
        </w:rPr>
      </w:pPr>
    </w:p>
    <w:p w:rsidR="00362EC8" w:rsidRPr="00001E0D" w:rsidRDefault="00362EC8" w:rsidP="00362EC8">
      <w:pPr>
        <w:rPr>
          <w:rFonts w:ascii="Arial" w:hAnsi="Arial" w:cs="Arial"/>
          <w:sz w:val="20"/>
          <w:szCs w:val="20"/>
          <w:lang w:val="fr-CA"/>
        </w:rPr>
      </w:pPr>
      <w:r>
        <w:rPr>
          <w:rFonts w:ascii="Arial" w:hAnsi="Arial" w:cs="Arial"/>
          <w:sz w:val="20"/>
          <w:szCs w:val="20"/>
          <w:lang w:val="fr-CA"/>
        </w:rPr>
        <w:t>Le</w:t>
      </w:r>
      <w:r w:rsidRPr="00001E0D">
        <w:rPr>
          <w:rFonts w:ascii="Arial" w:hAnsi="Arial" w:cs="Arial"/>
          <w:sz w:val="20"/>
          <w:szCs w:val="20"/>
          <w:lang w:val="fr-CA"/>
        </w:rPr>
        <w:t xml:space="preserve"> </w:t>
      </w:r>
      <w:hyperlink r:id="rId26" w:history="1">
        <w:r>
          <w:rPr>
            <w:rStyle w:val="Hyperlink"/>
            <w:rFonts w:ascii="Arial" w:hAnsi="Arial" w:cs="Arial"/>
            <w:sz w:val="20"/>
            <w:szCs w:val="20"/>
            <w:lang w:val="fr-CA"/>
          </w:rPr>
          <w:t>Plan d’activités intégré</w:t>
        </w:r>
      </w:hyperlink>
      <w:r w:rsidRPr="00001E0D">
        <w:rPr>
          <w:rFonts w:ascii="Arial" w:hAnsi="Arial" w:cs="Arial"/>
          <w:sz w:val="20"/>
          <w:szCs w:val="20"/>
          <w:lang w:val="fr-CA"/>
        </w:rPr>
        <w:t xml:space="preserve"> </w:t>
      </w:r>
      <w:r>
        <w:rPr>
          <w:rFonts w:ascii="Arial" w:hAnsi="Arial" w:cs="Arial"/>
          <w:sz w:val="20"/>
          <w:szCs w:val="20"/>
          <w:lang w:val="fr-CA"/>
        </w:rPr>
        <w:t xml:space="preserve">du </w:t>
      </w:r>
      <w:r w:rsidR="00B9516F">
        <w:rPr>
          <w:rFonts w:ascii="Arial" w:hAnsi="Arial" w:cs="Arial"/>
          <w:sz w:val="20"/>
          <w:szCs w:val="20"/>
          <w:lang w:val="fr-CA"/>
        </w:rPr>
        <w:t>ministère</w:t>
      </w:r>
      <w:r w:rsidRPr="00001E0D">
        <w:rPr>
          <w:rFonts w:ascii="Arial" w:hAnsi="Arial" w:cs="Arial"/>
          <w:sz w:val="20"/>
          <w:szCs w:val="20"/>
          <w:lang w:val="fr-CA"/>
        </w:rPr>
        <w:t xml:space="preserve"> </w:t>
      </w:r>
      <w:r w:rsidRPr="007E5BE7">
        <w:rPr>
          <w:rFonts w:ascii="Arial" w:hAnsi="Arial" w:cs="Arial"/>
          <w:sz w:val="20"/>
          <w:szCs w:val="20"/>
          <w:lang w:val="fr-CA"/>
        </w:rPr>
        <w:t xml:space="preserve">est le résultat d’un exercice exhaustif d’établissement des priorités, de planification des activités et d’engagement réalisé dans l’ensemble du </w:t>
      </w:r>
      <w:r w:rsidR="00B9516F">
        <w:rPr>
          <w:rFonts w:ascii="Arial" w:hAnsi="Arial" w:cs="Arial"/>
          <w:sz w:val="20"/>
          <w:szCs w:val="20"/>
          <w:lang w:val="fr-CA"/>
        </w:rPr>
        <w:t>ministère</w:t>
      </w:r>
      <w:r w:rsidRPr="007E5BE7">
        <w:rPr>
          <w:rFonts w:ascii="Arial" w:hAnsi="Arial" w:cs="Arial"/>
          <w:sz w:val="20"/>
          <w:szCs w:val="20"/>
          <w:lang w:val="fr-CA"/>
        </w:rPr>
        <w:t>, dans le but de déterminer nos priorités</w:t>
      </w:r>
      <w:r w:rsidR="00C96B78">
        <w:rPr>
          <w:rFonts w:ascii="Arial" w:hAnsi="Arial" w:cs="Arial"/>
          <w:sz w:val="20"/>
          <w:szCs w:val="20"/>
          <w:lang w:val="fr-CA"/>
        </w:rPr>
        <w:t xml:space="preserve"> </w:t>
      </w:r>
      <w:r w:rsidR="00C96B78" w:rsidRPr="007E5BE7">
        <w:rPr>
          <w:rFonts w:ascii="Arial" w:hAnsi="Arial" w:cs="Arial"/>
          <w:sz w:val="20"/>
          <w:szCs w:val="20"/>
          <w:lang w:val="fr-CA"/>
        </w:rPr>
        <w:t>principales</w:t>
      </w:r>
      <w:r w:rsidRPr="007E5BE7">
        <w:rPr>
          <w:rFonts w:ascii="Arial" w:hAnsi="Arial" w:cs="Arial"/>
          <w:sz w:val="20"/>
          <w:szCs w:val="20"/>
          <w:lang w:val="fr-CA"/>
        </w:rPr>
        <w:t xml:space="preserve"> et les activités clés nécessaires pour les appuyer. Ce Plan d’activités intégré n’est pas autonome. Bien qu’il offre une description très détaillée de nos activités et du contexte dans lequel nous évoluons, il doit être accompagné par des plans d’activités intégrés plus détaillés pour les directions générales et les régions</w:t>
      </w:r>
      <w:r w:rsidRPr="00001E0D">
        <w:rPr>
          <w:rFonts w:ascii="Arial" w:hAnsi="Arial" w:cs="Arial"/>
          <w:sz w:val="20"/>
          <w:szCs w:val="20"/>
          <w:lang w:val="fr-CA"/>
        </w:rPr>
        <w:t>.</w:t>
      </w:r>
    </w:p>
    <w:p w:rsidR="00362EC8" w:rsidRPr="00001E0D" w:rsidRDefault="00362EC8" w:rsidP="00362EC8">
      <w:pPr>
        <w:rPr>
          <w:rFonts w:ascii="Arial" w:hAnsi="Arial" w:cs="Arial"/>
          <w:sz w:val="20"/>
          <w:szCs w:val="20"/>
          <w:lang w:val="fr-CA"/>
        </w:rPr>
      </w:pPr>
    </w:p>
    <w:p w:rsidR="00362EC8" w:rsidRDefault="00362EC8" w:rsidP="00362EC8">
      <w:pPr>
        <w:rPr>
          <w:rFonts w:ascii="Arial" w:hAnsi="Arial" w:cs="Arial"/>
          <w:sz w:val="20"/>
          <w:szCs w:val="20"/>
          <w:lang w:val="fr-CA"/>
        </w:rPr>
      </w:pPr>
      <w:r w:rsidRPr="007E5BE7">
        <w:rPr>
          <w:rFonts w:ascii="Arial" w:hAnsi="Arial" w:cs="Arial"/>
          <w:sz w:val="20"/>
          <w:szCs w:val="20"/>
          <w:lang w:val="fr-CA"/>
        </w:rPr>
        <w:t xml:space="preserve">Ainsi, dans le cadre de ce processus, des ressources sont affectées à des fonctions, à des initiatives ou à des projets bien précis par une direction faisant partie d’une direction générale ou d’une région. Le résultat obtenu est un plan à chaque niveau de gestion de l’organisation, assorti d’un budget qui reflète les coûts de mise en </w:t>
      </w:r>
      <w:r>
        <w:rPr>
          <w:rFonts w:ascii="Arial" w:hAnsi="Arial" w:cs="Arial"/>
          <w:sz w:val="20"/>
          <w:szCs w:val="20"/>
          <w:lang w:val="fr-CA"/>
        </w:rPr>
        <w:t xml:space="preserve">œuvre </w:t>
      </w:r>
      <w:r w:rsidRPr="007E5BE7">
        <w:rPr>
          <w:rFonts w:ascii="Arial" w:hAnsi="Arial" w:cs="Arial"/>
          <w:sz w:val="20"/>
          <w:szCs w:val="20"/>
          <w:lang w:val="fr-CA"/>
        </w:rPr>
        <w:t>du plan. Ce plan comprend des rapports financiers et des rapports sur le rendement visant à aider la haute direction à prendre des décisions éclairées. La planification opérationnelle porte sur les trois prochaines années, et une importance particulière est accordée à la première année</w:t>
      </w:r>
      <w:r>
        <w:rPr>
          <w:rFonts w:ascii="Arial" w:hAnsi="Arial" w:cs="Arial"/>
          <w:sz w:val="20"/>
          <w:szCs w:val="20"/>
          <w:lang w:val="fr-CA"/>
        </w:rPr>
        <w:t>.</w:t>
      </w:r>
    </w:p>
    <w:p w:rsidR="00362EC8" w:rsidRPr="00001E0D" w:rsidRDefault="00362EC8" w:rsidP="00362EC8">
      <w:pPr>
        <w:rPr>
          <w:rFonts w:ascii="Arial" w:hAnsi="Arial" w:cs="Arial"/>
          <w:sz w:val="20"/>
          <w:szCs w:val="20"/>
          <w:lang w:val="fr-CA"/>
        </w:rPr>
      </w:pPr>
    </w:p>
    <w:p w:rsidR="00362EC8" w:rsidRPr="00001E0D" w:rsidRDefault="00362EC8" w:rsidP="00362EC8">
      <w:pPr>
        <w:pStyle w:val="Heading3"/>
        <w:rPr>
          <w:lang w:val="fr-CA"/>
        </w:rPr>
      </w:pPr>
      <w:bookmarkStart w:id="31" w:name="_Toc485812708"/>
      <w:r w:rsidRPr="00001E0D">
        <w:rPr>
          <w:lang w:val="fr-CA"/>
        </w:rPr>
        <w:t xml:space="preserve">2.2.2. </w:t>
      </w:r>
      <w:r>
        <w:rPr>
          <w:lang w:val="fr-CA"/>
        </w:rPr>
        <w:t>Planification des investissements</w:t>
      </w:r>
      <w:bookmarkEnd w:id="31"/>
    </w:p>
    <w:p w:rsidR="00362EC8" w:rsidRPr="00001E0D" w:rsidRDefault="00362EC8" w:rsidP="00362EC8">
      <w:pPr>
        <w:rPr>
          <w:rFonts w:ascii="Arial" w:hAnsi="Arial" w:cs="Arial"/>
          <w:sz w:val="20"/>
          <w:szCs w:val="20"/>
          <w:lang w:val="fr-CA"/>
        </w:rPr>
      </w:pPr>
    </w:p>
    <w:p w:rsidR="00362EC8" w:rsidRPr="00001E0D" w:rsidRDefault="00362EC8" w:rsidP="00362EC8">
      <w:pPr>
        <w:rPr>
          <w:rFonts w:ascii="Arial" w:hAnsi="Arial" w:cs="Arial"/>
          <w:sz w:val="20"/>
          <w:szCs w:val="20"/>
          <w:lang w:val="fr-CA"/>
        </w:rPr>
      </w:pPr>
      <w:r>
        <w:rPr>
          <w:rFonts w:ascii="Arial" w:hAnsi="Arial" w:cs="Arial"/>
          <w:sz w:val="20"/>
          <w:szCs w:val="20"/>
          <w:lang w:val="fr-CA"/>
        </w:rPr>
        <w:t>Pour se conformer à la</w:t>
      </w:r>
      <w:r w:rsidRPr="00001E0D">
        <w:rPr>
          <w:rFonts w:ascii="Arial" w:hAnsi="Arial" w:cs="Arial"/>
          <w:sz w:val="20"/>
          <w:szCs w:val="20"/>
          <w:lang w:val="fr-CA"/>
        </w:rPr>
        <w:t xml:space="preserve"> </w:t>
      </w:r>
      <w:hyperlink r:id="rId27" w:history="1">
        <w:r>
          <w:rPr>
            <w:rStyle w:val="Hyperlink"/>
            <w:rFonts w:ascii="Arial" w:hAnsi="Arial" w:cs="Arial"/>
            <w:sz w:val="20"/>
            <w:szCs w:val="20"/>
            <w:lang w:val="fr-CA"/>
          </w:rPr>
          <w:t>Politique de planification des investissements – Actifs et services acquis</w:t>
        </w:r>
      </w:hyperlink>
      <w:r w:rsidRPr="00001E0D">
        <w:rPr>
          <w:rFonts w:ascii="Arial" w:hAnsi="Arial" w:cs="Arial"/>
          <w:sz w:val="20"/>
          <w:szCs w:val="20"/>
          <w:lang w:val="fr-CA"/>
        </w:rPr>
        <w:t xml:space="preserve">, </w:t>
      </w:r>
      <w:r>
        <w:rPr>
          <w:rFonts w:ascii="Arial" w:hAnsi="Arial" w:cs="Arial"/>
          <w:sz w:val="20"/>
          <w:szCs w:val="20"/>
          <w:lang w:val="fr-CA"/>
        </w:rPr>
        <w:t>la</w:t>
      </w:r>
      <w:r w:rsidRPr="00001E0D">
        <w:rPr>
          <w:rFonts w:ascii="Arial" w:hAnsi="Arial" w:cs="Arial"/>
          <w:sz w:val="20"/>
          <w:szCs w:val="20"/>
          <w:lang w:val="fr-CA"/>
        </w:rPr>
        <w:t xml:space="preserve"> </w:t>
      </w:r>
      <w:hyperlink r:id="rId28" w:history="1">
        <w:r>
          <w:rPr>
            <w:rStyle w:val="Hyperlink"/>
            <w:rFonts w:ascii="Arial" w:hAnsi="Arial" w:cs="Arial"/>
            <w:sz w:val="20"/>
            <w:szCs w:val="20"/>
            <w:lang w:val="fr-CA"/>
          </w:rPr>
          <w:t>Politique sur la gestion des projets</w:t>
        </w:r>
      </w:hyperlink>
      <w:r w:rsidRPr="00001E0D">
        <w:rPr>
          <w:rFonts w:ascii="Arial" w:hAnsi="Arial" w:cs="Arial"/>
          <w:sz w:val="20"/>
          <w:szCs w:val="20"/>
          <w:lang w:val="fr-CA"/>
        </w:rPr>
        <w:t xml:space="preserve"> </w:t>
      </w:r>
      <w:r>
        <w:rPr>
          <w:rFonts w:ascii="Arial" w:hAnsi="Arial" w:cs="Arial"/>
          <w:sz w:val="20"/>
          <w:szCs w:val="20"/>
          <w:lang w:val="fr-CA"/>
        </w:rPr>
        <w:t>et la</w:t>
      </w:r>
      <w:r w:rsidRPr="00001E0D">
        <w:rPr>
          <w:rFonts w:ascii="Arial" w:hAnsi="Arial" w:cs="Arial"/>
          <w:sz w:val="20"/>
          <w:szCs w:val="20"/>
          <w:lang w:val="fr-CA"/>
        </w:rPr>
        <w:t xml:space="preserve"> </w:t>
      </w:r>
      <w:hyperlink r:id="rId29" w:history="1">
        <w:r>
          <w:rPr>
            <w:rStyle w:val="Hyperlink"/>
            <w:rFonts w:ascii="Arial" w:hAnsi="Arial" w:cs="Arial"/>
            <w:sz w:val="20"/>
            <w:szCs w:val="20"/>
            <w:lang w:val="fr-CA"/>
          </w:rPr>
          <w:t>Politique sur la gestion des technologies de l’information</w:t>
        </w:r>
      </w:hyperlink>
      <w:r>
        <w:rPr>
          <w:rFonts w:ascii="Arial" w:hAnsi="Arial" w:cs="Arial"/>
          <w:sz w:val="20"/>
          <w:szCs w:val="20"/>
          <w:lang w:val="fr-CA"/>
        </w:rPr>
        <w:t xml:space="preserve"> du CT,</w:t>
      </w:r>
      <w:r w:rsidRPr="00001E0D">
        <w:rPr>
          <w:rFonts w:ascii="Arial" w:hAnsi="Arial" w:cs="Arial"/>
          <w:sz w:val="20"/>
          <w:szCs w:val="20"/>
          <w:lang w:val="fr-CA"/>
        </w:rPr>
        <w:t xml:space="preserve"> ED</w:t>
      </w:r>
      <w:r>
        <w:rPr>
          <w:rFonts w:ascii="Arial" w:hAnsi="Arial" w:cs="Arial"/>
          <w:sz w:val="20"/>
          <w:szCs w:val="20"/>
          <w:lang w:val="fr-CA"/>
        </w:rPr>
        <w:t>S</w:t>
      </w:r>
      <w:r w:rsidRPr="00001E0D">
        <w:rPr>
          <w:rFonts w:ascii="Arial" w:hAnsi="Arial" w:cs="Arial"/>
          <w:sz w:val="20"/>
          <w:szCs w:val="20"/>
          <w:lang w:val="fr-CA"/>
        </w:rPr>
        <w:t xml:space="preserve">C </w:t>
      </w:r>
      <w:r w:rsidRPr="007E5BE7">
        <w:rPr>
          <w:rFonts w:ascii="Arial" w:hAnsi="Arial" w:cs="Arial"/>
          <w:sz w:val="20"/>
          <w:szCs w:val="20"/>
          <w:lang w:val="fr-CA"/>
        </w:rPr>
        <w:t>doit présenter un plan d’investissement sur cinq ans au CT. Ce plan doit comprendre un point de vue intégré de la gestion de projets importants et des investissements en immobilisations, ainsi que de la stratégie de financement du portefeuille</w:t>
      </w:r>
      <w:r w:rsidRPr="00001E0D">
        <w:rPr>
          <w:rFonts w:ascii="Arial" w:hAnsi="Arial" w:cs="Arial"/>
          <w:sz w:val="20"/>
          <w:szCs w:val="20"/>
          <w:lang w:val="fr-CA"/>
        </w:rPr>
        <w:t>.</w:t>
      </w:r>
    </w:p>
    <w:p w:rsidR="00362EC8" w:rsidRPr="00001E0D" w:rsidRDefault="00362EC8" w:rsidP="00362EC8">
      <w:pPr>
        <w:rPr>
          <w:rFonts w:ascii="Arial" w:hAnsi="Arial" w:cs="Arial"/>
          <w:sz w:val="20"/>
          <w:szCs w:val="20"/>
          <w:lang w:val="fr-CA"/>
        </w:rPr>
      </w:pPr>
    </w:p>
    <w:p w:rsidR="00362EC8" w:rsidRPr="00001E0D" w:rsidRDefault="00362EC8" w:rsidP="00362EC8">
      <w:pPr>
        <w:rPr>
          <w:rFonts w:ascii="Arial" w:hAnsi="Arial" w:cs="Arial"/>
          <w:sz w:val="20"/>
          <w:szCs w:val="20"/>
          <w:lang w:val="fr-CA"/>
        </w:rPr>
      </w:pPr>
    </w:p>
    <w:p w:rsidR="00362EC8" w:rsidRPr="00001E0D" w:rsidRDefault="00362EC8" w:rsidP="00362EC8">
      <w:pPr>
        <w:pStyle w:val="Heading2"/>
        <w:rPr>
          <w:lang w:val="fr-CA"/>
        </w:rPr>
      </w:pPr>
      <w:bookmarkStart w:id="32" w:name="IIB"/>
      <w:bookmarkStart w:id="33" w:name="_Toc485812709"/>
      <w:bookmarkEnd w:id="32"/>
      <w:r w:rsidRPr="00001E0D">
        <w:rPr>
          <w:lang w:val="fr-CA"/>
        </w:rPr>
        <w:lastRenderedPageBreak/>
        <w:t xml:space="preserve">2.3. </w:t>
      </w:r>
      <w:r>
        <w:rPr>
          <w:lang w:val="fr-CA"/>
        </w:rPr>
        <w:t>UTILISATION DES FONDS</w:t>
      </w:r>
      <w:bookmarkEnd w:id="33"/>
    </w:p>
    <w:p w:rsidR="00362EC8" w:rsidRPr="00001E0D" w:rsidRDefault="00362EC8" w:rsidP="00362EC8">
      <w:pPr>
        <w:rPr>
          <w:rFonts w:ascii="Arial" w:hAnsi="Arial" w:cs="Arial"/>
          <w:sz w:val="20"/>
          <w:szCs w:val="20"/>
          <w:lang w:val="fr-CA"/>
        </w:rPr>
      </w:pPr>
    </w:p>
    <w:p w:rsidR="00362EC8" w:rsidRDefault="00362EC8" w:rsidP="00362EC8">
      <w:pPr>
        <w:rPr>
          <w:rFonts w:ascii="Arial" w:hAnsi="Arial" w:cs="Arial"/>
          <w:sz w:val="20"/>
          <w:szCs w:val="20"/>
          <w:lang w:val="fr-CA"/>
        </w:rPr>
      </w:pPr>
      <w:r>
        <w:rPr>
          <w:rFonts w:ascii="Arial" w:hAnsi="Arial" w:cs="Arial"/>
          <w:sz w:val="20"/>
          <w:szCs w:val="20"/>
          <w:lang w:val="fr-CA"/>
        </w:rPr>
        <w:t>Les fonds d’</w:t>
      </w:r>
      <w:r w:rsidRPr="00001E0D">
        <w:rPr>
          <w:rFonts w:ascii="Arial" w:hAnsi="Arial" w:cs="Arial"/>
          <w:sz w:val="20"/>
          <w:szCs w:val="20"/>
          <w:lang w:val="fr-CA"/>
        </w:rPr>
        <w:t>ED</w:t>
      </w:r>
      <w:r>
        <w:rPr>
          <w:rFonts w:ascii="Arial" w:hAnsi="Arial" w:cs="Arial"/>
          <w:sz w:val="20"/>
          <w:szCs w:val="20"/>
          <w:lang w:val="fr-CA"/>
        </w:rPr>
        <w:t>S</w:t>
      </w:r>
      <w:r w:rsidRPr="00001E0D">
        <w:rPr>
          <w:rFonts w:ascii="Arial" w:hAnsi="Arial" w:cs="Arial"/>
          <w:sz w:val="20"/>
          <w:szCs w:val="20"/>
          <w:lang w:val="fr-CA"/>
        </w:rPr>
        <w:t xml:space="preserve">C </w:t>
      </w:r>
      <w:r>
        <w:rPr>
          <w:rFonts w:ascii="Arial" w:hAnsi="Arial" w:cs="Arial"/>
          <w:sz w:val="20"/>
          <w:szCs w:val="20"/>
          <w:lang w:val="fr-CA"/>
        </w:rPr>
        <w:t>comprennent 2 types d’autorisations de dépenses :</w:t>
      </w:r>
    </w:p>
    <w:p w:rsidR="00362EC8" w:rsidRDefault="00362EC8" w:rsidP="00362EC8">
      <w:pPr>
        <w:pStyle w:val="ListParagraph"/>
        <w:numPr>
          <w:ilvl w:val="0"/>
          <w:numId w:val="10"/>
        </w:numPr>
        <w:rPr>
          <w:rFonts w:ascii="Arial" w:hAnsi="Arial" w:cs="Arial"/>
          <w:sz w:val="20"/>
          <w:szCs w:val="20"/>
          <w:lang w:val="fr-CA"/>
        </w:rPr>
      </w:pPr>
      <w:r>
        <w:rPr>
          <w:rFonts w:ascii="Arial" w:hAnsi="Arial" w:cs="Arial"/>
          <w:sz w:val="20"/>
          <w:szCs w:val="20"/>
          <w:lang w:val="fr-CA"/>
        </w:rPr>
        <w:t xml:space="preserve">Les dépenses </w:t>
      </w:r>
      <w:r w:rsidR="004C4053">
        <w:rPr>
          <w:rFonts w:ascii="Arial" w:hAnsi="Arial" w:cs="Arial"/>
          <w:sz w:val="20"/>
          <w:szCs w:val="20"/>
          <w:lang w:val="fr-CA"/>
        </w:rPr>
        <w:t xml:space="preserve">votées </w:t>
      </w:r>
      <w:r>
        <w:rPr>
          <w:rFonts w:ascii="Arial" w:hAnsi="Arial" w:cs="Arial"/>
          <w:sz w:val="20"/>
          <w:szCs w:val="20"/>
          <w:lang w:val="fr-CA"/>
        </w:rPr>
        <w:t>autorisées au moyen de lois de crédit annuelles;</w:t>
      </w:r>
    </w:p>
    <w:p w:rsidR="00362EC8" w:rsidRPr="003C520C" w:rsidRDefault="00362EC8" w:rsidP="00362EC8">
      <w:pPr>
        <w:pStyle w:val="ListParagraph"/>
        <w:numPr>
          <w:ilvl w:val="0"/>
          <w:numId w:val="10"/>
        </w:numPr>
        <w:rPr>
          <w:rFonts w:ascii="Arial" w:hAnsi="Arial" w:cs="Arial"/>
          <w:sz w:val="20"/>
          <w:szCs w:val="20"/>
          <w:lang w:val="fr-CA"/>
        </w:rPr>
      </w:pPr>
      <w:r>
        <w:rPr>
          <w:rFonts w:ascii="Arial" w:hAnsi="Arial" w:cs="Arial"/>
          <w:sz w:val="20"/>
          <w:szCs w:val="20"/>
          <w:lang w:val="fr-CA"/>
        </w:rPr>
        <w:t>Les dépenses autorisées au moyen d’autorisations législatives.</w:t>
      </w:r>
    </w:p>
    <w:p w:rsidR="00362EC8" w:rsidRDefault="00362EC8" w:rsidP="00362EC8">
      <w:pPr>
        <w:rPr>
          <w:rFonts w:ascii="Arial" w:hAnsi="Arial" w:cs="Arial"/>
          <w:sz w:val="20"/>
          <w:szCs w:val="20"/>
          <w:lang w:val="fr-CA"/>
        </w:rPr>
      </w:pPr>
    </w:p>
    <w:p w:rsidR="00362EC8" w:rsidRDefault="00362EC8" w:rsidP="00362EC8">
      <w:pPr>
        <w:rPr>
          <w:rFonts w:ascii="Arial" w:hAnsi="Arial" w:cs="Arial"/>
          <w:sz w:val="20"/>
          <w:szCs w:val="20"/>
          <w:lang w:val="fr-CA"/>
        </w:rPr>
      </w:pPr>
      <w:r>
        <w:rPr>
          <w:rFonts w:ascii="Arial" w:hAnsi="Arial" w:cs="Arial"/>
          <w:sz w:val="20"/>
          <w:szCs w:val="20"/>
          <w:lang w:val="fr-CA"/>
        </w:rPr>
        <w:t>En vertu de ces 2 types d’autorisations de dépenses, EDSC dispose de 2 catégories principales de fonds :</w:t>
      </w:r>
    </w:p>
    <w:p w:rsidR="00362EC8" w:rsidRDefault="00362EC8" w:rsidP="00362EC8">
      <w:pPr>
        <w:pStyle w:val="ListParagraph"/>
        <w:numPr>
          <w:ilvl w:val="0"/>
          <w:numId w:val="11"/>
        </w:numPr>
        <w:rPr>
          <w:rFonts w:ascii="Arial" w:hAnsi="Arial" w:cs="Arial"/>
          <w:sz w:val="20"/>
          <w:szCs w:val="20"/>
          <w:lang w:val="fr-CA"/>
        </w:rPr>
      </w:pPr>
      <w:r>
        <w:rPr>
          <w:rFonts w:ascii="Arial" w:hAnsi="Arial" w:cs="Arial"/>
          <w:sz w:val="20"/>
          <w:szCs w:val="20"/>
          <w:lang w:val="fr-CA"/>
        </w:rPr>
        <w:t>Les fonds de fonctionnement;</w:t>
      </w:r>
    </w:p>
    <w:p w:rsidR="00362EC8" w:rsidRDefault="00362EC8" w:rsidP="00362EC8">
      <w:pPr>
        <w:pStyle w:val="ListParagraph"/>
        <w:numPr>
          <w:ilvl w:val="0"/>
          <w:numId w:val="11"/>
        </w:numPr>
        <w:rPr>
          <w:rFonts w:ascii="Arial" w:hAnsi="Arial" w:cs="Arial"/>
          <w:sz w:val="20"/>
          <w:szCs w:val="20"/>
          <w:lang w:val="fr-CA"/>
        </w:rPr>
      </w:pPr>
      <w:r>
        <w:rPr>
          <w:rFonts w:ascii="Arial" w:hAnsi="Arial" w:cs="Arial"/>
          <w:sz w:val="20"/>
          <w:szCs w:val="20"/>
          <w:lang w:val="fr-CA"/>
        </w:rPr>
        <w:t>Les subventions et contributions (S et C).</w:t>
      </w:r>
    </w:p>
    <w:p w:rsidR="00362EC8" w:rsidRPr="001F1067" w:rsidRDefault="00362EC8" w:rsidP="00362EC8">
      <w:pPr>
        <w:pStyle w:val="ListParagraph"/>
        <w:rPr>
          <w:rFonts w:ascii="Arial" w:hAnsi="Arial" w:cs="Arial"/>
          <w:sz w:val="20"/>
          <w:szCs w:val="20"/>
          <w:lang w:val="fr-CA"/>
        </w:rPr>
      </w:pPr>
    </w:p>
    <w:tbl>
      <w:tblPr>
        <w:tblStyle w:val="TableGrid"/>
        <w:tblW w:w="10257" w:type="dxa"/>
        <w:tblLook w:val="04A0" w:firstRow="1" w:lastRow="0" w:firstColumn="1" w:lastColumn="0" w:noHBand="0" w:noVBand="1"/>
      </w:tblPr>
      <w:tblGrid>
        <w:gridCol w:w="2394"/>
        <w:gridCol w:w="2392"/>
        <w:gridCol w:w="3077"/>
        <w:gridCol w:w="2394"/>
      </w:tblGrid>
      <w:tr w:rsidR="00362EC8" w:rsidRPr="001F1067" w:rsidTr="00C96B78">
        <w:tc>
          <w:tcPr>
            <w:tcW w:w="4786" w:type="dxa"/>
            <w:gridSpan w:val="2"/>
            <w:hideMark/>
          </w:tcPr>
          <w:p w:rsidR="00362EC8" w:rsidRPr="002D707A" w:rsidRDefault="00362EC8" w:rsidP="00C96B78">
            <w:pPr>
              <w:pStyle w:val="BodyText"/>
              <w:jc w:val="center"/>
              <w:rPr>
                <w:rFonts w:ascii="Arial" w:hAnsi="Arial" w:cs="Arial"/>
                <w:b/>
                <w:sz w:val="20"/>
                <w:lang w:val="fr-CA"/>
              </w:rPr>
            </w:pPr>
            <w:r w:rsidRPr="002D707A">
              <w:rPr>
                <w:rFonts w:ascii="Arial" w:hAnsi="Arial" w:cs="Arial"/>
                <w:b/>
                <w:sz w:val="20"/>
                <w:lang w:val="fr-CA"/>
              </w:rPr>
              <w:t xml:space="preserve">Crédits </w:t>
            </w:r>
            <w:r w:rsidR="00C96B78">
              <w:rPr>
                <w:rFonts w:ascii="Arial" w:hAnsi="Arial" w:cs="Arial"/>
                <w:b/>
                <w:sz w:val="20"/>
                <w:lang w:val="fr-CA"/>
              </w:rPr>
              <w:t>votés</w:t>
            </w:r>
          </w:p>
        </w:tc>
        <w:tc>
          <w:tcPr>
            <w:tcW w:w="5471" w:type="dxa"/>
            <w:gridSpan w:val="2"/>
            <w:hideMark/>
          </w:tcPr>
          <w:p w:rsidR="00362EC8" w:rsidRPr="002D707A" w:rsidRDefault="00362EC8" w:rsidP="00C96B78">
            <w:pPr>
              <w:pStyle w:val="BodyText"/>
              <w:jc w:val="center"/>
              <w:rPr>
                <w:rFonts w:ascii="Arial" w:hAnsi="Arial" w:cs="Arial"/>
                <w:b/>
                <w:sz w:val="20"/>
                <w:lang w:val="fr-CA"/>
              </w:rPr>
            </w:pPr>
            <w:r w:rsidRPr="002D707A">
              <w:rPr>
                <w:rFonts w:ascii="Arial" w:hAnsi="Arial" w:cs="Arial"/>
                <w:b/>
                <w:sz w:val="20"/>
                <w:lang w:val="fr-CA"/>
              </w:rPr>
              <w:t>Autorisations législatives</w:t>
            </w:r>
          </w:p>
        </w:tc>
      </w:tr>
      <w:tr w:rsidR="00362EC8" w:rsidRPr="001F1067" w:rsidTr="00C96B78">
        <w:tc>
          <w:tcPr>
            <w:tcW w:w="2394" w:type="dxa"/>
            <w:hideMark/>
          </w:tcPr>
          <w:p w:rsidR="00362EC8" w:rsidRPr="002D707A" w:rsidRDefault="00362EC8" w:rsidP="00C96B78">
            <w:pPr>
              <w:pStyle w:val="BodyText"/>
              <w:rPr>
                <w:rFonts w:ascii="Arial" w:hAnsi="Arial" w:cs="Arial"/>
                <w:b/>
                <w:sz w:val="20"/>
                <w:lang w:val="fr-CA"/>
              </w:rPr>
            </w:pPr>
            <w:r w:rsidRPr="002D707A">
              <w:rPr>
                <w:rFonts w:ascii="Arial" w:hAnsi="Arial" w:cs="Arial"/>
                <w:b/>
                <w:sz w:val="20"/>
                <w:lang w:val="fr-CA"/>
              </w:rPr>
              <w:t>Fonctionnement</w:t>
            </w:r>
          </w:p>
        </w:tc>
        <w:tc>
          <w:tcPr>
            <w:tcW w:w="2392" w:type="dxa"/>
            <w:hideMark/>
          </w:tcPr>
          <w:p w:rsidR="00362EC8" w:rsidRPr="002D707A" w:rsidRDefault="00362EC8" w:rsidP="00C96B78">
            <w:pPr>
              <w:pStyle w:val="BodyText"/>
              <w:rPr>
                <w:rFonts w:ascii="Arial" w:hAnsi="Arial" w:cs="Arial"/>
                <w:b/>
                <w:sz w:val="20"/>
                <w:lang w:val="fr-CA"/>
              </w:rPr>
            </w:pPr>
            <w:r w:rsidRPr="002D707A">
              <w:rPr>
                <w:rFonts w:ascii="Arial" w:hAnsi="Arial" w:cs="Arial"/>
                <w:b/>
                <w:sz w:val="20"/>
                <w:lang w:val="fr-CA"/>
              </w:rPr>
              <w:t>S et C</w:t>
            </w:r>
          </w:p>
        </w:tc>
        <w:tc>
          <w:tcPr>
            <w:tcW w:w="3077" w:type="dxa"/>
            <w:hideMark/>
          </w:tcPr>
          <w:p w:rsidR="00362EC8" w:rsidRPr="002D707A" w:rsidRDefault="00362EC8" w:rsidP="00C96B78">
            <w:pPr>
              <w:pStyle w:val="BodyText"/>
              <w:rPr>
                <w:rFonts w:ascii="Arial" w:hAnsi="Arial" w:cs="Arial"/>
                <w:b/>
                <w:sz w:val="20"/>
                <w:lang w:val="fr-CA"/>
              </w:rPr>
            </w:pPr>
            <w:r w:rsidRPr="002D707A">
              <w:rPr>
                <w:rFonts w:ascii="Arial" w:hAnsi="Arial" w:cs="Arial"/>
                <w:b/>
                <w:sz w:val="20"/>
                <w:lang w:val="fr-CA"/>
              </w:rPr>
              <w:t>Fonctionnement</w:t>
            </w:r>
          </w:p>
        </w:tc>
        <w:tc>
          <w:tcPr>
            <w:tcW w:w="2394" w:type="dxa"/>
            <w:hideMark/>
          </w:tcPr>
          <w:p w:rsidR="00362EC8" w:rsidRPr="002D707A" w:rsidRDefault="00362EC8" w:rsidP="00C96B78">
            <w:pPr>
              <w:pStyle w:val="BodyText"/>
              <w:rPr>
                <w:rFonts w:ascii="Arial" w:hAnsi="Arial" w:cs="Arial"/>
                <w:b/>
                <w:sz w:val="20"/>
                <w:lang w:val="fr-CA"/>
              </w:rPr>
            </w:pPr>
            <w:r w:rsidRPr="002D707A">
              <w:rPr>
                <w:rFonts w:ascii="Arial" w:hAnsi="Arial" w:cs="Arial"/>
                <w:b/>
                <w:sz w:val="20"/>
                <w:lang w:val="fr-CA"/>
              </w:rPr>
              <w:t>S et C</w:t>
            </w:r>
          </w:p>
        </w:tc>
      </w:tr>
      <w:tr w:rsidR="00362EC8" w:rsidRPr="001F1067" w:rsidTr="00C96B78">
        <w:tc>
          <w:tcPr>
            <w:tcW w:w="2394" w:type="dxa"/>
          </w:tcPr>
          <w:p w:rsidR="00362EC8" w:rsidRPr="002D707A" w:rsidRDefault="00362EC8" w:rsidP="00C96B78">
            <w:pPr>
              <w:pStyle w:val="BodyText"/>
              <w:rPr>
                <w:rFonts w:ascii="Arial" w:hAnsi="Arial" w:cs="Arial"/>
                <w:sz w:val="20"/>
                <w:lang w:val="fr-CA"/>
              </w:rPr>
            </w:pPr>
            <w:r w:rsidRPr="002D707A">
              <w:rPr>
                <w:rFonts w:ascii="Arial" w:hAnsi="Arial" w:cs="Arial"/>
                <w:sz w:val="20"/>
                <w:lang w:val="fr-CA"/>
              </w:rPr>
              <w:t>Personnel</w:t>
            </w:r>
          </w:p>
          <w:p w:rsidR="00362EC8" w:rsidRPr="002D707A" w:rsidRDefault="00362EC8" w:rsidP="00C96B78">
            <w:pPr>
              <w:pStyle w:val="BodyText"/>
              <w:rPr>
                <w:rFonts w:ascii="Arial" w:hAnsi="Arial" w:cs="Arial"/>
                <w:sz w:val="20"/>
                <w:lang w:val="fr-CA"/>
              </w:rPr>
            </w:pPr>
            <w:r w:rsidRPr="002D707A">
              <w:rPr>
                <w:rFonts w:ascii="Arial" w:hAnsi="Arial" w:cs="Arial"/>
                <w:sz w:val="20"/>
                <w:lang w:val="fr-CA"/>
              </w:rPr>
              <w:t>Autres coûts de fonctionnement</w:t>
            </w:r>
          </w:p>
          <w:p w:rsidR="00362EC8" w:rsidRPr="002D707A" w:rsidRDefault="00362EC8" w:rsidP="00C96B78">
            <w:pPr>
              <w:pStyle w:val="BodyText"/>
              <w:rPr>
                <w:rFonts w:ascii="Arial" w:hAnsi="Arial" w:cs="Arial"/>
                <w:sz w:val="20"/>
                <w:lang w:val="fr-CA"/>
              </w:rPr>
            </w:pPr>
          </w:p>
        </w:tc>
        <w:tc>
          <w:tcPr>
            <w:tcW w:w="2392" w:type="dxa"/>
            <w:hideMark/>
          </w:tcPr>
          <w:p w:rsidR="00362EC8" w:rsidRPr="002D707A" w:rsidRDefault="00362EC8" w:rsidP="00C96B78">
            <w:pPr>
              <w:pStyle w:val="BodyText"/>
              <w:rPr>
                <w:rFonts w:ascii="Arial" w:hAnsi="Arial" w:cs="Arial"/>
                <w:sz w:val="20"/>
                <w:lang w:val="fr-CA"/>
              </w:rPr>
            </w:pPr>
            <w:r w:rsidRPr="002D707A">
              <w:rPr>
                <w:rFonts w:ascii="Arial" w:hAnsi="Arial" w:cs="Arial"/>
                <w:sz w:val="20"/>
                <w:lang w:val="fr-CA"/>
              </w:rPr>
              <w:t>SEJ</w:t>
            </w:r>
          </w:p>
          <w:p w:rsidR="00362EC8" w:rsidRPr="002D707A" w:rsidRDefault="00362EC8" w:rsidP="00C96B78">
            <w:pPr>
              <w:pStyle w:val="BodyText"/>
              <w:rPr>
                <w:rFonts w:ascii="Arial" w:hAnsi="Arial" w:cs="Arial"/>
                <w:sz w:val="20"/>
                <w:lang w:val="fr-CA"/>
              </w:rPr>
            </w:pPr>
            <w:r w:rsidRPr="002D707A">
              <w:rPr>
                <w:rFonts w:ascii="Arial" w:hAnsi="Arial" w:cs="Arial"/>
                <w:sz w:val="20"/>
                <w:lang w:val="fr-CA"/>
              </w:rPr>
              <w:t>SFCEDA</w:t>
            </w:r>
          </w:p>
          <w:p w:rsidR="00362EC8" w:rsidRPr="002D707A" w:rsidRDefault="00362EC8" w:rsidP="00C96B78">
            <w:pPr>
              <w:pStyle w:val="BodyText"/>
              <w:rPr>
                <w:rFonts w:ascii="Arial" w:hAnsi="Arial" w:cs="Arial"/>
                <w:sz w:val="20"/>
                <w:lang w:val="fr-CA"/>
              </w:rPr>
            </w:pPr>
            <w:r w:rsidRPr="002D707A">
              <w:rPr>
                <w:rFonts w:ascii="Arial" w:hAnsi="Arial" w:cs="Arial"/>
                <w:sz w:val="20"/>
                <w:lang w:val="fr-CA"/>
              </w:rPr>
              <w:t>SPLCI</w:t>
            </w:r>
          </w:p>
          <w:p w:rsidR="00362EC8" w:rsidRPr="002D707A" w:rsidRDefault="00362EC8" w:rsidP="00C96B78">
            <w:pPr>
              <w:pStyle w:val="BodyText"/>
              <w:rPr>
                <w:rFonts w:ascii="Arial" w:hAnsi="Arial" w:cs="Arial"/>
                <w:sz w:val="20"/>
                <w:lang w:val="fr-CA"/>
              </w:rPr>
            </w:pPr>
            <w:r w:rsidRPr="002D707A">
              <w:rPr>
                <w:rFonts w:ascii="Arial" w:hAnsi="Arial" w:cs="Arial"/>
                <w:sz w:val="20"/>
                <w:lang w:val="fr-CA"/>
              </w:rPr>
              <w:t>etc.</w:t>
            </w:r>
          </w:p>
        </w:tc>
        <w:tc>
          <w:tcPr>
            <w:tcW w:w="3077" w:type="dxa"/>
            <w:hideMark/>
          </w:tcPr>
          <w:p w:rsidR="00362EC8" w:rsidRPr="002D707A" w:rsidRDefault="00362EC8" w:rsidP="00C96B78">
            <w:pPr>
              <w:pStyle w:val="BodyText"/>
              <w:rPr>
                <w:rFonts w:ascii="Arial" w:hAnsi="Arial" w:cs="Arial"/>
                <w:sz w:val="20"/>
                <w:lang w:val="fr-CA"/>
              </w:rPr>
            </w:pPr>
            <w:r w:rsidRPr="002D707A">
              <w:rPr>
                <w:rFonts w:ascii="Arial" w:hAnsi="Arial" w:cs="Arial"/>
                <w:sz w:val="20"/>
                <w:lang w:val="fr-CA"/>
              </w:rPr>
              <w:t>ASE</w:t>
            </w:r>
          </w:p>
          <w:p w:rsidR="00362EC8" w:rsidRPr="002D707A" w:rsidRDefault="00362EC8" w:rsidP="00C96B78">
            <w:pPr>
              <w:pStyle w:val="BodyText"/>
              <w:rPr>
                <w:rFonts w:ascii="Arial" w:hAnsi="Arial" w:cs="Arial"/>
                <w:sz w:val="20"/>
                <w:lang w:val="fr-CA"/>
              </w:rPr>
            </w:pPr>
            <w:r w:rsidRPr="002D707A">
              <w:rPr>
                <w:rFonts w:ascii="Arial" w:hAnsi="Arial" w:cs="Arial"/>
                <w:sz w:val="20"/>
                <w:lang w:val="fr-CA"/>
              </w:rPr>
              <w:t>Salaires des ministres</w:t>
            </w:r>
          </w:p>
          <w:p w:rsidR="00362EC8" w:rsidRPr="002D707A" w:rsidRDefault="00362EC8" w:rsidP="00C96B78">
            <w:pPr>
              <w:pStyle w:val="BodyText"/>
              <w:rPr>
                <w:rFonts w:ascii="Arial" w:hAnsi="Arial" w:cs="Arial"/>
                <w:sz w:val="20"/>
                <w:lang w:val="fr-CA"/>
              </w:rPr>
            </w:pPr>
            <w:r w:rsidRPr="002D707A">
              <w:rPr>
                <w:rFonts w:ascii="Arial" w:hAnsi="Arial" w:cs="Arial"/>
                <w:sz w:val="20"/>
                <w:lang w:val="fr-CA"/>
              </w:rPr>
              <w:t>Indemnisation des accidentés du travail fédéraux</w:t>
            </w:r>
          </w:p>
          <w:p w:rsidR="00362EC8" w:rsidRPr="002D707A" w:rsidRDefault="00362EC8" w:rsidP="00C96B78">
            <w:pPr>
              <w:pStyle w:val="BodyText"/>
              <w:rPr>
                <w:rFonts w:ascii="Arial" w:hAnsi="Arial" w:cs="Arial"/>
                <w:sz w:val="20"/>
                <w:lang w:val="fr-CA"/>
              </w:rPr>
            </w:pPr>
            <w:r w:rsidRPr="002D707A">
              <w:rPr>
                <w:rFonts w:ascii="Arial" w:hAnsi="Arial" w:cs="Arial"/>
                <w:sz w:val="20"/>
                <w:lang w:val="fr-CA"/>
              </w:rPr>
              <w:t>etc.</w:t>
            </w:r>
          </w:p>
        </w:tc>
        <w:tc>
          <w:tcPr>
            <w:tcW w:w="2394" w:type="dxa"/>
            <w:hideMark/>
          </w:tcPr>
          <w:p w:rsidR="00362EC8" w:rsidRPr="002D707A" w:rsidRDefault="00362EC8" w:rsidP="00C96B78">
            <w:pPr>
              <w:pStyle w:val="BodyText"/>
              <w:rPr>
                <w:rFonts w:ascii="Arial" w:hAnsi="Arial" w:cs="Arial"/>
                <w:sz w:val="20"/>
                <w:lang w:val="fr-CA"/>
              </w:rPr>
            </w:pPr>
            <w:r w:rsidRPr="002D707A">
              <w:rPr>
                <w:rFonts w:ascii="Arial" w:hAnsi="Arial" w:cs="Arial"/>
                <w:sz w:val="20"/>
                <w:lang w:val="fr-CA"/>
              </w:rPr>
              <w:t>SV</w:t>
            </w:r>
          </w:p>
          <w:p w:rsidR="00362EC8" w:rsidRPr="002D707A" w:rsidRDefault="00362EC8" w:rsidP="00C96B78">
            <w:pPr>
              <w:pStyle w:val="BodyText"/>
              <w:rPr>
                <w:rFonts w:ascii="Arial" w:hAnsi="Arial" w:cs="Arial"/>
                <w:sz w:val="20"/>
                <w:lang w:val="fr-CA"/>
              </w:rPr>
            </w:pPr>
            <w:r w:rsidRPr="002D707A">
              <w:rPr>
                <w:rFonts w:ascii="Arial" w:hAnsi="Arial" w:cs="Arial"/>
                <w:sz w:val="20"/>
                <w:lang w:val="fr-CA"/>
              </w:rPr>
              <w:t xml:space="preserve">CRG </w:t>
            </w:r>
          </w:p>
          <w:p w:rsidR="00362EC8" w:rsidRPr="002D707A" w:rsidRDefault="00362EC8" w:rsidP="00C96B78">
            <w:pPr>
              <w:pStyle w:val="BodyText"/>
              <w:rPr>
                <w:rFonts w:ascii="Arial" w:hAnsi="Arial" w:cs="Arial"/>
                <w:sz w:val="20"/>
                <w:lang w:val="fr-CA"/>
              </w:rPr>
            </w:pPr>
            <w:r w:rsidRPr="002D707A">
              <w:rPr>
                <w:rFonts w:ascii="Arial" w:hAnsi="Arial" w:cs="Arial"/>
                <w:sz w:val="20"/>
                <w:lang w:val="fr-CA"/>
              </w:rPr>
              <w:t>Indemnité</w:t>
            </w:r>
          </w:p>
          <w:p w:rsidR="00362EC8" w:rsidRPr="002D707A" w:rsidRDefault="00362EC8" w:rsidP="00C96B78">
            <w:pPr>
              <w:pStyle w:val="BodyText"/>
              <w:rPr>
                <w:rFonts w:ascii="Arial" w:hAnsi="Arial" w:cs="Arial"/>
                <w:sz w:val="20"/>
                <w:lang w:val="fr-CA"/>
              </w:rPr>
            </w:pPr>
            <w:r w:rsidRPr="002D707A">
              <w:rPr>
                <w:rFonts w:ascii="Arial" w:hAnsi="Arial" w:cs="Arial"/>
                <w:sz w:val="20"/>
                <w:lang w:val="fr-CA"/>
              </w:rPr>
              <w:t>etc.</w:t>
            </w:r>
          </w:p>
        </w:tc>
      </w:tr>
    </w:tbl>
    <w:p w:rsidR="00362EC8" w:rsidRPr="00001E0D" w:rsidRDefault="00362EC8" w:rsidP="00362EC8">
      <w:pPr>
        <w:rPr>
          <w:rFonts w:ascii="Arial" w:hAnsi="Arial" w:cs="Arial"/>
          <w:sz w:val="20"/>
          <w:szCs w:val="20"/>
          <w:lang w:val="fr-CA"/>
        </w:rPr>
      </w:pPr>
    </w:p>
    <w:p w:rsidR="00362EC8" w:rsidRPr="00001E0D" w:rsidRDefault="00362EC8" w:rsidP="00362EC8">
      <w:pPr>
        <w:pStyle w:val="Heading3"/>
        <w:rPr>
          <w:lang w:val="fr-CA"/>
        </w:rPr>
      </w:pPr>
      <w:bookmarkStart w:id="34" w:name="IIB1"/>
      <w:bookmarkStart w:id="35" w:name="_Toc485812710"/>
      <w:bookmarkEnd w:id="34"/>
      <w:r w:rsidRPr="00001E0D">
        <w:rPr>
          <w:lang w:val="fr-CA"/>
        </w:rPr>
        <w:t xml:space="preserve">2.3.1. </w:t>
      </w:r>
      <w:r>
        <w:rPr>
          <w:lang w:val="fr-CA"/>
        </w:rPr>
        <w:t>Calcul des budgets de fonctionnement de base</w:t>
      </w:r>
      <w:bookmarkEnd w:id="35"/>
    </w:p>
    <w:p w:rsidR="00362EC8" w:rsidRPr="00001E0D" w:rsidRDefault="00362EC8" w:rsidP="00362EC8">
      <w:pPr>
        <w:rPr>
          <w:rFonts w:ascii="Arial" w:hAnsi="Arial" w:cs="Arial"/>
          <w:sz w:val="20"/>
          <w:szCs w:val="20"/>
          <w:lang w:val="fr-CA"/>
        </w:rPr>
      </w:pPr>
    </w:p>
    <w:p w:rsidR="00362EC8" w:rsidRPr="00001E0D" w:rsidRDefault="00362EC8" w:rsidP="00362EC8">
      <w:pPr>
        <w:rPr>
          <w:rFonts w:ascii="Arial" w:hAnsi="Arial" w:cs="Arial"/>
          <w:sz w:val="20"/>
          <w:szCs w:val="20"/>
          <w:lang w:val="fr-CA"/>
        </w:rPr>
      </w:pPr>
      <w:r w:rsidRPr="00BE2AAA">
        <w:rPr>
          <w:rFonts w:ascii="Arial" w:hAnsi="Arial" w:cs="Arial"/>
          <w:sz w:val="20"/>
          <w:szCs w:val="20"/>
          <w:lang w:val="fr-CA"/>
        </w:rPr>
        <w:t xml:space="preserve">Le calcul du budget de fonctionnement de base se fait à partir des niveaux de référence ministériels qui sont approuvés (tels que précisés dans la </w:t>
      </w:r>
      <w:r>
        <w:rPr>
          <w:rFonts w:ascii="Arial" w:hAnsi="Arial" w:cs="Arial"/>
          <w:sz w:val="20"/>
          <w:szCs w:val="20"/>
          <w:lang w:val="fr-CA"/>
        </w:rPr>
        <w:t>MJANR</w:t>
      </w:r>
      <w:r w:rsidRPr="00BE2AAA">
        <w:rPr>
          <w:rFonts w:ascii="Arial" w:hAnsi="Arial" w:cs="Arial"/>
          <w:sz w:val="20"/>
          <w:szCs w:val="20"/>
          <w:lang w:val="fr-CA"/>
        </w:rPr>
        <w:t xml:space="preserve"> et dans le Budget principal des dépenses)</w:t>
      </w:r>
      <w:r>
        <w:rPr>
          <w:rFonts w:ascii="Arial" w:hAnsi="Arial" w:cs="Arial"/>
          <w:sz w:val="20"/>
          <w:szCs w:val="20"/>
          <w:lang w:val="fr-CA"/>
        </w:rPr>
        <w:t>.</w:t>
      </w:r>
      <w:r w:rsidRPr="00BE2AAA">
        <w:rPr>
          <w:rFonts w:ascii="Arial" w:hAnsi="Arial" w:cs="Arial"/>
          <w:sz w:val="20"/>
          <w:szCs w:val="20"/>
          <w:lang w:val="fr-CA"/>
        </w:rPr>
        <w:t xml:space="preserve"> </w:t>
      </w:r>
    </w:p>
    <w:p w:rsidR="00362EC8" w:rsidRPr="00001E0D" w:rsidRDefault="00362EC8" w:rsidP="00362EC8">
      <w:pPr>
        <w:rPr>
          <w:rFonts w:ascii="Arial" w:hAnsi="Arial" w:cs="Arial"/>
          <w:sz w:val="20"/>
          <w:szCs w:val="20"/>
          <w:lang w:val="fr-CA"/>
        </w:rPr>
      </w:pPr>
      <w:r w:rsidRPr="00BE2AAA">
        <w:rPr>
          <w:rFonts w:ascii="Arial" w:hAnsi="Arial" w:cs="Arial"/>
          <w:sz w:val="20"/>
          <w:szCs w:val="20"/>
          <w:lang w:val="fr-CA"/>
        </w:rPr>
        <w:t>Chaque année, à partir de la fin de l’automne et conjointement au processus de planification, un processus d’allocation initiale est lancé afin d’être prêt pour avril de l’exercice suivant. L’</w:t>
      </w:r>
      <w:r>
        <w:rPr>
          <w:rFonts w:ascii="Arial" w:hAnsi="Arial" w:cs="Arial"/>
          <w:sz w:val="20"/>
          <w:szCs w:val="20"/>
          <w:lang w:val="fr-CA"/>
        </w:rPr>
        <w:t>agent principal des finances (</w:t>
      </w:r>
      <w:r w:rsidRPr="00BE2AAA">
        <w:rPr>
          <w:rFonts w:ascii="Arial" w:hAnsi="Arial" w:cs="Arial"/>
          <w:sz w:val="20"/>
          <w:szCs w:val="20"/>
          <w:lang w:val="fr-CA"/>
        </w:rPr>
        <w:t>APF</w:t>
      </w:r>
      <w:r>
        <w:rPr>
          <w:rFonts w:ascii="Arial" w:hAnsi="Arial" w:cs="Arial"/>
          <w:sz w:val="20"/>
          <w:szCs w:val="20"/>
          <w:lang w:val="fr-CA"/>
        </w:rPr>
        <w:t>)</w:t>
      </w:r>
      <w:r w:rsidRPr="00BE2AAA">
        <w:rPr>
          <w:rFonts w:ascii="Arial" w:hAnsi="Arial" w:cs="Arial"/>
          <w:sz w:val="20"/>
          <w:szCs w:val="20"/>
          <w:lang w:val="fr-CA"/>
        </w:rPr>
        <w:t xml:space="preserve"> et les cadres supérieurs travaillent en collaboration afin d’établir un niveau de financement approprié pour chaque direction générale, secteur d’activité et région. Ce partenariat garantit non seulement que l’allocation de fonds n’est pas uniquement déterminée par des modèles de détermination des ressources (MDR) s’il y a lieu, mais que d’autres facteurs, comme le caractère abordable et la disponibilité, sont pris en considération. Une fois approuvées par le </w:t>
      </w:r>
      <w:r>
        <w:rPr>
          <w:rFonts w:ascii="Arial" w:hAnsi="Arial" w:cs="Arial"/>
          <w:sz w:val="20"/>
          <w:szCs w:val="20"/>
          <w:lang w:val="fr-CA"/>
        </w:rPr>
        <w:t>Comité</w:t>
      </w:r>
      <w:r w:rsidRPr="00BE2AAA">
        <w:rPr>
          <w:rFonts w:ascii="Arial" w:hAnsi="Arial" w:cs="Arial"/>
          <w:sz w:val="20"/>
          <w:szCs w:val="20"/>
          <w:lang w:val="fr-CA"/>
        </w:rPr>
        <w:t xml:space="preserve"> de gestion du portefeuille (C</w:t>
      </w:r>
      <w:r>
        <w:rPr>
          <w:rFonts w:ascii="Arial" w:hAnsi="Arial" w:cs="Arial"/>
          <w:sz w:val="20"/>
          <w:szCs w:val="20"/>
          <w:lang w:val="fr-CA"/>
        </w:rPr>
        <w:t>G</w:t>
      </w:r>
      <w:r w:rsidRPr="00BE2AAA">
        <w:rPr>
          <w:rFonts w:ascii="Arial" w:hAnsi="Arial" w:cs="Arial"/>
          <w:sz w:val="20"/>
          <w:szCs w:val="20"/>
          <w:lang w:val="fr-CA"/>
        </w:rPr>
        <w:t>P), les allocations initiales sont communiquées à toutes les directions générales et régions, et l’unité de la Gestion des ressources ministérielles (GRM) de la direction générale de l’</w:t>
      </w:r>
      <w:r w:rsidR="004C4053">
        <w:rPr>
          <w:rFonts w:ascii="Arial" w:hAnsi="Arial" w:cs="Arial"/>
          <w:sz w:val="20"/>
          <w:szCs w:val="20"/>
          <w:lang w:val="fr-CA"/>
        </w:rPr>
        <w:t>A</w:t>
      </w:r>
      <w:r w:rsidRPr="00BE2AAA">
        <w:rPr>
          <w:rFonts w:ascii="Arial" w:hAnsi="Arial" w:cs="Arial"/>
          <w:sz w:val="20"/>
          <w:szCs w:val="20"/>
          <w:lang w:val="fr-CA"/>
        </w:rPr>
        <w:t xml:space="preserve">djoint </w:t>
      </w:r>
      <w:r w:rsidR="004C4053">
        <w:rPr>
          <w:rFonts w:ascii="Arial" w:hAnsi="Arial" w:cs="Arial"/>
          <w:sz w:val="20"/>
          <w:szCs w:val="20"/>
          <w:lang w:val="fr-CA"/>
        </w:rPr>
        <w:t xml:space="preserve">au dirigeant </w:t>
      </w:r>
      <w:r w:rsidRPr="00BE2AAA">
        <w:rPr>
          <w:rFonts w:ascii="Arial" w:hAnsi="Arial" w:cs="Arial"/>
          <w:sz w:val="20"/>
          <w:szCs w:val="20"/>
          <w:lang w:val="fr-CA"/>
        </w:rPr>
        <w:t>principal des finances (A</w:t>
      </w:r>
      <w:r w:rsidR="004C4053">
        <w:rPr>
          <w:rFonts w:ascii="Arial" w:hAnsi="Arial" w:cs="Arial"/>
          <w:sz w:val="20"/>
          <w:szCs w:val="20"/>
          <w:lang w:val="fr-CA"/>
        </w:rPr>
        <w:t>D</w:t>
      </w:r>
      <w:r w:rsidRPr="00BE2AAA">
        <w:rPr>
          <w:rFonts w:ascii="Arial" w:hAnsi="Arial" w:cs="Arial"/>
          <w:sz w:val="20"/>
          <w:szCs w:val="20"/>
          <w:lang w:val="fr-CA"/>
        </w:rPr>
        <w:t>PF) saisit les budgets approuvés dans</w:t>
      </w:r>
      <w:r>
        <w:rPr>
          <w:rFonts w:ascii="Arial" w:hAnsi="Arial" w:cs="Arial"/>
          <w:sz w:val="20"/>
          <w:szCs w:val="20"/>
          <w:lang w:val="fr-CA"/>
        </w:rPr>
        <w:t xml:space="preserve"> le système maSGE</w:t>
      </w:r>
      <w:r w:rsidRPr="00001E0D">
        <w:rPr>
          <w:rFonts w:ascii="Arial" w:hAnsi="Arial" w:cs="Arial"/>
          <w:sz w:val="20"/>
          <w:szCs w:val="20"/>
          <w:lang w:val="fr-CA"/>
        </w:rPr>
        <w:t>.</w:t>
      </w:r>
    </w:p>
    <w:p w:rsidR="00362EC8" w:rsidRPr="00001E0D" w:rsidRDefault="00362EC8" w:rsidP="00362EC8">
      <w:pPr>
        <w:rPr>
          <w:rFonts w:ascii="Arial" w:hAnsi="Arial" w:cs="Arial"/>
          <w:sz w:val="20"/>
          <w:szCs w:val="20"/>
          <w:lang w:val="fr-CA"/>
        </w:rPr>
      </w:pPr>
    </w:p>
    <w:p w:rsidR="00362EC8" w:rsidRDefault="00362EC8" w:rsidP="00362EC8">
      <w:pPr>
        <w:rPr>
          <w:rFonts w:ascii="Arial" w:hAnsi="Arial" w:cs="Arial"/>
          <w:sz w:val="20"/>
          <w:szCs w:val="20"/>
          <w:lang w:val="fr-CA"/>
        </w:rPr>
      </w:pPr>
      <w:r w:rsidRPr="00BE2AAA">
        <w:rPr>
          <w:rFonts w:ascii="Arial" w:hAnsi="Arial" w:cs="Arial"/>
          <w:sz w:val="20"/>
          <w:szCs w:val="20"/>
          <w:lang w:val="fr-CA"/>
        </w:rPr>
        <w:t>Les calculs des budgets de base sont pluriannuels et comprennent des renseignements sur le budget du personnel et de F</w:t>
      </w:r>
      <w:r>
        <w:rPr>
          <w:rFonts w:ascii="Arial" w:hAnsi="Arial" w:cs="Arial"/>
          <w:sz w:val="20"/>
          <w:szCs w:val="20"/>
          <w:lang w:val="fr-CA"/>
        </w:rPr>
        <w:t xml:space="preserve"> et </w:t>
      </w:r>
      <w:r w:rsidRPr="00BE2AAA">
        <w:rPr>
          <w:rFonts w:ascii="Arial" w:hAnsi="Arial" w:cs="Arial"/>
          <w:sz w:val="20"/>
          <w:szCs w:val="20"/>
          <w:lang w:val="fr-CA"/>
        </w:rPr>
        <w:t>E, et déterminent le financement permanent et le financement temporaire. Ils portent sur l’année en cours et sur les deux années de planification suivantes</w:t>
      </w:r>
      <w:r w:rsidR="004C4053">
        <w:rPr>
          <w:rFonts w:ascii="Arial" w:hAnsi="Arial" w:cs="Arial"/>
          <w:sz w:val="20"/>
          <w:szCs w:val="20"/>
          <w:lang w:val="fr-CA"/>
        </w:rPr>
        <w:t xml:space="preserve">. </w:t>
      </w:r>
    </w:p>
    <w:p w:rsidR="004C4053" w:rsidRPr="00001E0D" w:rsidRDefault="004C4053" w:rsidP="00362EC8">
      <w:pPr>
        <w:rPr>
          <w:rFonts w:ascii="Arial" w:hAnsi="Arial" w:cs="Arial"/>
          <w:sz w:val="20"/>
          <w:szCs w:val="20"/>
          <w:lang w:val="fr-CA"/>
        </w:rPr>
      </w:pPr>
    </w:p>
    <w:p w:rsidR="00362EC8" w:rsidRPr="00001E0D" w:rsidRDefault="004C4053" w:rsidP="00362EC8">
      <w:pPr>
        <w:rPr>
          <w:rFonts w:ascii="Arial" w:hAnsi="Arial" w:cs="Arial"/>
          <w:sz w:val="20"/>
          <w:szCs w:val="20"/>
          <w:lang w:val="fr-CA"/>
        </w:rPr>
      </w:pPr>
      <w:r>
        <w:rPr>
          <w:rFonts w:ascii="Arial" w:hAnsi="Arial" w:cs="Arial"/>
          <w:sz w:val="20"/>
          <w:szCs w:val="20"/>
          <w:lang w:val="fr-CA"/>
        </w:rPr>
        <w:t>D</w:t>
      </w:r>
      <w:r w:rsidR="00362EC8" w:rsidRPr="00BE2AAA">
        <w:rPr>
          <w:rFonts w:ascii="Arial" w:hAnsi="Arial" w:cs="Arial"/>
          <w:sz w:val="20"/>
          <w:szCs w:val="20"/>
          <w:lang w:val="fr-CA"/>
        </w:rPr>
        <w:t xml:space="preserve">es ajustements </w:t>
      </w:r>
      <w:r>
        <w:rPr>
          <w:rFonts w:ascii="Arial" w:hAnsi="Arial" w:cs="Arial"/>
          <w:sz w:val="20"/>
          <w:szCs w:val="20"/>
          <w:lang w:val="fr-CA"/>
        </w:rPr>
        <w:t xml:space="preserve">sont </w:t>
      </w:r>
      <w:r w:rsidR="00362EC8" w:rsidRPr="00BE2AAA">
        <w:rPr>
          <w:rFonts w:ascii="Arial" w:hAnsi="Arial" w:cs="Arial"/>
          <w:sz w:val="20"/>
          <w:szCs w:val="20"/>
          <w:lang w:val="fr-CA"/>
        </w:rPr>
        <w:t xml:space="preserve">faits aux calculs des budgets de base </w:t>
      </w:r>
      <w:r>
        <w:rPr>
          <w:rFonts w:ascii="Arial" w:hAnsi="Arial" w:cs="Arial"/>
          <w:sz w:val="20"/>
          <w:szCs w:val="20"/>
          <w:lang w:val="fr-CA"/>
        </w:rPr>
        <w:t>pour reflé</w:t>
      </w:r>
      <w:r w:rsidR="00362EC8" w:rsidRPr="00BE2AAA">
        <w:rPr>
          <w:rFonts w:ascii="Arial" w:hAnsi="Arial" w:cs="Arial"/>
          <w:sz w:val="20"/>
          <w:szCs w:val="20"/>
          <w:lang w:val="fr-CA"/>
        </w:rPr>
        <w:t>t</w:t>
      </w:r>
      <w:r>
        <w:rPr>
          <w:rFonts w:ascii="Arial" w:hAnsi="Arial" w:cs="Arial"/>
          <w:sz w:val="20"/>
          <w:szCs w:val="20"/>
          <w:lang w:val="fr-CA"/>
        </w:rPr>
        <w:t>er</w:t>
      </w:r>
      <w:r w:rsidR="00362EC8" w:rsidRPr="00BE2AAA">
        <w:rPr>
          <w:rFonts w:ascii="Arial" w:hAnsi="Arial" w:cs="Arial"/>
          <w:sz w:val="20"/>
          <w:szCs w:val="20"/>
          <w:lang w:val="fr-CA"/>
        </w:rPr>
        <w:t xml:space="preserve"> le nouveau financement approuvé, les réductions budgétaires ou l’élimination progressive du financement, ainsi que les décisions en matière de financement qui sont prises en ce qui concerne les affectations entre les unités opérationnelles. Ces ajustements sont classés par catégories, à savoir les ajustements renouvelables (augmentations ou diminutions permanentes) ou non renouvelables (augmentations ou diminutions temporaires</w:t>
      </w:r>
      <w:r w:rsidR="00362EC8">
        <w:rPr>
          <w:rFonts w:ascii="Arial" w:hAnsi="Arial" w:cs="Arial"/>
          <w:sz w:val="20"/>
          <w:szCs w:val="20"/>
          <w:lang w:val="fr-CA"/>
        </w:rPr>
        <w:t>).</w:t>
      </w:r>
    </w:p>
    <w:p w:rsidR="00362EC8" w:rsidRPr="00001E0D" w:rsidRDefault="00362EC8" w:rsidP="00362EC8">
      <w:pPr>
        <w:rPr>
          <w:rFonts w:ascii="Arial" w:hAnsi="Arial" w:cs="Arial"/>
          <w:sz w:val="20"/>
          <w:szCs w:val="20"/>
          <w:lang w:val="fr-CA"/>
        </w:rPr>
      </w:pPr>
      <w:bookmarkStart w:id="36" w:name="IIB2"/>
      <w:bookmarkEnd w:id="36"/>
    </w:p>
    <w:p w:rsidR="00362EC8" w:rsidRPr="00001E0D" w:rsidRDefault="00362EC8" w:rsidP="00362EC8">
      <w:pPr>
        <w:pStyle w:val="Heading3"/>
        <w:rPr>
          <w:lang w:val="fr-CA"/>
        </w:rPr>
      </w:pPr>
      <w:bookmarkStart w:id="37" w:name="_Toc485812711"/>
      <w:r w:rsidRPr="00001E0D">
        <w:rPr>
          <w:lang w:val="fr-CA"/>
        </w:rPr>
        <w:t xml:space="preserve">2.3.2. </w:t>
      </w:r>
      <w:r>
        <w:rPr>
          <w:lang w:val="fr-CA"/>
        </w:rPr>
        <w:t>Profil du financement des subventions et contributions</w:t>
      </w:r>
      <w:bookmarkEnd w:id="37"/>
    </w:p>
    <w:p w:rsidR="00362EC8" w:rsidRPr="00001E0D" w:rsidRDefault="00362EC8" w:rsidP="00362EC8">
      <w:pPr>
        <w:rPr>
          <w:rFonts w:ascii="Arial" w:hAnsi="Arial" w:cs="Arial"/>
          <w:sz w:val="20"/>
          <w:szCs w:val="20"/>
          <w:lang w:val="fr-CA"/>
        </w:rPr>
      </w:pPr>
    </w:p>
    <w:p w:rsidR="00362EC8" w:rsidRPr="00001E0D" w:rsidRDefault="00362EC8" w:rsidP="00362EC8">
      <w:pPr>
        <w:rPr>
          <w:rFonts w:ascii="Arial" w:hAnsi="Arial" w:cs="Arial"/>
          <w:sz w:val="20"/>
          <w:szCs w:val="20"/>
          <w:lang w:val="fr-CA"/>
        </w:rPr>
      </w:pPr>
      <w:r w:rsidRPr="00D40142">
        <w:rPr>
          <w:rFonts w:ascii="Arial" w:hAnsi="Arial" w:cs="Arial"/>
          <w:sz w:val="20"/>
          <w:szCs w:val="20"/>
          <w:lang w:val="fr-CA"/>
        </w:rPr>
        <w:t xml:space="preserve">Les </w:t>
      </w:r>
      <w:r>
        <w:rPr>
          <w:rFonts w:ascii="Arial" w:hAnsi="Arial" w:cs="Arial"/>
          <w:sz w:val="20"/>
          <w:szCs w:val="20"/>
          <w:lang w:val="fr-CA"/>
        </w:rPr>
        <w:t>subventions et contributions</w:t>
      </w:r>
      <w:r w:rsidR="004C4053">
        <w:rPr>
          <w:rFonts w:ascii="Arial" w:hAnsi="Arial" w:cs="Arial"/>
          <w:sz w:val="20"/>
          <w:szCs w:val="20"/>
          <w:lang w:val="fr-CA"/>
        </w:rPr>
        <w:t xml:space="preserve"> (S et C) </w:t>
      </w:r>
      <w:r w:rsidRPr="00D40142">
        <w:rPr>
          <w:rFonts w:ascii="Arial" w:hAnsi="Arial" w:cs="Arial"/>
          <w:sz w:val="20"/>
          <w:szCs w:val="20"/>
          <w:lang w:val="fr-CA"/>
        </w:rPr>
        <w:t>sont financées par le Trésor</w:t>
      </w:r>
      <w:r w:rsidR="00391092">
        <w:rPr>
          <w:rFonts w:ascii="Arial" w:hAnsi="Arial" w:cs="Arial"/>
          <w:sz w:val="20"/>
          <w:szCs w:val="20"/>
          <w:lang w:val="fr-CA"/>
        </w:rPr>
        <w:t>,</w:t>
      </w:r>
      <w:r w:rsidRPr="00D40142">
        <w:rPr>
          <w:rFonts w:ascii="Arial" w:hAnsi="Arial" w:cs="Arial"/>
          <w:sz w:val="20"/>
          <w:szCs w:val="20"/>
          <w:lang w:val="fr-CA"/>
        </w:rPr>
        <w:t xml:space="preserve"> ainsi que </w:t>
      </w:r>
      <w:r w:rsidR="00391092">
        <w:rPr>
          <w:rFonts w:ascii="Arial" w:hAnsi="Arial" w:cs="Arial"/>
          <w:sz w:val="20"/>
          <w:szCs w:val="20"/>
          <w:lang w:val="fr-CA"/>
        </w:rPr>
        <w:t xml:space="preserve">par la Partie II de la </w:t>
      </w:r>
      <w:r w:rsidR="00391092" w:rsidRPr="00391092">
        <w:rPr>
          <w:rFonts w:ascii="Arial" w:hAnsi="Arial" w:cs="Arial"/>
          <w:i/>
          <w:sz w:val="20"/>
          <w:szCs w:val="20"/>
          <w:lang w:val="fr-CA"/>
        </w:rPr>
        <w:t>Loi sur l’assurance-emploi</w:t>
      </w:r>
      <w:r w:rsidR="00391092">
        <w:rPr>
          <w:rFonts w:ascii="Arial" w:hAnsi="Arial" w:cs="Arial"/>
          <w:sz w:val="20"/>
          <w:szCs w:val="20"/>
          <w:lang w:val="fr-CA"/>
        </w:rPr>
        <w:t xml:space="preserve"> dans le cas des P</w:t>
      </w:r>
      <w:r w:rsidRPr="00D40142">
        <w:rPr>
          <w:rFonts w:ascii="Arial" w:hAnsi="Arial" w:cs="Arial"/>
          <w:sz w:val="20"/>
          <w:szCs w:val="20"/>
          <w:lang w:val="fr-CA"/>
        </w:rPr>
        <w:t>restations d’emploi et mesures de soutien</w:t>
      </w:r>
      <w:r w:rsidR="00391092">
        <w:rPr>
          <w:rFonts w:ascii="Arial" w:hAnsi="Arial" w:cs="Arial"/>
          <w:sz w:val="20"/>
          <w:szCs w:val="20"/>
          <w:lang w:val="fr-CA"/>
        </w:rPr>
        <w:t xml:space="preserve">. </w:t>
      </w:r>
      <w:r w:rsidRPr="00D40142">
        <w:rPr>
          <w:rFonts w:ascii="Arial" w:hAnsi="Arial" w:cs="Arial"/>
          <w:sz w:val="20"/>
          <w:szCs w:val="20"/>
          <w:lang w:val="fr-CA"/>
        </w:rPr>
        <w:t xml:space="preserve">Un profil de financement est utilisé </w:t>
      </w:r>
      <w:r w:rsidR="00391092">
        <w:rPr>
          <w:rFonts w:ascii="Arial" w:hAnsi="Arial" w:cs="Arial"/>
          <w:sz w:val="20"/>
          <w:szCs w:val="20"/>
          <w:lang w:val="fr-CA"/>
        </w:rPr>
        <w:t>pour suivre</w:t>
      </w:r>
      <w:r w:rsidRPr="00D40142">
        <w:rPr>
          <w:rFonts w:ascii="Arial" w:hAnsi="Arial" w:cs="Arial"/>
          <w:sz w:val="20"/>
          <w:szCs w:val="20"/>
          <w:lang w:val="fr-CA"/>
        </w:rPr>
        <w:t xml:space="preserve"> l’évolution du niveau de financement ministériel </w:t>
      </w:r>
      <w:r w:rsidR="00391092">
        <w:rPr>
          <w:rFonts w:ascii="Arial" w:hAnsi="Arial" w:cs="Arial"/>
          <w:sz w:val="20"/>
          <w:szCs w:val="20"/>
          <w:lang w:val="fr-CA"/>
        </w:rPr>
        <w:t xml:space="preserve">en lien avec le </w:t>
      </w:r>
      <w:r w:rsidRPr="00D40142">
        <w:rPr>
          <w:rFonts w:ascii="Arial" w:hAnsi="Arial" w:cs="Arial"/>
          <w:sz w:val="20"/>
          <w:szCs w:val="20"/>
          <w:lang w:val="fr-CA"/>
        </w:rPr>
        <w:t xml:space="preserve">cycle de gestion des dépenses (c.-à-d. </w:t>
      </w:r>
      <w:r w:rsidRPr="00D40142">
        <w:rPr>
          <w:rFonts w:ascii="Arial" w:hAnsi="Arial" w:cs="Arial"/>
          <w:sz w:val="20"/>
          <w:szCs w:val="20"/>
          <w:lang w:val="fr-CA"/>
        </w:rPr>
        <w:lastRenderedPageBreak/>
        <w:t xml:space="preserve">Budget principal des dépenses, budgets supplémentaires A, B et C, report de fonds de la </w:t>
      </w:r>
      <w:r>
        <w:rPr>
          <w:rFonts w:ascii="Arial" w:hAnsi="Arial" w:cs="Arial"/>
          <w:sz w:val="20"/>
          <w:szCs w:val="20"/>
          <w:lang w:val="fr-CA"/>
        </w:rPr>
        <w:t>MJANR</w:t>
      </w:r>
      <w:r w:rsidRPr="00D40142">
        <w:rPr>
          <w:rFonts w:ascii="Arial" w:hAnsi="Arial" w:cs="Arial"/>
          <w:sz w:val="20"/>
          <w:szCs w:val="20"/>
          <w:lang w:val="fr-CA"/>
        </w:rPr>
        <w:t xml:space="preserve">, etc.) et au plan de dépenses relatives à l’assurance-emploi pour les fonds de la partie II de la </w:t>
      </w:r>
      <w:r w:rsidRPr="00D40142">
        <w:rPr>
          <w:rFonts w:ascii="Arial" w:hAnsi="Arial" w:cs="Arial"/>
          <w:i/>
          <w:sz w:val="20"/>
          <w:szCs w:val="20"/>
          <w:lang w:val="fr-CA"/>
        </w:rPr>
        <w:t>Loi sur l’assurance-emploi</w:t>
      </w:r>
      <w:r w:rsidRPr="00D40142">
        <w:rPr>
          <w:rFonts w:ascii="Arial" w:hAnsi="Arial" w:cs="Arial"/>
          <w:sz w:val="20"/>
          <w:szCs w:val="20"/>
          <w:lang w:val="fr-CA"/>
        </w:rPr>
        <w:t>, pour chaque programme de subventions et de contributions. Les profils de financement sont de nature pluriannuelle et portent sur l’année en cours et sur les deux années de planification qui suivent</w:t>
      </w:r>
      <w:r w:rsidRPr="00001E0D">
        <w:rPr>
          <w:rFonts w:ascii="Arial" w:hAnsi="Arial" w:cs="Arial"/>
          <w:sz w:val="20"/>
          <w:szCs w:val="20"/>
          <w:lang w:val="fr-CA"/>
        </w:rPr>
        <w:t>.</w:t>
      </w:r>
    </w:p>
    <w:p w:rsidR="00362EC8" w:rsidRPr="00001E0D" w:rsidRDefault="00362EC8" w:rsidP="00362EC8">
      <w:pPr>
        <w:rPr>
          <w:rFonts w:ascii="Arial" w:hAnsi="Arial" w:cs="Arial"/>
          <w:sz w:val="20"/>
          <w:szCs w:val="20"/>
          <w:lang w:val="fr-CA"/>
        </w:rPr>
      </w:pPr>
    </w:p>
    <w:p w:rsidR="00362EC8" w:rsidRPr="00001E0D" w:rsidRDefault="00362EC8" w:rsidP="00362EC8">
      <w:pPr>
        <w:rPr>
          <w:rFonts w:ascii="Arial" w:hAnsi="Arial" w:cs="Arial"/>
          <w:sz w:val="20"/>
          <w:szCs w:val="20"/>
          <w:lang w:val="fr-CA"/>
        </w:rPr>
      </w:pPr>
      <w:r w:rsidRPr="00D40142">
        <w:rPr>
          <w:rFonts w:ascii="Arial" w:hAnsi="Arial" w:cs="Arial"/>
          <w:sz w:val="20"/>
          <w:szCs w:val="20"/>
          <w:lang w:val="fr-CA"/>
        </w:rPr>
        <w:t>Une fois que les affectations ont été déterminées et approuvées par le CGP, des lignes directrices sur le contrôle budgétaire sont transmises aux entités opérationnelles par la direction de l’A</w:t>
      </w:r>
      <w:r w:rsidR="00391092">
        <w:rPr>
          <w:rFonts w:ascii="Arial" w:hAnsi="Arial" w:cs="Arial"/>
          <w:sz w:val="20"/>
          <w:szCs w:val="20"/>
          <w:lang w:val="fr-CA"/>
        </w:rPr>
        <w:t>D</w:t>
      </w:r>
      <w:r w:rsidRPr="00D40142">
        <w:rPr>
          <w:rFonts w:ascii="Arial" w:hAnsi="Arial" w:cs="Arial"/>
          <w:sz w:val="20"/>
          <w:szCs w:val="20"/>
          <w:lang w:val="fr-CA"/>
        </w:rPr>
        <w:t>PF</w:t>
      </w:r>
      <w:r w:rsidRPr="00001E0D">
        <w:rPr>
          <w:rFonts w:ascii="Arial" w:hAnsi="Arial" w:cs="Arial"/>
          <w:sz w:val="20"/>
          <w:szCs w:val="20"/>
          <w:lang w:val="fr-CA"/>
        </w:rPr>
        <w:t>.</w:t>
      </w:r>
    </w:p>
    <w:p w:rsidR="00362EC8" w:rsidRPr="00001E0D" w:rsidRDefault="00362EC8" w:rsidP="00362EC8">
      <w:pPr>
        <w:rPr>
          <w:rFonts w:ascii="Arial" w:hAnsi="Arial" w:cs="Arial"/>
          <w:sz w:val="20"/>
          <w:szCs w:val="20"/>
          <w:lang w:val="fr-CA"/>
        </w:rPr>
      </w:pPr>
    </w:p>
    <w:p w:rsidR="00362EC8" w:rsidRPr="00001E0D" w:rsidRDefault="00362EC8" w:rsidP="00362EC8">
      <w:pPr>
        <w:pStyle w:val="Heading4"/>
        <w:rPr>
          <w:lang w:val="fr-CA"/>
        </w:rPr>
      </w:pPr>
      <w:bookmarkStart w:id="38" w:name="_Toc485812712"/>
      <w:r w:rsidRPr="00001E0D">
        <w:rPr>
          <w:lang w:val="fr-CA"/>
        </w:rPr>
        <w:t xml:space="preserve">2.3.2.1. </w:t>
      </w:r>
      <w:r>
        <w:rPr>
          <w:lang w:val="fr-CA"/>
        </w:rPr>
        <w:t>Subventions et contributions autorisées par loi de crédit</w:t>
      </w:r>
      <w:r w:rsidRPr="00001E0D">
        <w:rPr>
          <w:lang w:val="fr-CA"/>
        </w:rPr>
        <w:t xml:space="preserve"> (</w:t>
      </w:r>
      <w:r>
        <w:rPr>
          <w:lang w:val="fr-CA"/>
        </w:rPr>
        <w:t>Trésor</w:t>
      </w:r>
      <w:r w:rsidRPr="00001E0D">
        <w:rPr>
          <w:lang w:val="fr-CA"/>
        </w:rPr>
        <w:t>)</w:t>
      </w:r>
      <w:bookmarkEnd w:id="38"/>
    </w:p>
    <w:p w:rsidR="00362EC8" w:rsidRPr="00001E0D" w:rsidRDefault="00362EC8" w:rsidP="00362EC8">
      <w:pPr>
        <w:rPr>
          <w:lang w:val="fr-CA"/>
        </w:rPr>
      </w:pPr>
    </w:p>
    <w:p w:rsidR="00362EC8" w:rsidRPr="00001E0D" w:rsidRDefault="00362EC8" w:rsidP="00362EC8">
      <w:pPr>
        <w:ind w:left="748"/>
        <w:rPr>
          <w:rFonts w:ascii="Arial" w:hAnsi="Arial" w:cs="Arial"/>
          <w:sz w:val="20"/>
          <w:szCs w:val="20"/>
          <w:lang w:val="fr-CA"/>
        </w:rPr>
      </w:pPr>
      <w:r>
        <w:rPr>
          <w:rFonts w:ascii="Arial" w:hAnsi="Arial" w:cs="Arial"/>
          <w:b/>
          <w:bCs/>
          <w:sz w:val="20"/>
          <w:szCs w:val="20"/>
          <w:lang w:val="fr-CA"/>
        </w:rPr>
        <w:t>Subvention</w:t>
      </w:r>
      <w:r w:rsidRPr="00001E0D">
        <w:rPr>
          <w:rFonts w:ascii="Arial" w:hAnsi="Arial" w:cs="Arial"/>
          <w:sz w:val="20"/>
          <w:szCs w:val="20"/>
          <w:lang w:val="fr-CA"/>
        </w:rPr>
        <w:t xml:space="preserve"> </w:t>
      </w:r>
      <w:r>
        <w:rPr>
          <w:rFonts w:ascii="Arial" w:hAnsi="Arial" w:cs="Arial"/>
          <w:sz w:val="20"/>
          <w:szCs w:val="20"/>
          <w:lang w:val="fr-CA"/>
        </w:rPr>
        <w:t xml:space="preserve">– </w:t>
      </w:r>
      <w:r w:rsidRPr="00D40142">
        <w:rPr>
          <w:rFonts w:ascii="Arial" w:hAnsi="Arial" w:cs="Arial"/>
          <w:sz w:val="20"/>
          <w:szCs w:val="20"/>
          <w:lang w:val="fr-CA"/>
        </w:rPr>
        <w:t>transfert inconditionnel qui n’est pas assujetti à un compte rendu ni à une vérification, mais pour lequel le droit d’en bénéficier peut faire l’objet d’une vérification et le bénéficiaire peut devoir remplir des conditions préalables. Les subventions sont autorisées par le Parlement par l’intermédiaire d’une loi de crédit, exprimée par les mots « les subventions inscrites au Budget des dépenses ». Ainsi, les subventions ne peuvent être augmentées ou transférées à d’autres bénéficiaires sans l’autorisation du Parlement</w:t>
      </w:r>
      <w:r w:rsidRPr="00001E0D">
        <w:rPr>
          <w:rFonts w:ascii="Arial" w:hAnsi="Arial" w:cs="Arial"/>
          <w:sz w:val="20"/>
          <w:szCs w:val="20"/>
          <w:lang w:val="fr-CA"/>
        </w:rPr>
        <w:t>.</w:t>
      </w:r>
    </w:p>
    <w:p w:rsidR="00362EC8" w:rsidRPr="00001E0D" w:rsidRDefault="00362EC8" w:rsidP="00362EC8">
      <w:pPr>
        <w:ind w:left="748"/>
        <w:rPr>
          <w:rFonts w:ascii="Arial" w:hAnsi="Arial" w:cs="Arial"/>
          <w:sz w:val="20"/>
          <w:szCs w:val="20"/>
          <w:lang w:val="fr-CA"/>
        </w:rPr>
      </w:pPr>
    </w:p>
    <w:p w:rsidR="00362EC8" w:rsidRDefault="00362EC8" w:rsidP="00362EC8">
      <w:pPr>
        <w:ind w:left="748"/>
        <w:rPr>
          <w:rFonts w:ascii="Arial" w:hAnsi="Arial" w:cs="Arial"/>
          <w:sz w:val="20"/>
          <w:szCs w:val="20"/>
          <w:lang w:val="fr-CA"/>
        </w:rPr>
      </w:pPr>
      <w:r w:rsidRPr="00001E0D">
        <w:rPr>
          <w:rFonts w:ascii="Arial" w:hAnsi="Arial" w:cs="Arial"/>
          <w:b/>
          <w:bCs/>
          <w:sz w:val="20"/>
          <w:szCs w:val="20"/>
          <w:lang w:val="fr-CA"/>
        </w:rPr>
        <w:t>Contribution</w:t>
      </w:r>
      <w:r w:rsidRPr="00001E0D">
        <w:rPr>
          <w:rFonts w:ascii="Arial" w:hAnsi="Arial" w:cs="Arial"/>
          <w:sz w:val="20"/>
          <w:szCs w:val="20"/>
          <w:lang w:val="fr-CA"/>
        </w:rPr>
        <w:t xml:space="preserve"> </w:t>
      </w:r>
      <w:r>
        <w:rPr>
          <w:rFonts w:ascii="Arial" w:hAnsi="Arial" w:cs="Arial"/>
          <w:sz w:val="20"/>
          <w:szCs w:val="20"/>
          <w:lang w:val="fr-CA"/>
        </w:rPr>
        <w:t xml:space="preserve">– </w:t>
      </w:r>
      <w:r w:rsidRPr="00D40142">
        <w:rPr>
          <w:rFonts w:ascii="Arial" w:hAnsi="Arial" w:cs="Arial"/>
          <w:sz w:val="20"/>
          <w:szCs w:val="20"/>
          <w:lang w:val="fr-CA"/>
        </w:rPr>
        <w:t xml:space="preserve">transfert conditionnel à un particulier ou à un organisme à une fin précise qui peut faire l’objet d’un compte rendu ou d’une vérification conformément à l’accord à son sujet. La description des contributions est considérée informative et leur traitement offre une certaine souplesse en matière de gestion. Ainsi, pour éviter le report de montants de crédit, les </w:t>
      </w:r>
      <w:r w:rsidR="00B9516F">
        <w:rPr>
          <w:rFonts w:ascii="Arial" w:hAnsi="Arial" w:cs="Arial"/>
          <w:sz w:val="20"/>
          <w:szCs w:val="20"/>
          <w:lang w:val="fr-CA"/>
        </w:rPr>
        <w:t>ministère</w:t>
      </w:r>
      <w:r w:rsidRPr="00D40142">
        <w:rPr>
          <w:rFonts w:ascii="Arial" w:hAnsi="Arial" w:cs="Arial"/>
          <w:sz w:val="20"/>
          <w:szCs w:val="20"/>
          <w:lang w:val="fr-CA"/>
        </w:rPr>
        <w:t>s peuvent transférer des fonds entre différentes contributions (faisant partie d’un même crédit</w:t>
      </w:r>
      <w:r w:rsidRPr="00001E0D">
        <w:rPr>
          <w:rFonts w:ascii="Arial" w:hAnsi="Arial" w:cs="Arial"/>
          <w:sz w:val="20"/>
          <w:szCs w:val="20"/>
          <w:lang w:val="fr-CA"/>
        </w:rPr>
        <w:t>).</w:t>
      </w:r>
    </w:p>
    <w:p w:rsidR="00362EC8" w:rsidRPr="00001E0D" w:rsidRDefault="00362EC8" w:rsidP="00362EC8">
      <w:pPr>
        <w:rPr>
          <w:rFonts w:ascii="Arial" w:hAnsi="Arial" w:cs="Arial"/>
          <w:sz w:val="20"/>
          <w:szCs w:val="20"/>
          <w:lang w:val="fr-CA"/>
        </w:rPr>
      </w:pPr>
    </w:p>
    <w:p w:rsidR="00362EC8" w:rsidRPr="00001E0D" w:rsidRDefault="00362EC8" w:rsidP="00362EC8">
      <w:pPr>
        <w:pStyle w:val="Heading4"/>
        <w:rPr>
          <w:lang w:val="fr-CA"/>
        </w:rPr>
      </w:pPr>
      <w:bookmarkStart w:id="39" w:name="_Toc485812713"/>
      <w:r w:rsidRPr="00001E0D">
        <w:rPr>
          <w:lang w:val="fr-CA"/>
        </w:rPr>
        <w:t xml:space="preserve">2.3.2.2. </w:t>
      </w:r>
      <w:r>
        <w:rPr>
          <w:lang w:val="fr-CA"/>
        </w:rPr>
        <w:t>Prestations d’emploi et mesures de soutien</w:t>
      </w:r>
      <w:r w:rsidRPr="00001E0D">
        <w:rPr>
          <w:lang w:val="fr-CA"/>
        </w:rPr>
        <w:t xml:space="preserve"> (</w:t>
      </w:r>
      <w:r>
        <w:rPr>
          <w:lang w:val="fr-CA"/>
        </w:rPr>
        <w:t xml:space="preserve">fonds applicables à la partie II de la </w:t>
      </w:r>
      <w:r w:rsidRPr="00D40142">
        <w:rPr>
          <w:i/>
          <w:lang w:val="fr-CA"/>
        </w:rPr>
        <w:t>Loi sur l’assurance-emploi</w:t>
      </w:r>
      <w:r w:rsidRPr="00001E0D">
        <w:rPr>
          <w:lang w:val="fr-CA"/>
        </w:rPr>
        <w:t>)</w:t>
      </w:r>
      <w:bookmarkEnd w:id="39"/>
    </w:p>
    <w:p w:rsidR="00362EC8" w:rsidRPr="00001E0D" w:rsidRDefault="00362EC8" w:rsidP="00362EC8">
      <w:pPr>
        <w:autoSpaceDE w:val="0"/>
        <w:autoSpaceDN w:val="0"/>
        <w:adjustRightInd w:val="0"/>
        <w:ind w:left="748"/>
        <w:rPr>
          <w:rFonts w:ascii="Arial" w:hAnsi="Arial" w:cs="Arial"/>
          <w:sz w:val="20"/>
          <w:szCs w:val="20"/>
          <w:lang w:val="fr-CA"/>
        </w:rPr>
      </w:pPr>
    </w:p>
    <w:p w:rsidR="00362EC8" w:rsidRPr="00001E0D" w:rsidRDefault="00362EC8" w:rsidP="00362EC8">
      <w:pPr>
        <w:autoSpaceDE w:val="0"/>
        <w:autoSpaceDN w:val="0"/>
        <w:adjustRightInd w:val="0"/>
        <w:ind w:left="748"/>
        <w:rPr>
          <w:rFonts w:ascii="Arial" w:hAnsi="Arial" w:cs="Arial"/>
          <w:sz w:val="20"/>
          <w:szCs w:val="20"/>
          <w:lang w:val="fr-CA"/>
        </w:rPr>
      </w:pPr>
      <w:r w:rsidRPr="0081007A">
        <w:rPr>
          <w:rFonts w:ascii="Arial" w:hAnsi="Arial" w:cs="Arial"/>
          <w:sz w:val="20"/>
          <w:szCs w:val="20"/>
          <w:lang w:val="fr-CA"/>
        </w:rPr>
        <w:t xml:space="preserve">La partie II de la </w:t>
      </w:r>
      <w:r w:rsidRPr="0081007A">
        <w:rPr>
          <w:rFonts w:ascii="Arial" w:hAnsi="Arial" w:cs="Arial"/>
          <w:i/>
          <w:sz w:val="20"/>
          <w:szCs w:val="20"/>
          <w:lang w:val="fr-CA"/>
        </w:rPr>
        <w:t>Loi sur l’assurance-emploi</w:t>
      </w:r>
      <w:r w:rsidRPr="0081007A">
        <w:rPr>
          <w:rFonts w:ascii="Arial" w:hAnsi="Arial" w:cs="Arial"/>
          <w:sz w:val="20"/>
          <w:szCs w:val="20"/>
          <w:lang w:val="fr-CA"/>
        </w:rPr>
        <w:t xml:space="preserve"> prévoit l’engagement du gouvernement fédéral à travailler de concert avec les provinces et les territoires en vue de concevoir et de mettre en </w:t>
      </w:r>
      <w:r>
        <w:rPr>
          <w:rFonts w:ascii="Arial" w:hAnsi="Arial" w:cs="Arial"/>
          <w:sz w:val="20"/>
          <w:szCs w:val="20"/>
          <w:lang w:val="fr-CA"/>
        </w:rPr>
        <w:t xml:space="preserve">œuvre </w:t>
      </w:r>
      <w:r w:rsidRPr="0081007A">
        <w:rPr>
          <w:rFonts w:ascii="Arial" w:hAnsi="Arial" w:cs="Arial"/>
          <w:sz w:val="20"/>
          <w:szCs w:val="20"/>
          <w:lang w:val="fr-CA"/>
        </w:rPr>
        <w:t xml:space="preserve">des </w:t>
      </w:r>
      <w:r>
        <w:rPr>
          <w:rFonts w:ascii="Arial" w:hAnsi="Arial" w:cs="Arial"/>
          <w:sz w:val="20"/>
          <w:szCs w:val="20"/>
          <w:lang w:val="fr-CA"/>
        </w:rPr>
        <w:t>Prestations d’emploi et mesures de soutien ou des programmes et services similaires</w:t>
      </w:r>
      <w:r w:rsidRPr="0081007A">
        <w:rPr>
          <w:rFonts w:ascii="Arial" w:hAnsi="Arial" w:cs="Arial"/>
          <w:sz w:val="20"/>
          <w:szCs w:val="20"/>
          <w:lang w:val="fr-CA"/>
        </w:rPr>
        <w:t xml:space="preserve"> qui a</w:t>
      </w:r>
      <w:r w:rsidR="00252F52">
        <w:rPr>
          <w:rFonts w:ascii="Arial" w:hAnsi="Arial" w:cs="Arial"/>
          <w:sz w:val="20"/>
          <w:szCs w:val="20"/>
          <w:lang w:val="fr-CA"/>
        </w:rPr>
        <w:t>ideraient davantage les</w:t>
      </w:r>
      <w:r w:rsidRPr="0081007A">
        <w:rPr>
          <w:rFonts w:ascii="Arial" w:hAnsi="Arial" w:cs="Arial"/>
          <w:sz w:val="20"/>
          <w:szCs w:val="20"/>
          <w:lang w:val="fr-CA"/>
        </w:rPr>
        <w:t xml:space="preserve"> canadiens </w:t>
      </w:r>
      <w:r w:rsidR="00252F52">
        <w:rPr>
          <w:rFonts w:ascii="Arial" w:hAnsi="Arial" w:cs="Arial"/>
          <w:sz w:val="20"/>
          <w:szCs w:val="20"/>
          <w:lang w:val="fr-CA"/>
        </w:rPr>
        <w:t xml:space="preserve">sans emploi </w:t>
      </w:r>
      <w:r w:rsidRPr="0081007A">
        <w:rPr>
          <w:rFonts w:ascii="Arial" w:hAnsi="Arial" w:cs="Arial"/>
          <w:sz w:val="20"/>
          <w:szCs w:val="20"/>
          <w:lang w:val="fr-CA"/>
        </w:rPr>
        <w:t>à s’intégrer au marché du travail</w:t>
      </w:r>
      <w:r>
        <w:rPr>
          <w:rFonts w:ascii="Arial" w:hAnsi="Arial" w:cs="Arial"/>
          <w:sz w:val="20"/>
          <w:szCs w:val="20"/>
          <w:lang w:val="fr-CA"/>
        </w:rPr>
        <w:t>.</w:t>
      </w:r>
    </w:p>
    <w:p w:rsidR="00362EC8" w:rsidRPr="00001E0D" w:rsidRDefault="00362EC8" w:rsidP="00362EC8">
      <w:pPr>
        <w:autoSpaceDE w:val="0"/>
        <w:autoSpaceDN w:val="0"/>
        <w:adjustRightInd w:val="0"/>
        <w:rPr>
          <w:rFonts w:ascii="Arial" w:hAnsi="Arial" w:cs="Arial"/>
          <w:sz w:val="20"/>
          <w:szCs w:val="20"/>
          <w:lang w:val="fr-CA"/>
        </w:rPr>
      </w:pPr>
    </w:p>
    <w:p w:rsidR="00362EC8" w:rsidRPr="00001E0D" w:rsidRDefault="00362EC8" w:rsidP="00362EC8">
      <w:pPr>
        <w:autoSpaceDE w:val="0"/>
        <w:autoSpaceDN w:val="0"/>
        <w:adjustRightInd w:val="0"/>
        <w:ind w:left="748"/>
        <w:rPr>
          <w:rFonts w:ascii="Arial" w:hAnsi="Arial" w:cs="Arial"/>
          <w:sz w:val="20"/>
          <w:szCs w:val="20"/>
          <w:lang w:val="fr-CA"/>
        </w:rPr>
      </w:pPr>
      <w:r w:rsidRPr="0081007A">
        <w:rPr>
          <w:rFonts w:ascii="Arial" w:hAnsi="Arial" w:cs="Arial"/>
          <w:sz w:val="20"/>
          <w:szCs w:val="20"/>
          <w:lang w:val="fr-CA"/>
        </w:rPr>
        <w:t xml:space="preserve">Conformément à l’offre faite en 1996 par le gouvernement fédéral aux provinces et aux territoires de conclure des partenariats bilatéraux concernant des activités de développement du marché du travail, des EDMT ont été conclues avec toutes les provinces et tous les territoires. Les EDMT sont des ententes de transfert où la province ou le territoire assume la responsabilité de la conception et de la mise en </w:t>
      </w:r>
      <w:r>
        <w:rPr>
          <w:rFonts w:ascii="Arial" w:hAnsi="Arial" w:cs="Arial"/>
          <w:sz w:val="20"/>
          <w:szCs w:val="20"/>
          <w:lang w:val="fr-CA"/>
        </w:rPr>
        <w:t xml:space="preserve">œuvre </w:t>
      </w:r>
      <w:r w:rsidRPr="0081007A">
        <w:rPr>
          <w:rFonts w:ascii="Arial" w:hAnsi="Arial" w:cs="Arial"/>
          <w:sz w:val="20"/>
          <w:szCs w:val="20"/>
          <w:lang w:val="fr-CA"/>
        </w:rPr>
        <w:t>de programmes actifs d’aide à l’emploi</w:t>
      </w:r>
      <w:r w:rsidRPr="00001E0D">
        <w:rPr>
          <w:rFonts w:ascii="Arial" w:hAnsi="Arial" w:cs="Arial"/>
          <w:sz w:val="20"/>
          <w:szCs w:val="20"/>
          <w:lang w:val="fr-CA"/>
        </w:rPr>
        <w:t>.</w:t>
      </w:r>
    </w:p>
    <w:p w:rsidR="00362EC8" w:rsidRPr="00001E0D" w:rsidRDefault="00362EC8" w:rsidP="00362EC8">
      <w:pPr>
        <w:autoSpaceDE w:val="0"/>
        <w:autoSpaceDN w:val="0"/>
        <w:adjustRightInd w:val="0"/>
        <w:rPr>
          <w:rFonts w:ascii="Arial" w:hAnsi="Arial" w:cs="Arial"/>
          <w:sz w:val="20"/>
          <w:szCs w:val="20"/>
          <w:lang w:val="fr-CA"/>
        </w:rPr>
      </w:pPr>
    </w:p>
    <w:p w:rsidR="00362EC8" w:rsidRPr="00001E0D" w:rsidRDefault="00362EC8" w:rsidP="00362EC8">
      <w:pPr>
        <w:autoSpaceDE w:val="0"/>
        <w:autoSpaceDN w:val="0"/>
        <w:adjustRightInd w:val="0"/>
        <w:ind w:left="748"/>
        <w:rPr>
          <w:rFonts w:ascii="Arial" w:hAnsi="Arial" w:cs="Arial"/>
          <w:sz w:val="20"/>
          <w:szCs w:val="20"/>
          <w:lang w:val="fr-CA"/>
        </w:rPr>
      </w:pPr>
      <w:r w:rsidRPr="0081007A">
        <w:rPr>
          <w:rFonts w:ascii="Arial" w:hAnsi="Arial" w:cs="Arial"/>
          <w:sz w:val="20"/>
          <w:szCs w:val="20"/>
          <w:lang w:val="fr-CA"/>
        </w:rPr>
        <w:t>En p</w:t>
      </w:r>
      <w:r>
        <w:rPr>
          <w:rFonts w:ascii="Arial" w:hAnsi="Arial" w:cs="Arial"/>
          <w:sz w:val="20"/>
          <w:szCs w:val="20"/>
          <w:lang w:val="fr-CA"/>
        </w:rPr>
        <w:t xml:space="preserve">lus de ces programmes offerts aux échelles </w:t>
      </w:r>
      <w:r w:rsidRPr="0081007A">
        <w:rPr>
          <w:rFonts w:ascii="Arial" w:hAnsi="Arial" w:cs="Arial"/>
          <w:sz w:val="20"/>
          <w:szCs w:val="20"/>
          <w:lang w:val="fr-CA"/>
        </w:rPr>
        <w:t xml:space="preserve">locale et régionale, la partie II de la </w:t>
      </w:r>
      <w:r w:rsidRPr="0081007A">
        <w:rPr>
          <w:rFonts w:ascii="Arial" w:hAnsi="Arial" w:cs="Arial"/>
          <w:i/>
          <w:sz w:val="20"/>
          <w:szCs w:val="20"/>
          <w:lang w:val="fr-CA"/>
        </w:rPr>
        <w:t>Loi sur l’assurance-emploi</w:t>
      </w:r>
      <w:r w:rsidRPr="0081007A">
        <w:rPr>
          <w:rFonts w:ascii="Arial" w:hAnsi="Arial" w:cs="Arial"/>
          <w:sz w:val="20"/>
          <w:szCs w:val="20"/>
          <w:lang w:val="fr-CA"/>
        </w:rPr>
        <w:t xml:space="preserve"> comprend également des activités pancanadiennes de portée nationale ou multirégionale offertes par EDSC</w:t>
      </w:r>
      <w:r w:rsidRPr="00001E0D">
        <w:rPr>
          <w:rFonts w:ascii="Arial" w:hAnsi="Arial" w:cs="Arial"/>
          <w:sz w:val="20"/>
          <w:szCs w:val="20"/>
          <w:lang w:val="fr-CA"/>
        </w:rPr>
        <w:t>.</w:t>
      </w:r>
    </w:p>
    <w:p w:rsidR="00362EC8" w:rsidRPr="00001E0D" w:rsidRDefault="00362EC8" w:rsidP="00362EC8">
      <w:pPr>
        <w:autoSpaceDE w:val="0"/>
        <w:autoSpaceDN w:val="0"/>
        <w:adjustRightInd w:val="0"/>
        <w:rPr>
          <w:rFonts w:ascii="Arial" w:hAnsi="Arial" w:cs="Arial"/>
          <w:sz w:val="20"/>
          <w:szCs w:val="20"/>
          <w:lang w:val="fr-CA"/>
        </w:rPr>
      </w:pPr>
    </w:p>
    <w:p w:rsidR="00362EC8" w:rsidRPr="00001E0D" w:rsidRDefault="00362EC8" w:rsidP="00362EC8">
      <w:pPr>
        <w:autoSpaceDE w:val="0"/>
        <w:autoSpaceDN w:val="0"/>
        <w:adjustRightInd w:val="0"/>
        <w:ind w:left="748"/>
        <w:rPr>
          <w:rFonts w:ascii="Arial" w:hAnsi="Arial" w:cs="Arial"/>
          <w:sz w:val="20"/>
          <w:szCs w:val="20"/>
          <w:lang w:val="fr-CA"/>
        </w:rPr>
      </w:pPr>
      <w:r w:rsidRPr="0081007A">
        <w:rPr>
          <w:rFonts w:ascii="Arial" w:hAnsi="Arial" w:cs="Arial"/>
          <w:sz w:val="20"/>
          <w:szCs w:val="20"/>
          <w:lang w:val="fr-CA"/>
        </w:rPr>
        <w:t>Un plan de dépenses cernant les fonds nécessaires pour les programmes de l’EDMT et les responsabilités pancanadiennes est développé et présenté au CT chaque année. La distribution du financement des programmes de l’EDMT est fondée sur un modèle d’affectation des ressources qui tient compte des facteurs socioéconomiques</w:t>
      </w:r>
      <w:r w:rsidRPr="00001E0D">
        <w:rPr>
          <w:rFonts w:ascii="Arial" w:hAnsi="Arial" w:cs="Arial"/>
          <w:sz w:val="20"/>
          <w:szCs w:val="20"/>
          <w:lang w:val="fr-CA"/>
        </w:rPr>
        <w:t>.</w:t>
      </w:r>
    </w:p>
    <w:p w:rsidR="00362EC8" w:rsidRPr="00001E0D" w:rsidRDefault="00362EC8" w:rsidP="00362EC8">
      <w:pPr>
        <w:rPr>
          <w:rFonts w:ascii="Arial" w:hAnsi="Arial" w:cs="Arial"/>
          <w:sz w:val="20"/>
          <w:szCs w:val="20"/>
          <w:lang w:val="fr-CA"/>
        </w:rPr>
      </w:pPr>
    </w:p>
    <w:p w:rsidR="00362EC8" w:rsidRPr="00001E0D" w:rsidRDefault="00362EC8" w:rsidP="00362EC8">
      <w:pPr>
        <w:pStyle w:val="Heading3"/>
        <w:rPr>
          <w:lang w:val="fr-CA"/>
        </w:rPr>
      </w:pPr>
      <w:bookmarkStart w:id="40" w:name="IIB3"/>
      <w:bookmarkStart w:id="41" w:name="_Toc485812714"/>
      <w:bookmarkEnd w:id="40"/>
      <w:r w:rsidRPr="00001E0D">
        <w:rPr>
          <w:lang w:val="fr-CA"/>
        </w:rPr>
        <w:t xml:space="preserve">2.3.3. </w:t>
      </w:r>
      <w:r>
        <w:rPr>
          <w:lang w:val="fr-CA"/>
        </w:rPr>
        <w:t>Dépenses législatives</w:t>
      </w:r>
      <w:bookmarkEnd w:id="41"/>
    </w:p>
    <w:p w:rsidR="00362EC8" w:rsidRPr="00001E0D" w:rsidRDefault="00362EC8" w:rsidP="00362EC8">
      <w:pPr>
        <w:rPr>
          <w:rFonts w:ascii="Arial" w:hAnsi="Arial" w:cs="Arial"/>
          <w:sz w:val="20"/>
          <w:szCs w:val="20"/>
          <w:lang w:val="fr-CA"/>
        </w:rPr>
      </w:pPr>
    </w:p>
    <w:p w:rsidR="00362EC8" w:rsidRPr="00001E0D" w:rsidRDefault="00362EC8" w:rsidP="00362EC8">
      <w:pPr>
        <w:rPr>
          <w:rFonts w:ascii="Arial" w:hAnsi="Arial" w:cs="Arial"/>
          <w:sz w:val="20"/>
          <w:szCs w:val="20"/>
          <w:lang w:val="fr-CA"/>
        </w:rPr>
      </w:pPr>
      <w:r w:rsidRPr="00904ECE">
        <w:rPr>
          <w:rFonts w:ascii="Arial" w:hAnsi="Arial" w:cs="Arial"/>
          <w:sz w:val="20"/>
          <w:szCs w:val="20"/>
          <w:lang w:val="fr-CA"/>
        </w:rPr>
        <w:t>Les dépenses législatives sont réglementées par une législation particulière du Parlement actuel ou antérieur, et elles ne nécessitent donc pas une nouvelle approbation parlementaire. Des prévisions sont établies pour chaque type de dépenses législatives</w:t>
      </w:r>
      <w:r>
        <w:rPr>
          <w:rFonts w:ascii="Arial" w:hAnsi="Arial" w:cs="Arial"/>
          <w:sz w:val="20"/>
          <w:szCs w:val="20"/>
          <w:lang w:val="fr-CA"/>
        </w:rPr>
        <w:t xml:space="preserve"> et son présentés dans le budget des dépenses à titre d’information seulement</w:t>
      </w:r>
      <w:r w:rsidRPr="00904ECE">
        <w:rPr>
          <w:rFonts w:ascii="Arial" w:hAnsi="Arial" w:cs="Arial"/>
          <w:sz w:val="20"/>
          <w:szCs w:val="20"/>
          <w:lang w:val="fr-CA"/>
        </w:rPr>
        <w:t>. Au cours d’une année, les prévisions peuvent toutefois être augmentées ou diminuées de façon à satisfaire aux besoins. Les pr</w:t>
      </w:r>
      <w:r w:rsidR="00252F52">
        <w:rPr>
          <w:rFonts w:ascii="Arial" w:hAnsi="Arial" w:cs="Arial"/>
          <w:sz w:val="20"/>
          <w:szCs w:val="20"/>
          <w:lang w:val="fr-CA"/>
        </w:rPr>
        <w:t xml:space="preserve">incipaux postes législatifs du </w:t>
      </w:r>
      <w:r w:rsidR="00B9516F">
        <w:rPr>
          <w:rFonts w:ascii="Arial" w:hAnsi="Arial" w:cs="Arial"/>
          <w:sz w:val="20"/>
          <w:szCs w:val="20"/>
          <w:lang w:val="fr-CA"/>
        </w:rPr>
        <w:t>ministère</w:t>
      </w:r>
      <w:r w:rsidRPr="00904ECE">
        <w:rPr>
          <w:rFonts w:ascii="Arial" w:hAnsi="Arial" w:cs="Arial"/>
          <w:sz w:val="20"/>
          <w:szCs w:val="20"/>
          <w:lang w:val="fr-CA"/>
        </w:rPr>
        <w:t xml:space="preserve"> sont les suivants</w:t>
      </w:r>
      <w:r>
        <w:rPr>
          <w:rFonts w:ascii="Arial" w:hAnsi="Arial" w:cs="Arial"/>
          <w:sz w:val="20"/>
          <w:szCs w:val="20"/>
          <w:lang w:val="fr-CA"/>
        </w:rPr>
        <w:t> </w:t>
      </w:r>
      <w:r w:rsidRPr="00001E0D">
        <w:rPr>
          <w:rFonts w:ascii="Arial" w:hAnsi="Arial" w:cs="Arial"/>
          <w:sz w:val="20"/>
          <w:szCs w:val="20"/>
          <w:lang w:val="fr-CA"/>
        </w:rPr>
        <w:t>:</w:t>
      </w:r>
    </w:p>
    <w:p w:rsidR="00362EC8" w:rsidRPr="00001E0D" w:rsidRDefault="00362EC8" w:rsidP="00362EC8">
      <w:pPr>
        <w:rPr>
          <w:rFonts w:ascii="Arial" w:hAnsi="Arial" w:cs="Arial"/>
          <w:sz w:val="20"/>
          <w:szCs w:val="20"/>
          <w:lang w:val="fr-CA"/>
        </w:rPr>
      </w:pPr>
    </w:p>
    <w:p w:rsidR="00362EC8" w:rsidRPr="00001E0D" w:rsidRDefault="00362EC8" w:rsidP="00362EC8">
      <w:pPr>
        <w:numPr>
          <w:ilvl w:val="0"/>
          <w:numId w:val="6"/>
        </w:numPr>
        <w:rPr>
          <w:rFonts w:ascii="Arial" w:hAnsi="Arial" w:cs="Arial"/>
          <w:sz w:val="20"/>
          <w:szCs w:val="20"/>
          <w:lang w:val="fr-CA"/>
        </w:rPr>
      </w:pPr>
      <w:r>
        <w:rPr>
          <w:rFonts w:ascii="Arial" w:hAnsi="Arial" w:cs="Arial"/>
          <w:sz w:val="20"/>
          <w:szCs w:val="20"/>
          <w:lang w:val="fr-CA"/>
        </w:rPr>
        <w:t>Sécurité de la vieillesse</w:t>
      </w:r>
      <w:r w:rsidRPr="00001E0D">
        <w:rPr>
          <w:rFonts w:ascii="Arial" w:hAnsi="Arial" w:cs="Arial"/>
          <w:sz w:val="20"/>
          <w:szCs w:val="20"/>
          <w:lang w:val="fr-CA"/>
        </w:rPr>
        <w:t xml:space="preserve"> (</w:t>
      </w:r>
      <w:r>
        <w:rPr>
          <w:rFonts w:ascii="Arial" w:hAnsi="Arial" w:cs="Arial"/>
          <w:sz w:val="20"/>
          <w:szCs w:val="20"/>
          <w:lang w:val="fr-CA"/>
        </w:rPr>
        <w:t>SV</w:t>
      </w:r>
      <w:r w:rsidRPr="00001E0D">
        <w:rPr>
          <w:rFonts w:ascii="Arial" w:hAnsi="Arial" w:cs="Arial"/>
          <w:sz w:val="20"/>
          <w:szCs w:val="20"/>
          <w:lang w:val="fr-CA"/>
        </w:rPr>
        <w:t>);</w:t>
      </w:r>
    </w:p>
    <w:p w:rsidR="00362EC8" w:rsidRPr="00001E0D" w:rsidRDefault="00362EC8" w:rsidP="00362EC8">
      <w:pPr>
        <w:numPr>
          <w:ilvl w:val="0"/>
          <w:numId w:val="6"/>
        </w:numPr>
        <w:rPr>
          <w:rFonts w:ascii="Arial" w:hAnsi="Arial" w:cs="Arial"/>
          <w:sz w:val="20"/>
          <w:szCs w:val="20"/>
          <w:lang w:val="fr-CA"/>
        </w:rPr>
      </w:pPr>
      <w:r>
        <w:rPr>
          <w:rFonts w:ascii="Arial" w:hAnsi="Arial" w:cs="Arial"/>
          <w:sz w:val="20"/>
          <w:szCs w:val="20"/>
          <w:lang w:val="fr-CA"/>
        </w:rPr>
        <w:lastRenderedPageBreak/>
        <w:t>Supplément de revenu garanti</w:t>
      </w:r>
      <w:r w:rsidRPr="00001E0D">
        <w:rPr>
          <w:rFonts w:ascii="Arial" w:hAnsi="Arial" w:cs="Arial"/>
          <w:sz w:val="20"/>
          <w:szCs w:val="20"/>
          <w:lang w:val="fr-CA"/>
        </w:rPr>
        <w:t>;</w:t>
      </w:r>
    </w:p>
    <w:p w:rsidR="00362EC8" w:rsidRPr="00001E0D" w:rsidRDefault="00362EC8" w:rsidP="00362EC8">
      <w:pPr>
        <w:numPr>
          <w:ilvl w:val="0"/>
          <w:numId w:val="6"/>
        </w:numPr>
        <w:rPr>
          <w:rFonts w:ascii="Arial" w:hAnsi="Arial" w:cs="Arial"/>
          <w:sz w:val="20"/>
          <w:szCs w:val="20"/>
          <w:lang w:val="fr-CA"/>
        </w:rPr>
      </w:pPr>
      <w:r>
        <w:rPr>
          <w:rFonts w:ascii="Arial" w:hAnsi="Arial" w:cs="Arial"/>
          <w:sz w:val="20"/>
          <w:szCs w:val="20"/>
          <w:lang w:val="fr-CA"/>
        </w:rPr>
        <w:t>Indemnités</w:t>
      </w:r>
      <w:r w:rsidRPr="00001E0D">
        <w:rPr>
          <w:rFonts w:ascii="Arial" w:hAnsi="Arial" w:cs="Arial"/>
          <w:sz w:val="20"/>
          <w:szCs w:val="20"/>
          <w:lang w:val="fr-CA"/>
        </w:rPr>
        <w:t>;</w:t>
      </w:r>
    </w:p>
    <w:p w:rsidR="00362EC8" w:rsidRPr="00001E0D" w:rsidRDefault="00362EC8" w:rsidP="00362EC8">
      <w:pPr>
        <w:numPr>
          <w:ilvl w:val="0"/>
          <w:numId w:val="6"/>
        </w:numPr>
        <w:rPr>
          <w:rFonts w:ascii="Arial" w:hAnsi="Arial" w:cs="Arial"/>
          <w:sz w:val="20"/>
          <w:szCs w:val="20"/>
          <w:lang w:val="fr-CA"/>
        </w:rPr>
      </w:pPr>
      <w:r>
        <w:rPr>
          <w:rFonts w:ascii="Arial" w:hAnsi="Arial" w:cs="Arial"/>
          <w:sz w:val="20"/>
          <w:szCs w:val="20"/>
          <w:lang w:val="fr-CA"/>
        </w:rPr>
        <w:t>Subventions et prêts d’études canadiens et le programme de prêt canadien aux apprentis</w:t>
      </w:r>
    </w:p>
    <w:p w:rsidR="00362EC8" w:rsidRDefault="00362EC8" w:rsidP="00362EC8">
      <w:pPr>
        <w:numPr>
          <w:ilvl w:val="0"/>
          <w:numId w:val="6"/>
        </w:numPr>
        <w:rPr>
          <w:rFonts w:ascii="Arial" w:hAnsi="Arial" w:cs="Arial"/>
          <w:sz w:val="20"/>
          <w:szCs w:val="20"/>
          <w:lang w:val="fr-CA"/>
        </w:rPr>
      </w:pPr>
      <w:r w:rsidRPr="00904ECE">
        <w:rPr>
          <w:rFonts w:ascii="Arial" w:hAnsi="Arial" w:cs="Arial"/>
          <w:sz w:val="20"/>
          <w:szCs w:val="20"/>
          <w:lang w:val="fr-CA"/>
        </w:rPr>
        <w:t>Subvention canadienne pour l’épargne-études</w:t>
      </w:r>
      <w:r w:rsidRPr="00001E0D">
        <w:rPr>
          <w:rFonts w:ascii="Arial" w:hAnsi="Arial" w:cs="Arial"/>
          <w:sz w:val="20"/>
          <w:szCs w:val="20"/>
          <w:lang w:val="fr-CA"/>
        </w:rPr>
        <w:t>;</w:t>
      </w:r>
    </w:p>
    <w:p w:rsidR="00362EC8" w:rsidRPr="00001E0D" w:rsidRDefault="00362EC8" w:rsidP="00362EC8">
      <w:pPr>
        <w:numPr>
          <w:ilvl w:val="0"/>
          <w:numId w:val="6"/>
        </w:numPr>
        <w:rPr>
          <w:rFonts w:ascii="Arial" w:hAnsi="Arial" w:cs="Arial"/>
          <w:sz w:val="20"/>
          <w:szCs w:val="20"/>
          <w:lang w:val="fr-CA"/>
        </w:rPr>
      </w:pPr>
      <w:r>
        <w:rPr>
          <w:rFonts w:ascii="Arial" w:hAnsi="Arial" w:cs="Arial"/>
          <w:sz w:val="20"/>
          <w:szCs w:val="20"/>
          <w:lang w:val="fr-CA"/>
        </w:rPr>
        <w:t>Programme Canadien pour l’épargne-invalidité;</w:t>
      </w:r>
    </w:p>
    <w:p w:rsidR="00362EC8" w:rsidRPr="00001E0D" w:rsidRDefault="00362EC8" w:rsidP="00362EC8">
      <w:pPr>
        <w:numPr>
          <w:ilvl w:val="0"/>
          <w:numId w:val="6"/>
        </w:numPr>
        <w:rPr>
          <w:rFonts w:ascii="Arial" w:hAnsi="Arial" w:cs="Arial"/>
          <w:sz w:val="20"/>
          <w:szCs w:val="20"/>
          <w:lang w:val="fr-CA"/>
        </w:rPr>
      </w:pPr>
      <w:r w:rsidRPr="00904ECE">
        <w:rPr>
          <w:rFonts w:ascii="Arial" w:hAnsi="Arial" w:cs="Arial"/>
          <w:sz w:val="20"/>
          <w:szCs w:val="20"/>
          <w:lang w:val="fr-CA"/>
        </w:rPr>
        <w:t>Bon d’études canadien</w:t>
      </w:r>
      <w:r w:rsidRPr="00001E0D">
        <w:rPr>
          <w:rFonts w:ascii="Arial" w:hAnsi="Arial" w:cs="Arial"/>
          <w:sz w:val="20"/>
          <w:szCs w:val="20"/>
          <w:lang w:val="fr-CA"/>
        </w:rPr>
        <w:t>;</w:t>
      </w:r>
    </w:p>
    <w:p w:rsidR="00362EC8" w:rsidRPr="00001E0D" w:rsidRDefault="00362EC8" w:rsidP="00362EC8">
      <w:pPr>
        <w:numPr>
          <w:ilvl w:val="0"/>
          <w:numId w:val="6"/>
        </w:numPr>
        <w:rPr>
          <w:rFonts w:ascii="Arial" w:hAnsi="Arial" w:cs="Arial"/>
          <w:sz w:val="20"/>
          <w:szCs w:val="20"/>
          <w:lang w:val="fr-CA"/>
        </w:rPr>
      </w:pPr>
      <w:r w:rsidRPr="00904ECE">
        <w:rPr>
          <w:rFonts w:ascii="Arial" w:hAnsi="Arial" w:cs="Arial"/>
          <w:sz w:val="20"/>
          <w:szCs w:val="20"/>
          <w:lang w:val="fr-CA"/>
        </w:rPr>
        <w:t>Programme de protection des salariés</w:t>
      </w:r>
      <w:r w:rsidRPr="00001E0D">
        <w:rPr>
          <w:rFonts w:ascii="Arial" w:hAnsi="Arial" w:cs="Arial"/>
          <w:sz w:val="20"/>
          <w:szCs w:val="20"/>
          <w:lang w:val="fr-CA"/>
        </w:rPr>
        <w:t>;</w:t>
      </w:r>
    </w:p>
    <w:p w:rsidR="00362EC8" w:rsidRPr="00001E0D" w:rsidRDefault="00362EC8" w:rsidP="00362EC8">
      <w:pPr>
        <w:numPr>
          <w:ilvl w:val="0"/>
          <w:numId w:val="6"/>
        </w:numPr>
        <w:rPr>
          <w:rFonts w:ascii="Arial" w:hAnsi="Arial" w:cs="Arial"/>
          <w:sz w:val="20"/>
          <w:szCs w:val="20"/>
          <w:lang w:val="fr-CA"/>
        </w:rPr>
      </w:pPr>
      <w:r w:rsidRPr="00904ECE">
        <w:rPr>
          <w:rFonts w:ascii="Arial" w:hAnsi="Arial" w:cs="Arial"/>
          <w:sz w:val="20"/>
          <w:szCs w:val="20"/>
          <w:lang w:val="fr-CA"/>
        </w:rPr>
        <w:t>Prestations de retraite supplémentaires</w:t>
      </w:r>
      <w:r w:rsidRPr="00001E0D">
        <w:rPr>
          <w:rFonts w:ascii="Arial" w:hAnsi="Arial" w:cs="Arial"/>
          <w:sz w:val="20"/>
          <w:szCs w:val="20"/>
          <w:lang w:val="fr-CA"/>
        </w:rPr>
        <w:t>;</w:t>
      </w:r>
    </w:p>
    <w:p w:rsidR="00362EC8" w:rsidRPr="00001E0D" w:rsidRDefault="00362EC8" w:rsidP="00362EC8">
      <w:pPr>
        <w:numPr>
          <w:ilvl w:val="0"/>
          <w:numId w:val="6"/>
        </w:numPr>
        <w:rPr>
          <w:rFonts w:ascii="Arial" w:hAnsi="Arial" w:cs="Arial"/>
          <w:sz w:val="20"/>
          <w:szCs w:val="20"/>
          <w:lang w:val="fr-CA"/>
        </w:rPr>
      </w:pPr>
      <w:r w:rsidRPr="00904ECE">
        <w:rPr>
          <w:rFonts w:ascii="Arial" w:hAnsi="Arial" w:cs="Arial"/>
          <w:sz w:val="20"/>
          <w:szCs w:val="20"/>
          <w:lang w:val="fr-CA"/>
        </w:rPr>
        <w:t>Ajustement du passif actuariel au titre de l'assurance du service civil</w:t>
      </w:r>
      <w:r w:rsidRPr="00001E0D">
        <w:rPr>
          <w:rFonts w:ascii="Arial" w:hAnsi="Arial" w:cs="Arial"/>
          <w:sz w:val="20"/>
          <w:szCs w:val="20"/>
          <w:lang w:val="fr-CA"/>
        </w:rPr>
        <w:t>;</w:t>
      </w:r>
    </w:p>
    <w:p w:rsidR="00362EC8" w:rsidRDefault="00362EC8" w:rsidP="00362EC8">
      <w:pPr>
        <w:numPr>
          <w:ilvl w:val="0"/>
          <w:numId w:val="6"/>
        </w:numPr>
        <w:rPr>
          <w:rFonts w:ascii="Arial" w:hAnsi="Arial" w:cs="Arial"/>
          <w:sz w:val="20"/>
          <w:szCs w:val="20"/>
          <w:lang w:val="fr-CA"/>
        </w:rPr>
      </w:pPr>
      <w:r>
        <w:rPr>
          <w:rFonts w:ascii="Arial" w:hAnsi="Arial" w:cs="Arial"/>
          <w:sz w:val="20"/>
          <w:szCs w:val="20"/>
          <w:lang w:val="fr-CA"/>
        </w:rPr>
        <w:t>Indemnisation des accidentés du travail fédéraux</w:t>
      </w:r>
      <w:r w:rsidRPr="00D70CD2">
        <w:rPr>
          <w:rFonts w:ascii="Arial" w:hAnsi="Arial" w:cs="Arial"/>
          <w:sz w:val="20"/>
          <w:szCs w:val="20"/>
          <w:lang w:val="fr-CA"/>
        </w:rPr>
        <w:t>.</w:t>
      </w:r>
    </w:p>
    <w:p w:rsidR="00362EC8" w:rsidRPr="00D70CD2" w:rsidRDefault="00362EC8" w:rsidP="00362EC8">
      <w:pPr>
        <w:numPr>
          <w:ilvl w:val="0"/>
          <w:numId w:val="6"/>
        </w:numPr>
        <w:rPr>
          <w:rFonts w:ascii="Arial" w:hAnsi="Arial" w:cs="Arial"/>
          <w:sz w:val="20"/>
          <w:szCs w:val="20"/>
          <w:lang w:val="fr-CA"/>
        </w:rPr>
      </w:pPr>
      <w:r w:rsidRPr="00D70CD2">
        <w:rPr>
          <w:rFonts w:ascii="Arial" w:hAnsi="Arial" w:cs="Arial"/>
          <w:sz w:val="20"/>
          <w:szCs w:val="20"/>
          <w:lang w:val="fr-CA"/>
        </w:rPr>
        <w:t>Contributions aux régimes d'avantages sociaux des employés</w:t>
      </w:r>
    </w:p>
    <w:p w:rsidR="00362EC8" w:rsidRPr="00001E0D" w:rsidRDefault="00362EC8" w:rsidP="00362EC8">
      <w:pPr>
        <w:rPr>
          <w:rFonts w:ascii="Arial" w:hAnsi="Arial" w:cs="Arial"/>
          <w:sz w:val="20"/>
          <w:szCs w:val="20"/>
          <w:lang w:val="fr-CA"/>
        </w:rPr>
      </w:pPr>
      <w:bookmarkStart w:id="42" w:name="IIC"/>
      <w:bookmarkStart w:id="43" w:name="IID"/>
      <w:bookmarkEnd w:id="42"/>
      <w:bookmarkEnd w:id="43"/>
    </w:p>
    <w:p w:rsidR="00362EC8" w:rsidRPr="00001E0D" w:rsidRDefault="00362EC8" w:rsidP="00362EC8">
      <w:pPr>
        <w:pStyle w:val="Heading2"/>
        <w:rPr>
          <w:lang w:val="fr-CA"/>
        </w:rPr>
      </w:pPr>
      <w:bookmarkStart w:id="44" w:name="_Toc485812715"/>
      <w:r w:rsidRPr="00001E0D">
        <w:rPr>
          <w:lang w:val="fr-CA"/>
        </w:rPr>
        <w:t xml:space="preserve">2.4. </w:t>
      </w:r>
      <w:r>
        <w:rPr>
          <w:lang w:val="fr-CA"/>
        </w:rPr>
        <w:t>ÉTABLISSEMENT DES COÛTS</w:t>
      </w:r>
      <w:bookmarkEnd w:id="44"/>
      <w:r w:rsidRPr="00001E0D">
        <w:rPr>
          <w:lang w:val="fr-CA"/>
        </w:rPr>
        <w:t xml:space="preserve"> </w:t>
      </w:r>
    </w:p>
    <w:p w:rsidR="00362EC8" w:rsidRPr="00001E0D" w:rsidRDefault="00362EC8" w:rsidP="00362EC8">
      <w:pPr>
        <w:rPr>
          <w:rFonts w:ascii="Arial" w:hAnsi="Arial" w:cs="Arial"/>
          <w:sz w:val="20"/>
          <w:szCs w:val="20"/>
          <w:lang w:val="fr-CA"/>
        </w:rPr>
      </w:pPr>
    </w:p>
    <w:p w:rsidR="00362EC8" w:rsidRPr="00001E0D" w:rsidRDefault="00362EC8" w:rsidP="00362EC8">
      <w:pPr>
        <w:autoSpaceDE w:val="0"/>
        <w:autoSpaceDN w:val="0"/>
        <w:adjustRightInd w:val="0"/>
        <w:rPr>
          <w:rFonts w:ascii="Arial" w:hAnsi="Arial" w:cs="Arial"/>
          <w:color w:val="000000"/>
          <w:sz w:val="20"/>
          <w:szCs w:val="20"/>
          <w:lang w:val="fr-CA"/>
        </w:rPr>
      </w:pPr>
      <w:r w:rsidRPr="00C86B09">
        <w:rPr>
          <w:rFonts w:ascii="Arial" w:hAnsi="Arial" w:cs="Arial"/>
          <w:color w:val="000000"/>
          <w:sz w:val="20"/>
          <w:szCs w:val="20"/>
          <w:lang w:val="fr-CA"/>
        </w:rPr>
        <w:t>L’utilisation de données précises et de documents d’information bien préparés sur les coûts contribue à la responsabilisation et à la transparence et favorise une prise de décisions éclairées et une gestion intelligente des risques. Ainsi, l’établissement des coûts en tant que fonction de gestion opérationnelle est essentiel à la détermination du budget et au processus d’approbation ministérielle de l’incidence financière des approbations d’investissemen</w:t>
      </w:r>
      <w:r>
        <w:rPr>
          <w:rFonts w:ascii="Arial" w:hAnsi="Arial" w:cs="Arial"/>
          <w:color w:val="000000"/>
          <w:sz w:val="20"/>
          <w:szCs w:val="20"/>
          <w:lang w:val="fr-CA"/>
        </w:rPr>
        <w:t>ts</w:t>
      </w:r>
      <w:r w:rsidRPr="00C86B09">
        <w:rPr>
          <w:rFonts w:ascii="Arial" w:hAnsi="Arial" w:cs="Arial"/>
          <w:color w:val="000000"/>
          <w:sz w:val="20"/>
          <w:szCs w:val="20"/>
          <w:lang w:val="fr-CA"/>
        </w:rPr>
        <w:t>, des mémoires au Cabinet et des présentations au CT</w:t>
      </w:r>
      <w:r w:rsidRPr="00001E0D">
        <w:rPr>
          <w:rFonts w:ascii="Arial" w:hAnsi="Arial" w:cs="Arial"/>
          <w:color w:val="000000"/>
          <w:sz w:val="20"/>
          <w:szCs w:val="20"/>
          <w:lang w:val="fr-CA"/>
        </w:rPr>
        <w:t>.</w:t>
      </w:r>
    </w:p>
    <w:p w:rsidR="00362EC8" w:rsidRPr="00001E0D" w:rsidRDefault="00362EC8" w:rsidP="00362EC8">
      <w:pPr>
        <w:autoSpaceDE w:val="0"/>
        <w:autoSpaceDN w:val="0"/>
        <w:adjustRightInd w:val="0"/>
        <w:rPr>
          <w:rFonts w:ascii="Arial" w:hAnsi="Arial" w:cs="Arial"/>
          <w:color w:val="000000"/>
          <w:sz w:val="20"/>
          <w:szCs w:val="20"/>
          <w:lang w:val="fr-CA"/>
        </w:rPr>
      </w:pPr>
    </w:p>
    <w:p w:rsidR="00362EC8" w:rsidRDefault="00362EC8" w:rsidP="00362EC8">
      <w:pPr>
        <w:rPr>
          <w:rFonts w:ascii="Arial" w:hAnsi="Arial" w:cs="Arial"/>
          <w:sz w:val="20"/>
          <w:szCs w:val="20"/>
          <w:lang w:val="fr-CA"/>
        </w:rPr>
      </w:pPr>
      <w:r w:rsidRPr="00C86B09">
        <w:rPr>
          <w:rFonts w:ascii="Arial" w:hAnsi="Arial" w:cs="Arial"/>
          <w:sz w:val="20"/>
          <w:szCs w:val="20"/>
          <w:lang w:val="fr-CA"/>
        </w:rPr>
        <w:t>En général, les exercices d’établissement des coûts d’ES</w:t>
      </w:r>
      <w:r>
        <w:rPr>
          <w:rFonts w:ascii="Arial" w:hAnsi="Arial" w:cs="Arial"/>
          <w:sz w:val="20"/>
          <w:szCs w:val="20"/>
          <w:lang w:val="fr-CA"/>
        </w:rPr>
        <w:t>D</w:t>
      </w:r>
      <w:r w:rsidRPr="00C86B09">
        <w:rPr>
          <w:rFonts w:ascii="Arial" w:hAnsi="Arial" w:cs="Arial"/>
          <w:sz w:val="20"/>
          <w:szCs w:val="20"/>
          <w:lang w:val="fr-CA"/>
        </w:rPr>
        <w:t xml:space="preserve">C sont effectués en suivant la méthode des coûts par activités et sont élaborés en consultation avec les intervenants de sorte que des renseignements précis et pertinents soient transmis en temps opportun pour appuyer la prise de décision et la surveillance du rendement à tous les échelons de l’organisation. De plus, EDSC met en application </w:t>
      </w:r>
      <w:hyperlink r:id="rId30" w:history="1">
        <w:r w:rsidRPr="00815A82">
          <w:rPr>
            <w:rStyle w:val="Hyperlink"/>
            <w:rFonts w:ascii="Arial" w:hAnsi="Arial" w:cs="Arial"/>
            <w:sz w:val="20"/>
            <w:szCs w:val="20"/>
            <w:lang w:val="fr-CA"/>
          </w:rPr>
          <w:t>les lignes directrices sur l’établissement des coûts</w:t>
        </w:r>
      </w:hyperlink>
      <w:r w:rsidRPr="00C86B09">
        <w:rPr>
          <w:rFonts w:ascii="Arial" w:hAnsi="Arial" w:cs="Arial"/>
          <w:sz w:val="20"/>
          <w:szCs w:val="20"/>
          <w:lang w:val="fr-CA"/>
        </w:rPr>
        <w:t xml:space="preserve"> </w:t>
      </w:r>
      <w:r>
        <w:rPr>
          <w:rFonts w:ascii="Arial" w:hAnsi="Arial" w:cs="Arial"/>
          <w:sz w:val="20"/>
          <w:szCs w:val="20"/>
          <w:lang w:val="fr-CA"/>
        </w:rPr>
        <w:t xml:space="preserve">lesquelles incluent une approche </w:t>
      </w:r>
      <w:r w:rsidRPr="00C86B09">
        <w:rPr>
          <w:rFonts w:ascii="Arial" w:hAnsi="Arial" w:cs="Arial"/>
          <w:sz w:val="20"/>
          <w:szCs w:val="20"/>
          <w:lang w:val="fr-CA"/>
        </w:rPr>
        <w:t xml:space="preserve">en sept étapes </w:t>
      </w:r>
      <w:r>
        <w:rPr>
          <w:rFonts w:ascii="Arial" w:hAnsi="Arial" w:cs="Arial"/>
          <w:sz w:val="20"/>
          <w:szCs w:val="20"/>
          <w:lang w:val="fr-CA"/>
        </w:rPr>
        <w:t>de l’établissement des coûts.</w:t>
      </w:r>
    </w:p>
    <w:p w:rsidR="00252F52" w:rsidRPr="00001E0D" w:rsidRDefault="00252F52" w:rsidP="00362EC8">
      <w:pPr>
        <w:rPr>
          <w:rFonts w:ascii="Arial" w:hAnsi="Arial" w:cs="Arial"/>
          <w:sz w:val="20"/>
          <w:szCs w:val="20"/>
          <w:lang w:val="fr-CA"/>
        </w:rPr>
      </w:pPr>
    </w:p>
    <w:p w:rsidR="00362EC8" w:rsidRPr="00001E0D" w:rsidRDefault="00362EC8" w:rsidP="00362EC8">
      <w:pPr>
        <w:rPr>
          <w:rFonts w:ascii="Arial" w:hAnsi="Arial" w:cs="Arial"/>
          <w:sz w:val="20"/>
          <w:szCs w:val="20"/>
          <w:lang w:val="fr-CA"/>
        </w:rPr>
      </w:pPr>
      <w:r w:rsidRPr="00A95B97">
        <w:rPr>
          <w:rFonts w:ascii="Arial" w:hAnsi="Arial" w:cs="Arial"/>
          <w:sz w:val="20"/>
          <w:szCs w:val="20"/>
          <w:lang w:val="fr-CA"/>
        </w:rPr>
        <w:t xml:space="preserve">Les </w:t>
      </w:r>
      <w:r w:rsidR="00252F52">
        <w:rPr>
          <w:rFonts w:ascii="Arial" w:hAnsi="Arial" w:cs="Arial"/>
          <w:sz w:val="20"/>
          <w:szCs w:val="20"/>
          <w:lang w:val="fr-CA"/>
        </w:rPr>
        <w:t>S</w:t>
      </w:r>
      <w:r w:rsidRPr="00A95B97">
        <w:rPr>
          <w:rFonts w:ascii="Arial" w:hAnsi="Arial" w:cs="Arial"/>
          <w:sz w:val="20"/>
          <w:szCs w:val="20"/>
          <w:lang w:val="fr-CA"/>
        </w:rPr>
        <w:t xml:space="preserve">ous-ministres adjoints (SMA) travaillant en partenariat avec les </w:t>
      </w:r>
      <w:r w:rsidR="00252F52">
        <w:rPr>
          <w:rFonts w:ascii="Arial" w:hAnsi="Arial" w:cs="Arial"/>
          <w:sz w:val="20"/>
          <w:szCs w:val="20"/>
          <w:lang w:val="fr-CA"/>
        </w:rPr>
        <w:t>C</w:t>
      </w:r>
      <w:r w:rsidRPr="00A95B97">
        <w:rPr>
          <w:rFonts w:ascii="Arial" w:hAnsi="Arial" w:cs="Arial"/>
          <w:sz w:val="20"/>
          <w:szCs w:val="20"/>
          <w:lang w:val="fr-CA"/>
        </w:rPr>
        <w:t xml:space="preserve">onseillers en gestion financière (CGF) sont chargés d’établir des coûts à l’aide de la logique opérationnelle convertie en chiffres, en utilisant des directives et des conseils appuyés par l’unité </w:t>
      </w:r>
      <w:r>
        <w:rPr>
          <w:rFonts w:ascii="Arial" w:hAnsi="Arial" w:cs="Arial"/>
          <w:sz w:val="20"/>
          <w:szCs w:val="20"/>
          <w:lang w:val="fr-CA"/>
        </w:rPr>
        <w:t>d’analyse financière stratégique et établissement des coûts</w:t>
      </w:r>
      <w:r w:rsidRPr="00A95B97">
        <w:rPr>
          <w:rFonts w:ascii="Arial" w:hAnsi="Arial" w:cs="Arial"/>
          <w:sz w:val="20"/>
          <w:szCs w:val="20"/>
          <w:lang w:val="fr-CA"/>
        </w:rPr>
        <w:t xml:space="preserve"> et </w:t>
      </w:r>
      <w:r>
        <w:rPr>
          <w:rFonts w:ascii="Arial" w:hAnsi="Arial" w:cs="Arial"/>
          <w:sz w:val="20"/>
          <w:szCs w:val="20"/>
          <w:lang w:val="fr-CA"/>
        </w:rPr>
        <w:t xml:space="preserve">l’unité de contrôle des </w:t>
      </w:r>
      <w:r w:rsidRPr="00A95B97">
        <w:rPr>
          <w:rFonts w:ascii="Arial" w:hAnsi="Arial" w:cs="Arial"/>
          <w:sz w:val="20"/>
          <w:szCs w:val="20"/>
          <w:lang w:val="fr-CA"/>
        </w:rPr>
        <w:t>présentatio</w:t>
      </w:r>
      <w:r w:rsidR="00252F52">
        <w:rPr>
          <w:rFonts w:ascii="Arial" w:hAnsi="Arial" w:cs="Arial"/>
          <w:sz w:val="20"/>
          <w:szCs w:val="20"/>
          <w:lang w:val="fr-CA"/>
        </w:rPr>
        <w:t>ns au CT de la direction de l’AD</w:t>
      </w:r>
      <w:r w:rsidRPr="00A95B97">
        <w:rPr>
          <w:rFonts w:ascii="Arial" w:hAnsi="Arial" w:cs="Arial"/>
          <w:sz w:val="20"/>
          <w:szCs w:val="20"/>
          <w:lang w:val="fr-CA"/>
        </w:rPr>
        <w:t>PF</w:t>
      </w:r>
      <w:r w:rsidRPr="00001E0D">
        <w:rPr>
          <w:rFonts w:ascii="Arial" w:hAnsi="Arial" w:cs="Arial"/>
          <w:sz w:val="20"/>
          <w:szCs w:val="20"/>
          <w:lang w:val="fr-CA"/>
        </w:rPr>
        <w:t>.</w:t>
      </w:r>
    </w:p>
    <w:p w:rsidR="00362EC8" w:rsidRPr="00001E0D" w:rsidRDefault="00362EC8" w:rsidP="00362EC8">
      <w:pPr>
        <w:rPr>
          <w:rFonts w:ascii="Arial" w:hAnsi="Arial" w:cs="Arial"/>
          <w:sz w:val="20"/>
          <w:szCs w:val="20"/>
          <w:lang w:val="fr-CA"/>
        </w:rPr>
      </w:pPr>
    </w:p>
    <w:p w:rsidR="00362EC8" w:rsidRPr="00001E0D" w:rsidRDefault="00362EC8" w:rsidP="00362EC8">
      <w:pPr>
        <w:pStyle w:val="Heading3"/>
        <w:rPr>
          <w:lang w:val="fr-CA"/>
        </w:rPr>
      </w:pPr>
      <w:bookmarkStart w:id="45" w:name="_Toc485812716"/>
      <w:r w:rsidRPr="00001E0D">
        <w:rPr>
          <w:lang w:val="fr-CA"/>
        </w:rPr>
        <w:t xml:space="preserve">2.4.1. </w:t>
      </w:r>
      <w:r>
        <w:rPr>
          <w:lang w:val="fr-CA"/>
        </w:rPr>
        <w:t>Politique d’établissement des coûts d’EDSC</w:t>
      </w:r>
      <w:bookmarkEnd w:id="45"/>
    </w:p>
    <w:p w:rsidR="00362EC8" w:rsidRPr="00001E0D" w:rsidRDefault="00362EC8" w:rsidP="00362EC8">
      <w:pPr>
        <w:rPr>
          <w:rFonts w:ascii="Arial" w:hAnsi="Arial" w:cs="Arial"/>
          <w:sz w:val="20"/>
          <w:szCs w:val="20"/>
          <w:lang w:val="fr-CA"/>
        </w:rPr>
      </w:pPr>
      <w:bookmarkStart w:id="46" w:name="IIIA"/>
      <w:bookmarkStart w:id="47" w:name="III"/>
      <w:bookmarkEnd w:id="46"/>
      <w:bookmarkEnd w:id="47"/>
    </w:p>
    <w:p w:rsidR="00362EC8" w:rsidRPr="00001E0D" w:rsidRDefault="00362EC8" w:rsidP="00362EC8">
      <w:pPr>
        <w:rPr>
          <w:rFonts w:ascii="Arial" w:hAnsi="Arial" w:cs="Arial"/>
          <w:sz w:val="20"/>
          <w:szCs w:val="20"/>
          <w:lang w:val="fr-CA"/>
        </w:rPr>
      </w:pPr>
      <w:r w:rsidRPr="002F7EBC">
        <w:rPr>
          <w:rFonts w:ascii="Arial" w:hAnsi="Arial" w:cs="Arial"/>
          <w:sz w:val="20"/>
          <w:szCs w:val="20"/>
          <w:lang w:val="fr-CA"/>
        </w:rPr>
        <w:t xml:space="preserve">Cette politique est une interprétation </w:t>
      </w:r>
      <w:r>
        <w:rPr>
          <w:rFonts w:ascii="Arial" w:hAnsi="Arial" w:cs="Arial"/>
          <w:sz w:val="20"/>
          <w:szCs w:val="20"/>
          <w:lang w:val="fr-CA"/>
        </w:rPr>
        <w:t>des lignes directrices sur l</w:t>
      </w:r>
      <w:r w:rsidRPr="002F7EBC">
        <w:rPr>
          <w:rFonts w:ascii="Arial" w:hAnsi="Arial" w:cs="Arial"/>
          <w:sz w:val="20"/>
          <w:szCs w:val="20"/>
          <w:lang w:val="fr-CA"/>
        </w:rPr>
        <w:t xml:space="preserve">’établissement des coûts du CT propre à EDSC qui adhère à une approche générale d’établissement des coûts en sept étapes. Il est obligatoire de consulter cette </w:t>
      </w:r>
      <w:hyperlink r:id="rId31" w:history="1">
        <w:r w:rsidRPr="009F14C8">
          <w:rPr>
            <w:rStyle w:val="Hyperlink"/>
            <w:rFonts w:ascii="Arial" w:hAnsi="Arial" w:cs="Arial"/>
            <w:sz w:val="20"/>
            <w:szCs w:val="20"/>
            <w:lang w:val="fr-CA"/>
          </w:rPr>
          <w:t>politique</w:t>
        </w:r>
      </w:hyperlink>
      <w:r w:rsidRPr="002F7EBC">
        <w:rPr>
          <w:rFonts w:ascii="Arial" w:hAnsi="Arial" w:cs="Arial"/>
          <w:sz w:val="20"/>
          <w:szCs w:val="20"/>
          <w:lang w:val="fr-CA"/>
        </w:rPr>
        <w:t xml:space="preserve"> pour établir les coûts, pour donner des conseils en matière d’établissement des coûts ou pour attester la précision et la pertinence des renseignements sur les coûts</w:t>
      </w:r>
      <w:r w:rsidRPr="00001E0D">
        <w:rPr>
          <w:rFonts w:ascii="Arial" w:hAnsi="Arial" w:cs="Arial"/>
          <w:sz w:val="20"/>
          <w:szCs w:val="20"/>
          <w:lang w:val="fr-CA"/>
        </w:rPr>
        <w:t>.</w:t>
      </w:r>
    </w:p>
    <w:p w:rsidR="00362EC8" w:rsidRPr="00001E0D" w:rsidRDefault="00362EC8" w:rsidP="00362EC8">
      <w:pPr>
        <w:rPr>
          <w:rFonts w:ascii="Arial" w:hAnsi="Arial" w:cs="Arial"/>
          <w:sz w:val="20"/>
          <w:szCs w:val="20"/>
          <w:lang w:val="fr-CA"/>
        </w:rPr>
      </w:pPr>
    </w:p>
    <w:p w:rsidR="00362EC8" w:rsidRPr="00001E0D" w:rsidRDefault="00362EC8" w:rsidP="00362EC8">
      <w:pPr>
        <w:pStyle w:val="Heading3"/>
        <w:rPr>
          <w:lang w:val="fr-CA"/>
        </w:rPr>
      </w:pPr>
      <w:bookmarkStart w:id="48" w:name="_Toc485812717"/>
      <w:r w:rsidRPr="00001E0D">
        <w:rPr>
          <w:lang w:val="fr-CA"/>
        </w:rPr>
        <w:t xml:space="preserve">2.4.2. </w:t>
      </w:r>
      <w:r>
        <w:rPr>
          <w:lang w:val="fr-CA"/>
        </w:rPr>
        <w:t>Modèles de détermination des ressources</w:t>
      </w:r>
      <w:r w:rsidRPr="00001E0D">
        <w:rPr>
          <w:lang w:val="fr-CA"/>
        </w:rPr>
        <w:t xml:space="preserve"> (</w:t>
      </w:r>
      <w:r>
        <w:rPr>
          <w:lang w:val="fr-CA"/>
        </w:rPr>
        <w:t>MDR</w:t>
      </w:r>
      <w:r w:rsidRPr="00001E0D">
        <w:rPr>
          <w:lang w:val="fr-CA"/>
        </w:rPr>
        <w:t>)</w:t>
      </w:r>
      <w:bookmarkEnd w:id="48"/>
    </w:p>
    <w:p w:rsidR="00362EC8" w:rsidRPr="00001E0D" w:rsidRDefault="00362EC8" w:rsidP="00362EC8">
      <w:pPr>
        <w:rPr>
          <w:rFonts w:ascii="Arial" w:hAnsi="Arial" w:cs="Arial"/>
          <w:sz w:val="20"/>
          <w:szCs w:val="20"/>
          <w:lang w:val="fr-CA"/>
        </w:rPr>
      </w:pPr>
    </w:p>
    <w:p w:rsidR="00362EC8" w:rsidRPr="00001E0D" w:rsidRDefault="00362EC8" w:rsidP="00362EC8">
      <w:pPr>
        <w:rPr>
          <w:rFonts w:ascii="Arial" w:hAnsi="Arial" w:cs="Arial"/>
          <w:sz w:val="20"/>
          <w:szCs w:val="20"/>
          <w:lang w:val="fr-CA"/>
        </w:rPr>
      </w:pPr>
      <w:r w:rsidRPr="002F7EBC">
        <w:rPr>
          <w:rFonts w:ascii="Arial" w:hAnsi="Arial" w:cs="Arial"/>
          <w:sz w:val="20"/>
          <w:szCs w:val="20"/>
          <w:lang w:val="fr-CA"/>
        </w:rPr>
        <w:t>Des MDR sont utilisés par Service Canada pour appuyer les processus annuels de détermination du budget et d’allocation des ressources pour la plupart des secteurs d’activités. Les MDR transforment les exigences opérationnelles en termes financiers et sont utilisés pour les prévisions et les propositions de ressources. Ils offrent un mécanisme quantitatif robuste permettant de garantir l’affectation équitable des ressources et de veiller à ce que les fonds soient utilisés selon les principes de cohérence, d’équité, de transparence et d’objectivité</w:t>
      </w:r>
      <w:r w:rsidRPr="00001E0D">
        <w:rPr>
          <w:rFonts w:ascii="Arial" w:hAnsi="Arial" w:cs="Arial"/>
          <w:sz w:val="20"/>
          <w:szCs w:val="20"/>
          <w:lang w:val="fr-CA"/>
        </w:rPr>
        <w:t>.</w:t>
      </w:r>
      <w:r>
        <w:rPr>
          <w:rFonts w:ascii="Arial" w:hAnsi="Arial" w:cs="Arial"/>
          <w:sz w:val="20"/>
          <w:szCs w:val="20"/>
          <w:lang w:val="fr-CA"/>
        </w:rPr>
        <w:t xml:space="preserve"> </w:t>
      </w:r>
      <w:hyperlink r:id="rId32" w:history="1">
        <w:r w:rsidRPr="009F14C8">
          <w:rPr>
            <w:rStyle w:val="Hyperlink"/>
            <w:rFonts w:ascii="Arial" w:hAnsi="Arial" w:cs="Arial"/>
            <w:sz w:val="20"/>
            <w:szCs w:val="20"/>
            <w:lang w:val="fr-CA"/>
          </w:rPr>
          <w:t>Le guide d’élaboration de MDR</w:t>
        </w:r>
      </w:hyperlink>
      <w:r>
        <w:rPr>
          <w:rFonts w:ascii="Arial" w:hAnsi="Arial" w:cs="Arial"/>
          <w:sz w:val="20"/>
          <w:szCs w:val="20"/>
          <w:lang w:val="fr-CA"/>
        </w:rPr>
        <w:t xml:space="preserve"> doit être consulté et suivi lors de la mise en œuvre ou de la modification d’un MDR.</w:t>
      </w:r>
    </w:p>
    <w:p w:rsidR="00362EC8" w:rsidRPr="00001E0D" w:rsidRDefault="00362EC8" w:rsidP="00362EC8">
      <w:pPr>
        <w:rPr>
          <w:lang w:val="fr-CA"/>
        </w:rPr>
      </w:pPr>
    </w:p>
    <w:p w:rsidR="00362EC8" w:rsidRPr="00001E0D" w:rsidRDefault="00362EC8" w:rsidP="00362EC8">
      <w:pPr>
        <w:pStyle w:val="Heading1"/>
        <w:rPr>
          <w:lang w:val="fr-CA"/>
        </w:rPr>
      </w:pPr>
      <w:bookmarkStart w:id="49" w:name="_Toc485812718"/>
      <w:r w:rsidRPr="00001E0D">
        <w:rPr>
          <w:lang w:val="fr-CA"/>
        </w:rPr>
        <w:t xml:space="preserve">3. </w:t>
      </w:r>
      <w:r>
        <w:rPr>
          <w:lang w:val="fr-CA"/>
        </w:rPr>
        <w:t>GESTION DES RESSOURCES</w:t>
      </w:r>
      <w:bookmarkEnd w:id="49"/>
      <w:r w:rsidRPr="00001E0D">
        <w:rPr>
          <w:lang w:val="fr-CA"/>
        </w:rPr>
        <w:t xml:space="preserve"> </w:t>
      </w:r>
    </w:p>
    <w:p w:rsidR="00362EC8" w:rsidRPr="00001E0D" w:rsidRDefault="00362EC8" w:rsidP="00362EC8">
      <w:pPr>
        <w:rPr>
          <w:rFonts w:ascii="Arial" w:hAnsi="Arial"/>
          <w:sz w:val="20"/>
          <w:lang w:val="fr-CA"/>
        </w:rPr>
      </w:pPr>
    </w:p>
    <w:p w:rsidR="00362EC8" w:rsidRPr="00001E0D" w:rsidRDefault="00362EC8" w:rsidP="00362EC8">
      <w:pPr>
        <w:rPr>
          <w:rFonts w:ascii="Arial" w:hAnsi="Arial" w:cs="Arial"/>
          <w:sz w:val="20"/>
          <w:szCs w:val="20"/>
          <w:lang w:val="fr-CA"/>
        </w:rPr>
      </w:pPr>
      <w:r w:rsidRPr="002F7EBC">
        <w:rPr>
          <w:rFonts w:ascii="Arial" w:hAnsi="Arial" w:cs="Arial"/>
          <w:sz w:val="20"/>
          <w:szCs w:val="20"/>
          <w:lang w:val="fr-CA"/>
        </w:rPr>
        <w:t xml:space="preserve">La gestion des ressources financières est essentielle à une saine gestion et à une bonne gérance des ressources publiques. Elle fournit les règles, les lignes directrices, les processus, les renseignements financiers, les conseils et la </w:t>
      </w:r>
      <w:r w:rsidRPr="002F7EBC">
        <w:rPr>
          <w:rFonts w:ascii="Arial" w:hAnsi="Arial" w:cs="Arial"/>
          <w:sz w:val="20"/>
          <w:szCs w:val="20"/>
          <w:lang w:val="fr-CA"/>
        </w:rPr>
        <w:lastRenderedPageBreak/>
        <w:t>surveillance fonctionnelle, et assure la divulgation complète de toutes les transactions afin de protéger l’intégrité des fonds publics</w:t>
      </w:r>
      <w:r w:rsidRPr="00001E0D">
        <w:rPr>
          <w:rFonts w:ascii="Arial" w:hAnsi="Arial" w:cs="Arial"/>
          <w:sz w:val="20"/>
          <w:szCs w:val="20"/>
          <w:lang w:val="fr-CA"/>
        </w:rPr>
        <w:t>.</w:t>
      </w:r>
    </w:p>
    <w:p w:rsidR="00362EC8" w:rsidRPr="00001E0D" w:rsidRDefault="00362EC8" w:rsidP="00362EC8">
      <w:pPr>
        <w:rPr>
          <w:rFonts w:ascii="Arial" w:hAnsi="Arial" w:cs="Arial"/>
          <w:sz w:val="20"/>
          <w:szCs w:val="20"/>
          <w:lang w:val="fr-CA"/>
        </w:rPr>
      </w:pPr>
      <w:bookmarkStart w:id="50" w:name="IIIA2"/>
      <w:bookmarkStart w:id="51" w:name="IIIB"/>
      <w:bookmarkStart w:id="52" w:name="IIIC"/>
      <w:bookmarkEnd w:id="50"/>
      <w:bookmarkEnd w:id="51"/>
      <w:bookmarkEnd w:id="52"/>
    </w:p>
    <w:p w:rsidR="00362EC8" w:rsidRPr="00001E0D" w:rsidRDefault="00362EC8" w:rsidP="00362EC8">
      <w:pPr>
        <w:rPr>
          <w:rFonts w:ascii="Arial" w:hAnsi="Arial" w:cs="Arial"/>
          <w:sz w:val="20"/>
          <w:szCs w:val="20"/>
          <w:lang w:val="fr-CA"/>
        </w:rPr>
      </w:pPr>
      <w:r w:rsidRPr="005D383F">
        <w:rPr>
          <w:rFonts w:ascii="Arial" w:hAnsi="Arial" w:cs="Arial"/>
          <w:sz w:val="20"/>
          <w:szCs w:val="20"/>
          <w:lang w:val="fr-CA"/>
        </w:rPr>
        <w:t xml:space="preserve">Pour l’atteinte de ses objectifs et la gestion globale de ses ressources, le </w:t>
      </w:r>
      <w:r w:rsidR="00A65707">
        <w:rPr>
          <w:rFonts w:ascii="Arial" w:hAnsi="Arial" w:cs="Arial"/>
          <w:sz w:val="20"/>
          <w:szCs w:val="20"/>
          <w:lang w:val="fr-CA"/>
        </w:rPr>
        <w:t>ministère</w:t>
      </w:r>
      <w:r w:rsidRPr="005D383F">
        <w:rPr>
          <w:rFonts w:ascii="Arial" w:hAnsi="Arial" w:cs="Arial"/>
          <w:sz w:val="20"/>
          <w:szCs w:val="20"/>
          <w:lang w:val="fr-CA"/>
        </w:rPr>
        <w:t xml:space="preserve"> est assujetti à deux facteurs essentiels. Premièrement, les pouvoirs du Parlement et des organismes centraux régissent tous les cadres financiers ministériels. Par conséquent, la gestion des besoins financiers externes, comme le contrôle du crédit et les sources de financement, se fait au niveau de l’organisation et est la responsabilité de l’A</w:t>
      </w:r>
      <w:r w:rsidR="005D3A5E">
        <w:rPr>
          <w:rFonts w:ascii="Arial" w:hAnsi="Arial" w:cs="Arial"/>
          <w:sz w:val="20"/>
          <w:szCs w:val="20"/>
          <w:lang w:val="fr-CA"/>
        </w:rPr>
        <w:t>D</w:t>
      </w:r>
      <w:r w:rsidRPr="005D383F">
        <w:rPr>
          <w:rFonts w:ascii="Arial" w:hAnsi="Arial" w:cs="Arial"/>
          <w:sz w:val="20"/>
          <w:szCs w:val="20"/>
          <w:lang w:val="fr-CA"/>
        </w:rPr>
        <w:t>PF. Deuxièmement, les directions générales établissent certains paramètres dans l’intérêt de l’application des politiques nationales et relativement à la nécessité de respecter les exigences de la loi et les autres exigences externes. Les SMA sont responsables des objectifs des programmes, des normes nationales et des attentes en matière de rendement. Un transfert de ressources entre des activités de programme nécessite donc l’approbation des SMA appropriés</w:t>
      </w:r>
      <w:r w:rsidRPr="00001E0D">
        <w:rPr>
          <w:rFonts w:ascii="Arial" w:hAnsi="Arial" w:cs="Arial"/>
          <w:sz w:val="20"/>
          <w:szCs w:val="20"/>
          <w:lang w:val="fr-CA"/>
        </w:rPr>
        <w:t>.</w:t>
      </w:r>
    </w:p>
    <w:p w:rsidR="00362EC8" w:rsidRPr="00001E0D" w:rsidRDefault="00362EC8" w:rsidP="00362EC8">
      <w:pPr>
        <w:rPr>
          <w:rFonts w:ascii="Arial" w:hAnsi="Arial" w:cs="Arial"/>
          <w:b/>
          <w:bCs/>
          <w:iCs/>
          <w:sz w:val="22"/>
          <w:szCs w:val="28"/>
          <w:lang w:val="fr-CA"/>
        </w:rPr>
      </w:pPr>
    </w:p>
    <w:p w:rsidR="00362EC8" w:rsidRPr="00001E0D" w:rsidRDefault="00362EC8" w:rsidP="00362EC8">
      <w:pPr>
        <w:pStyle w:val="Heading2"/>
        <w:rPr>
          <w:lang w:val="fr-CA"/>
        </w:rPr>
      </w:pPr>
      <w:bookmarkStart w:id="53" w:name="_Toc485812719"/>
      <w:r w:rsidRPr="00001E0D">
        <w:rPr>
          <w:lang w:val="fr-CA"/>
        </w:rPr>
        <w:t xml:space="preserve">3.1. </w:t>
      </w:r>
      <w:r>
        <w:rPr>
          <w:lang w:val="fr-CA"/>
        </w:rPr>
        <w:t>POLITIQUE FINANCIÈRE</w:t>
      </w:r>
      <w:bookmarkEnd w:id="53"/>
    </w:p>
    <w:p w:rsidR="00362EC8" w:rsidRPr="00001E0D" w:rsidRDefault="00362EC8" w:rsidP="00362EC8">
      <w:pPr>
        <w:pStyle w:val="Heading3"/>
        <w:rPr>
          <w:lang w:val="fr-CA"/>
        </w:rPr>
      </w:pPr>
      <w:bookmarkStart w:id="54" w:name="_Toc485812720"/>
      <w:r w:rsidRPr="00001E0D">
        <w:rPr>
          <w:lang w:val="fr-CA"/>
        </w:rPr>
        <w:t xml:space="preserve">3.1.1. </w:t>
      </w:r>
      <w:r>
        <w:rPr>
          <w:lang w:val="fr-CA"/>
        </w:rPr>
        <w:t>Initiative de renouvellement des politiques du Secrétariat du Conseil du Trésor du Canada</w:t>
      </w:r>
      <w:bookmarkEnd w:id="54"/>
    </w:p>
    <w:p w:rsidR="00362EC8" w:rsidRPr="00001E0D" w:rsidRDefault="00362EC8" w:rsidP="00362EC8">
      <w:pPr>
        <w:rPr>
          <w:rFonts w:ascii="Arial" w:hAnsi="Arial" w:cs="Arial"/>
          <w:sz w:val="20"/>
          <w:szCs w:val="20"/>
          <w:lang w:val="fr-CA"/>
        </w:rPr>
      </w:pPr>
    </w:p>
    <w:p w:rsidR="00362EC8" w:rsidRDefault="00362EC8" w:rsidP="00362EC8">
      <w:pPr>
        <w:rPr>
          <w:rFonts w:ascii="Arial" w:hAnsi="Arial" w:cs="Arial"/>
          <w:sz w:val="20"/>
          <w:szCs w:val="20"/>
          <w:lang w:val="fr-CA"/>
        </w:rPr>
      </w:pPr>
      <w:r w:rsidRPr="008E2A92">
        <w:rPr>
          <w:rFonts w:ascii="Arial" w:hAnsi="Arial" w:cs="Arial"/>
          <w:sz w:val="20"/>
          <w:szCs w:val="20"/>
          <w:lang w:val="fr-CA"/>
        </w:rPr>
        <w:t>En avril 2017, le Conseil du Trésor</w:t>
      </w:r>
      <w:r>
        <w:rPr>
          <w:rFonts w:ascii="Arial" w:hAnsi="Arial" w:cs="Arial"/>
          <w:sz w:val="20"/>
          <w:szCs w:val="20"/>
          <w:lang w:val="fr-CA"/>
        </w:rPr>
        <w:t xml:space="preserve"> (TB) a lancé un ensemble renouvelé</w:t>
      </w:r>
      <w:r w:rsidRPr="008E2A92">
        <w:rPr>
          <w:rFonts w:ascii="Arial" w:hAnsi="Arial" w:cs="Arial"/>
          <w:sz w:val="20"/>
          <w:szCs w:val="20"/>
          <w:lang w:val="fr-CA"/>
        </w:rPr>
        <w:t xml:space="preserve"> de</w:t>
      </w:r>
      <w:r>
        <w:rPr>
          <w:rFonts w:ascii="Arial" w:hAnsi="Arial" w:cs="Arial"/>
          <w:sz w:val="20"/>
          <w:szCs w:val="20"/>
          <w:lang w:val="fr-CA"/>
        </w:rPr>
        <w:t>s</w:t>
      </w:r>
      <w:r w:rsidRPr="008E2A92">
        <w:rPr>
          <w:rFonts w:ascii="Arial" w:hAnsi="Arial" w:cs="Arial"/>
          <w:sz w:val="20"/>
          <w:szCs w:val="20"/>
          <w:lang w:val="fr-CA"/>
        </w:rPr>
        <w:t xml:space="preserve"> politique</w:t>
      </w:r>
      <w:r>
        <w:rPr>
          <w:rFonts w:ascii="Arial" w:hAnsi="Arial" w:cs="Arial"/>
          <w:sz w:val="20"/>
          <w:szCs w:val="20"/>
          <w:lang w:val="fr-CA"/>
        </w:rPr>
        <w:t>s</w:t>
      </w:r>
      <w:r w:rsidRPr="008E2A92">
        <w:rPr>
          <w:rFonts w:ascii="Arial" w:hAnsi="Arial" w:cs="Arial"/>
          <w:sz w:val="20"/>
          <w:szCs w:val="20"/>
          <w:lang w:val="fr-CA"/>
        </w:rPr>
        <w:t xml:space="preserve"> de gestion financière dans le but de mettre en œuvre une approche plus moderne de la fonction de contrôleur en rationalisant et en clarifiant les responsabilités</w:t>
      </w:r>
      <w:r w:rsidR="005D3A5E">
        <w:rPr>
          <w:rFonts w:ascii="Arial" w:hAnsi="Arial" w:cs="Arial"/>
          <w:sz w:val="20"/>
          <w:szCs w:val="20"/>
          <w:lang w:val="fr-CA"/>
        </w:rPr>
        <w:t>;</w:t>
      </w:r>
      <w:r w:rsidRPr="008E2A92">
        <w:rPr>
          <w:rFonts w:ascii="Arial" w:hAnsi="Arial" w:cs="Arial"/>
          <w:sz w:val="20"/>
          <w:szCs w:val="20"/>
          <w:lang w:val="fr-CA"/>
        </w:rPr>
        <w:t xml:space="preserve"> tout en veillant à ce que les risques soient atténués de manière appropriée et que la paperasserie soit réduite</w:t>
      </w:r>
      <w:r>
        <w:rPr>
          <w:rFonts w:ascii="Arial" w:hAnsi="Arial" w:cs="Arial"/>
          <w:sz w:val="20"/>
          <w:szCs w:val="20"/>
          <w:lang w:val="fr-CA"/>
        </w:rPr>
        <w:t>.</w:t>
      </w:r>
    </w:p>
    <w:p w:rsidR="005D3A5E" w:rsidRDefault="005D3A5E" w:rsidP="00362EC8">
      <w:pPr>
        <w:rPr>
          <w:rFonts w:ascii="Arial" w:hAnsi="Arial" w:cs="Arial"/>
          <w:sz w:val="20"/>
          <w:szCs w:val="20"/>
          <w:lang w:val="fr-CA"/>
        </w:rPr>
      </w:pPr>
    </w:p>
    <w:p w:rsidR="00362EC8" w:rsidRDefault="00362EC8" w:rsidP="00362EC8">
      <w:pPr>
        <w:rPr>
          <w:rFonts w:ascii="Arial" w:hAnsi="Arial" w:cs="Arial"/>
          <w:sz w:val="20"/>
          <w:szCs w:val="20"/>
          <w:lang w:val="fr-CA"/>
        </w:rPr>
      </w:pPr>
      <w:r w:rsidRPr="003C520C">
        <w:rPr>
          <w:rFonts w:ascii="Arial" w:hAnsi="Arial" w:cs="Arial"/>
          <w:sz w:val="20"/>
          <w:szCs w:val="20"/>
          <w:lang w:val="fr-CA"/>
        </w:rPr>
        <w:t>L'a</w:t>
      </w:r>
      <w:r w:rsidRPr="00113549">
        <w:rPr>
          <w:rFonts w:ascii="Arial" w:hAnsi="Arial" w:cs="Arial"/>
          <w:sz w:val="20"/>
          <w:szCs w:val="20"/>
          <w:lang w:val="fr-CA"/>
        </w:rPr>
        <w:t>rchitecture d</w:t>
      </w:r>
      <w:r>
        <w:rPr>
          <w:rFonts w:ascii="Arial" w:hAnsi="Arial" w:cs="Arial"/>
          <w:sz w:val="20"/>
          <w:szCs w:val="20"/>
          <w:lang w:val="fr-CA"/>
        </w:rPr>
        <w:t>u nouvel ensemble</w:t>
      </w:r>
      <w:r w:rsidRPr="003C520C">
        <w:rPr>
          <w:rFonts w:ascii="Arial" w:hAnsi="Arial" w:cs="Arial"/>
          <w:sz w:val="20"/>
          <w:szCs w:val="20"/>
          <w:lang w:val="fr-CA"/>
        </w:rPr>
        <w:t xml:space="preserve"> varie considérablement par rapport à ce qui était précédemment en vigueur. Quarante-quatre instruments obligatoires avec plus de 600 exigences ont été résiliés et remplacés par une politique et six directives avec environ 200 exigences. L'objectif de la </w:t>
      </w:r>
      <w:r w:rsidRPr="005D3A5E">
        <w:rPr>
          <w:rFonts w:ascii="Arial" w:hAnsi="Arial" w:cs="Arial"/>
          <w:i/>
          <w:sz w:val="20"/>
          <w:szCs w:val="20"/>
          <w:lang w:val="fr-CA"/>
        </w:rPr>
        <w:t>Politique générale sur la gestion financière</w:t>
      </w:r>
      <w:r w:rsidRPr="003C520C">
        <w:rPr>
          <w:rFonts w:ascii="Arial" w:hAnsi="Arial" w:cs="Arial"/>
          <w:sz w:val="20"/>
          <w:szCs w:val="20"/>
          <w:lang w:val="fr-CA"/>
        </w:rPr>
        <w:t xml:space="preserve"> associe les principes fondamentaux de la gestion financière au gouvernement du Canada par le concept de contrôleur moderne</w:t>
      </w:r>
      <w:r>
        <w:rPr>
          <w:rFonts w:ascii="Arial" w:hAnsi="Arial" w:cs="Arial"/>
          <w:sz w:val="20"/>
          <w:szCs w:val="20"/>
          <w:lang w:val="fr-CA"/>
        </w:rPr>
        <w:t> :</w:t>
      </w:r>
    </w:p>
    <w:p w:rsidR="00362EC8" w:rsidRDefault="00362EC8" w:rsidP="00362EC8">
      <w:pPr>
        <w:rPr>
          <w:rFonts w:ascii="Arial" w:hAnsi="Arial" w:cs="Arial"/>
          <w:sz w:val="20"/>
          <w:szCs w:val="20"/>
          <w:lang w:val="fr-CA"/>
        </w:rPr>
      </w:pPr>
    </w:p>
    <w:p w:rsidR="00362EC8" w:rsidRDefault="00362EC8" w:rsidP="00362EC8">
      <w:pPr>
        <w:ind w:left="720"/>
        <w:rPr>
          <w:rFonts w:ascii="Arial" w:hAnsi="Arial" w:cs="Arial"/>
          <w:i/>
          <w:sz w:val="20"/>
          <w:szCs w:val="20"/>
          <w:lang w:val="fr-CA"/>
        </w:rPr>
      </w:pPr>
      <w:r w:rsidRPr="003C520C">
        <w:rPr>
          <w:rFonts w:ascii="Arial" w:hAnsi="Arial" w:cs="Arial"/>
          <w:i/>
          <w:sz w:val="20"/>
          <w:szCs w:val="20"/>
          <w:lang w:val="fr-CA"/>
        </w:rPr>
        <w:t>Les ressources financières sont bien gérées dans le cadre de la prestation de programmes aux Canadiens et protégées par des contrôles équilibrés qui permettent la flexibilité et la gestion des risques.</w:t>
      </w:r>
    </w:p>
    <w:p w:rsidR="00362EC8" w:rsidRPr="003C520C" w:rsidRDefault="00362EC8" w:rsidP="00362EC8">
      <w:pPr>
        <w:ind w:left="720"/>
        <w:rPr>
          <w:rFonts w:ascii="Arial" w:hAnsi="Arial" w:cs="Arial"/>
          <w:i/>
          <w:sz w:val="20"/>
          <w:szCs w:val="20"/>
          <w:lang w:val="fr-CA"/>
        </w:rPr>
      </w:pPr>
    </w:p>
    <w:p w:rsidR="00362EC8" w:rsidRPr="008E2A92" w:rsidRDefault="00362EC8" w:rsidP="00362EC8">
      <w:pPr>
        <w:rPr>
          <w:rFonts w:ascii="Arial" w:hAnsi="Arial" w:cs="Arial"/>
          <w:sz w:val="20"/>
          <w:szCs w:val="20"/>
          <w:lang w:val="fr-CA"/>
        </w:rPr>
      </w:pPr>
      <w:r w:rsidRPr="008E2A92">
        <w:rPr>
          <w:rFonts w:ascii="Arial" w:hAnsi="Arial" w:cs="Arial"/>
          <w:sz w:val="20"/>
          <w:szCs w:val="20"/>
          <w:lang w:val="fr-CA"/>
        </w:rPr>
        <w:t>Cet exercice de «réinitialisation» vise à renforcer la gestion finan</w:t>
      </w:r>
      <w:r>
        <w:rPr>
          <w:rFonts w:ascii="Arial" w:hAnsi="Arial" w:cs="Arial"/>
          <w:sz w:val="20"/>
          <w:szCs w:val="20"/>
          <w:lang w:val="fr-CA"/>
        </w:rPr>
        <w:t>cière soit</w:t>
      </w:r>
      <w:r w:rsidRPr="008E2A92">
        <w:rPr>
          <w:rFonts w:ascii="Arial" w:hAnsi="Arial" w:cs="Arial"/>
          <w:sz w:val="20"/>
          <w:szCs w:val="20"/>
          <w:lang w:val="fr-CA"/>
        </w:rPr>
        <w:t>:</w:t>
      </w:r>
    </w:p>
    <w:p w:rsidR="00362EC8" w:rsidRPr="00113549" w:rsidRDefault="00362EC8" w:rsidP="00362EC8">
      <w:pPr>
        <w:ind w:left="720"/>
        <w:rPr>
          <w:rFonts w:ascii="Arial" w:hAnsi="Arial" w:cs="Arial"/>
          <w:sz w:val="20"/>
          <w:szCs w:val="20"/>
          <w:lang w:val="fr-CA"/>
        </w:rPr>
      </w:pPr>
      <w:r>
        <w:rPr>
          <w:rFonts w:ascii="Arial" w:hAnsi="Arial" w:cs="Arial"/>
          <w:sz w:val="20"/>
          <w:szCs w:val="20"/>
          <w:lang w:val="fr-CA"/>
        </w:rPr>
        <w:t>• Simplifier</w:t>
      </w:r>
      <w:r w:rsidRPr="00113549">
        <w:rPr>
          <w:rFonts w:ascii="Arial" w:hAnsi="Arial" w:cs="Arial"/>
          <w:sz w:val="20"/>
          <w:szCs w:val="20"/>
          <w:lang w:val="fr-CA"/>
        </w:rPr>
        <w:t xml:space="preserve">, </w:t>
      </w:r>
      <w:r w:rsidRPr="003C520C">
        <w:rPr>
          <w:rFonts w:ascii="Arial" w:hAnsi="Arial" w:cs="Arial"/>
          <w:sz w:val="20"/>
          <w:szCs w:val="20"/>
          <w:lang w:val="fr-CA"/>
        </w:rPr>
        <w:t>rationaliser et clarifier l</w:t>
      </w:r>
      <w:r w:rsidRPr="00113549">
        <w:rPr>
          <w:rFonts w:ascii="Arial" w:hAnsi="Arial" w:cs="Arial"/>
          <w:sz w:val="20"/>
          <w:szCs w:val="20"/>
          <w:lang w:val="fr-CA"/>
        </w:rPr>
        <w:t>es exigences politiques;</w:t>
      </w:r>
    </w:p>
    <w:p w:rsidR="00362EC8" w:rsidRPr="00113549" w:rsidRDefault="00362EC8" w:rsidP="00362EC8">
      <w:pPr>
        <w:ind w:left="720"/>
        <w:rPr>
          <w:rFonts w:ascii="Arial" w:hAnsi="Arial" w:cs="Arial"/>
          <w:sz w:val="20"/>
          <w:szCs w:val="20"/>
          <w:lang w:val="fr-CA"/>
        </w:rPr>
      </w:pPr>
      <w:r w:rsidRPr="00113549">
        <w:rPr>
          <w:rFonts w:ascii="Arial" w:hAnsi="Arial" w:cs="Arial"/>
          <w:sz w:val="20"/>
          <w:szCs w:val="20"/>
          <w:lang w:val="fr-CA"/>
        </w:rPr>
        <w:t xml:space="preserve">• </w:t>
      </w:r>
      <w:r>
        <w:rPr>
          <w:rFonts w:ascii="Arial" w:hAnsi="Arial" w:cs="Arial"/>
          <w:sz w:val="20"/>
          <w:szCs w:val="20"/>
          <w:lang w:val="fr-CA"/>
        </w:rPr>
        <w:t xml:space="preserve">Rendre formel </w:t>
      </w:r>
      <w:r w:rsidRPr="003C520C">
        <w:rPr>
          <w:rFonts w:ascii="Arial" w:hAnsi="Arial" w:cs="Arial"/>
          <w:sz w:val="20"/>
          <w:szCs w:val="20"/>
          <w:lang w:val="fr-CA"/>
        </w:rPr>
        <w:t>des</w:t>
      </w:r>
      <w:r w:rsidRPr="00113549">
        <w:rPr>
          <w:rFonts w:ascii="Arial" w:hAnsi="Arial" w:cs="Arial"/>
          <w:sz w:val="20"/>
          <w:szCs w:val="20"/>
          <w:lang w:val="fr-CA"/>
        </w:rPr>
        <w:t xml:space="preserve"> pratiques déjà en place dans les départements;</w:t>
      </w:r>
    </w:p>
    <w:p w:rsidR="00362EC8" w:rsidRPr="00113549" w:rsidRDefault="00362EC8" w:rsidP="00362EC8">
      <w:pPr>
        <w:ind w:left="720"/>
        <w:rPr>
          <w:rFonts w:ascii="Arial" w:hAnsi="Arial" w:cs="Arial"/>
          <w:sz w:val="20"/>
          <w:szCs w:val="20"/>
          <w:lang w:val="fr-CA"/>
        </w:rPr>
      </w:pPr>
      <w:r w:rsidRPr="00113549">
        <w:rPr>
          <w:rFonts w:ascii="Arial" w:hAnsi="Arial" w:cs="Arial"/>
          <w:sz w:val="20"/>
          <w:szCs w:val="20"/>
          <w:lang w:val="fr-CA"/>
        </w:rPr>
        <w:t xml:space="preserve">• Transmettre la responsabilité de l'administrateur général au </w:t>
      </w:r>
      <w:r w:rsidR="004D6DB3">
        <w:rPr>
          <w:rFonts w:ascii="Arial" w:hAnsi="Arial" w:cs="Arial"/>
          <w:sz w:val="20"/>
          <w:szCs w:val="20"/>
          <w:lang w:val="fr-CA"/>
        </w:rPr>
        <w:t>DPF</w:t>
      </w:r>
      <w:r w:rsidRPr="00113549">
        <w:rPr>
          <w:rFonts w:ascii="Arial" w:hAnsi="Arial" w:cs="Arial"/>
          <w:sz w:val="20"/>
          <w:szCs w:val="20"/>
          <w:lang w:val="fr-CA"/>
        </w:rPr>
        <w:t xml:space="preserve"> pour les besoins opérationnels; et</w:t>
      </w:r>
    </w:p>
    <w:p w:rsidR="00362EC8" w:rsidRPr="00113549" w:rsidRDefault="00362EC8" w:rsidP="00362EC8">
      <w:pPr>
        <w:ind w:left="720"/>
        <w:rPr>
          <w:rFonts w:ascii="Arial" w:hAnsi="Arial" w:cs="Arial"/>
          <w:sz w:val="20"/>
          <w:szCs w:val="20"/>
          <w:lang w:val="fr-CA"/>
        </w:rPr>
      </w:pPr>
      <w:r w:rsidRPr="00113549">
        <w:rPr>
          <w:rFonts w:ascii="Arial" w:hAnsi="Arial" w:cs="Arial"/>
          <w:sz w:val="20"/>
          <w:szCs w:val="20"/>
          <w:lang w:val="fr-CA"/>
        </w:rPr>
        <w:t xml:space="preserve">• </w:t>
      </w:r>
      <w:r>
        <w:rPr>
          <w:rFonts w:ascii="Arial" w:hAnsi="Arial" w:cs="Arial"/>
          <w:sz w:val="20"/>
          <w:szCs w:val="20"/>
          <w:lang w:val="fr-CA"/>
        </w:rPr>
        <w:t>L’u</w:t>
      </w:r>
      <w:r w:rsidRPr="00113549">
        <w:rPr>
          <w:rFonts w:ascii="Arial" w:hAnsi="Arial" w:cs="Arial"/>
          <w:sz w:val="20"/>
          <w:szCs w:val="20"/>
          <w:lang w:val="fr-CA"/>
        </w:rPr>
        <w:t xml:space="preserve">tilisation d'exigences fondées sur des principes pour permettre aux </w:t>
      </w:r>
      <w:r w:rsidR="00B9516F">
        <w:rPr>
          <w:rFonts w:ascii="Arial" w:hAnsi="Arial" w:cs="Arial"/>
          <w:sz w:val="20"/>
          <w:szCs w:val="20"/>
          <w:lang w:val="fr-CA"/>
        </w:rPr>
        <w:t>ministère</w:t>
      </w:r>
      <w:r w:rsidRPr="00113549">
        <w:rPr>
          <w:rFonts w:ascii="Arial" w:hAnsi="Arial" w:cs="Arial"/>
          <w:sz w:val="20"/>
          <w:szCs w:val="20"/>
          <w:lang w:val="fr-CA"/>
        </w:rPr>
        <w:t>s d'équilibrer le contrôle et la flexibilité.</w:t>
      </w:r>
    </w:p>
    <w:p w:rsidR="004D6DB3" w:rsidRDefault="004D6DB3" w:rsidP="00362EC8">
      <w:pPr>
        <w:rPr>
          <w:rFonts w:ascii="Arial" w:hAnsi="Arial" w:cs="Arial"/>
          <w:sz w:val="20"/>
          <w:szCs w:val="20"/>
          <w:lang w:val="fr-CA"/>
        </w:rPr>
      </w:pPr>
    </w:p>
    <w:p w:rsidR="00362EC8" w:rsidRPr="00001E0D" w:rsidRDefault="00362EC8" w:rsidP="00362EC8">
      <w:pPr>
        <w:rPr>
          <w:rFonts w:ascii="Arial" w:hAnsi="Arial" w:cs="Arial"/>
          <w:sz w:val="20"/>
          <w:szCs w:val="20"/>
          <w:lang w:val="fr-CA"/>
        </w:rPr>
      </w:pPr>
      <w:r>
        <w:rPr>
          <w:rFonts w:ascii="Arial" w:hAnsi="Arial" w:cs="Arial"/>
          <w:sz w:val="20"/>
          <w:szCs w:val="20"/>
          <w:lang w:val="fr-CA"/>
        </w:rPr>
        <w:t xml:space="preserve">L’ensemble simplifié des </w:t>
      </w:r>
      <w:r w:rsidRPr="00113549">
        <w:rPr>
          <w:rFonts w:ascii="Arial" w:hAnsi="Arial" w:cs="Arial"/>
          <w:sz w:val="20"/>
          <w:szCs w:val="20"/>
          <w:lang w:val="fr-CA"/>
        </w:rPr>
        <w:t>politique</w:t>
      </w:r>
      <w:r>
        <w:rPr>
          <w:rFonts w:ascii="Arial" w:hAnsi="Arial" w:cs="Arial"/>
          <w:sz w:val="20"/>
          <w:szCs w:val="20"/>
          <w:lang w:val="fr-CA"/>
        </w:rPr>
        <w:t>s</w:t>
      </w:r>
      <w:r w:rsidRPr="00113549">
        <w:rPr>
          <w:rFonts w:ascii="Arial" w:hAnsi="Arial" w:cs="Arial"/>
          <w:sz w:val="20"/>
          <w:szCs w:val="20"/>
          <w:lang w:val="fr-CA"/>
        </w:rPr>
        <w:t xml:space="preserve"> de gestion financière, qui est entrée en vigueur le 1er avril 2107 comprend désormais:</w:t>
      </w:r>
    </w:p>
    <w:p w:rsidR="00362EC8" w:rsidRPr="00001E0D" w:rsidRDefault="00362EC8" w:rsidP="00362EC8">
      <w:pPr>
        <w:ind w:left="748"/>
        <w:rPr>
          <w:rFonts w:ascii="Arial" w:hAnsi="Arial" w:cs="Arial"/>
          <w:sz w:val="20"/>
          <w:szCs w:val="20"/>
          <w:lang w:val="fr-CA"/>
        </w:rPr>
      </w:pPr>
    </w:p>
    <w:p w:rsidR="00362EC8" w:rsidRPr="002D707A" w:rsidRDefault="0041316D" w:rsidP="00807E0F">
      <w:pPr>
        <w:numPr>
          <w:ilvl w:val="0"/>
          <w:numId w:val="7"/>
        </w:numPr>
        <w:tabs>
          <w:tab w:val="clear" w:pos="664"/>
          <w:tab w:val="num" w:pos="709"/>
        </w:tabs>
        <w:ind w:left="709" w:hanging="374"/>
        <w:rPr>
          <w:rFonts w:ascii="Arial" w:hAnsi="Arial" w:cs="Arial"/>
          <w:sz w:val="20"/>
          <w:szCs w:val="20"/>
          <w:lang w:val="fr-CA"/>
        </w:rPr>
      </w:pPr>
      <w:hyperlink r:id="rId33" w:history="1">
        <w:r w:rsidR="00362EC8" w:rsidRPr="00001E0D">
          <w:rPr>
            <w:rStyle w:val="Hyperlink"/>
            <w:rFonts w:ascii="Arial" w:hAnsi="Arial" w:cs="Arial"/>
            <w:sz w:val="20"/>
            <w:szCs w:val="20"/>
            <w:lang w:val="fr-CA"/>
          </w:rPr>
          <w:t>Poli</w:t>
        </w:r>
        <w:r w:rsidR="00362EC8">
          <w:rPr>
            <w:rStyle w:val="Hyperlink"/>
            <w:rFonts w:ascii="Arial" w:hAnsi="Arial" w:cs="Arial"/>
            <w:sz w:val="20"/>
            <w:szCs w:val="20"/>
            <w:lang w:val="fr-CA"/>
          </w:rPr>
          <w:t>tique sur la gestion financière</w:t>
        </w:r>
      </w:hyperlink>
    </w:p>
    <w:p w:rsidR="00362EC8" w:rsidRPr="002D707A" w:rsidRDefault="0041316D" w:rsidP="00807E0F">
      <w:pPr>
        <w:numPr>
          <w:ilvl w:val="0"/>
          <w:numId w:val="7"/>
        </w:numPr>
        <w:tabs>
          <w:tab w:val="clear" w:pos="664"/>
          <w:tab w:val="num" w:pos="709"/>
        </w:tabs>
        <w:ind w:left="709" w:hanging="374"/>
        <w:rPr>
          <w:rFonts w:ascii="Arial" w:hAnsi="Arial" w:cs="Arial"/>
          <w:sz w:val="20"/>
          <w:szCs w:val="20"/>
          <w:lang w:val="fr-CA"/>
        </w:rPr>
      </w:pPr>
      <w:hyperlink r:id="rId34" w:history="1">
        <w:r w:rsidR="00362EC8" w:rsidRPr="002D707A">
          <w:rPr>
            <w:rStyle w:val="Hyperlink"/>
            <w:rFonts w:ascii="Arial" w:hAnsi="Arial" w:cs="Arial"/>
            <w:sz w:val="20"/>
            <w:szCs w:val="20"/>
            <w:lang w:val="fr-CA"/>
          </w:rPr>
          <w:t>Directive sur les normes comptables</w:t>
        </w:r>
      </w:hyperlink>
    </w:p>
    <w:p w:rsidR="00362EC8" w:rsidRPr="002D707A" w:rsidRDefault="0041316D" w:rsidP="00807E0F">
      <w:pPr>
        <w:numPr>
          <w:ilvl w:val="0"/>
          <w:numId w:val="7"/>
        </w:numPr>
        <w:tabs>
          <w:tab w:val="clear" w:pos="664"/>
          <w:tab w:val="num" w:pos="709"/>
        </w:tabs>
        <w:ind w:left="709" w:hanging="374"/>
        <w:rPr>
          <w:rFonts w:ascii="Arial" w:hAnsi="Arial" w:cs="Arial"/>
          <w:sz w:val="20"/>
          <w:szCs w:val="20"/>
          <w:lang w:val="fr-CA"/>
        </w:rPr>
      </w:pPr>
      <w:hyperlink r:id="rId35" w:history="1">
        <w:r w:rsidR="00362EC8" w:rsidRPr="002D707A">
          <w:rPr>
            <w:rStyle w:val="Hyperlink"/>
            <w:rFonts w:ascii="Arial" w:hAnsi="Arial" w:cs="Arial"/>
            <w:sz w:val="20"/>
            <w:szCs w:val="20"/>
            <w:lang w:val="fr-CA"/>
          </w:rPr>
          <w:t>Directive sur l’imputation et les autorisations financières spéciales</w:t>
        </w:r>
      </w:hyperlink>
    </w:p>
    <w:p w:rsidR="00362EC8" w:rsidRPr="003C520C" w:rsidRDefault="0041316D" w:rsidP="00807E0F">
      <w:pPr>
        <w:numPr>
          <w:ilvl w:val="0"/>
          <w:numId w:val="7"/>
        </w:numPr>
        <w:tabs>
          <w:tab w:val="clear" w:pos="664"/>
          <w:tab w:val="num" w:pos="709"/>
        </w:tabs>
        <w:ind w:left="709" w:hanging="374"/>
        <w:rPr>
          <w:rFonts w:ascii="Arial" w:hAnsi="Arial" w:cs="Arial"/>
          <w:sz w:val="20"/>
          <w:szCs w:val="20"/>
          <w:lang w:val="fr-CA"/>
        </w:rPr>
      </w:pPr>
      <w:hyperlink r:id="rId36" w:history="1">
        <w:r w:rsidR="00362EC8" w:rsidRPr="002D707A">
          <w:rPr>
            <w:rStyle w:val="Hyperlink"/>
            <w:rFonts w:ascii="Arial" w:hAnsi="Arial" w:cs="Arial"/>
            <w:sz w:val="20"/>
            <w:szCs w:val="20"/>
            <w:lang w:val="fr-CA"/>
          </w:rPr>
          <w:t>Directive sur la délégation des pouvoirs de dépenser et des pouvoirs financiers</w:t>
        </w:r>
      </w:hyperlink>
    </w:p>
    <w:p w:rsidR="00362EC8" w:rsidRPr="003C520C" w:rsidRDefault="0041316D" w:rsidP="00807E0F">
      <w:pPr>
        <w:numPr>
          <w:ilvl w:val="0"/>
          <w:numId w:val="7"/>
        </w:numPr>
        <w:tabs>
          <w:tab w:val="clear" w:pos="664"/>
          <w:tab w:val="num" w:pos="709"/>
        </w:tabs>
        <w:ind w:left="709" w:hanging="374"/>
        <w:rPr>
          <w:rFonts w:ascii="Arial" w:hAnsi="Arial" w:cs="Arial"/>
          <w:sz w:val="20"/>
          <w:szCs w:val="20"/>
          <w:lang w:val="fr-CA"/>
        </w:rPr>
      </w:pPr>
      <w:hyperlink r:id="rId37" w:history="1">
        <w:r w:rsidR="00362EC8" w:rsidRPr="002D707A">
          <w:rPr>
            <w:rStyle w:val="Hyperlink"/>
            <w:rFonts w:ascii="Arial" w:hAnsi="Arial" w:cs="Arial"/>
            <w:sz w:val="20"/>
            <w:szCs w:val="20"/>
            <w:lang w:val="fr-CA"/>
          </w:rPr>
          <w:t>Directive sur les paiements</w:t>
        </w:r>
      </w:hyperlink>
    </w:p>
    <w:p w:rsidR="00362EC8" w:rsidRDefault="0041316D" w:rsidP="00807E0F">
      <w:pPr>
        <w:numPr>
          <w:ilvl w:val="0"/>
          <w:numId w:val="7"/>
        </w:numPr>
        <w:tabs>
          <w:tab w:val="clear" w:pos="664"/>
          <w:tab w:val="num" w:pos="709"/>
        </w:tabs>
        <w:ind w:left="709" w:hanging="374"/>
        <w:rPr>
          <w:rFonts w:ascii="Arial" w:hAnsi="Arial" w:cs="Arial"/>
          <w:sz w:val="20"/>
          <w:szCs w:val="20"/>
          <w:lang w:val="fr-CA"/>
        </w:rPr>
      </w:pPr>
      <w:hyperlink r:id="rId38" w:history="1">
        <w:r w:rsidR="00362EC8" w:rsidRPr="002D707A">
          <w:rPr>
            <w:rStyle w:val="Hyperlink"/>
            <w:rFonts w:ascii="Arial" w:hAnsi="Arial" w:cs="Arial"/>
            <w:sz w:val="20"/>
            <w:szCs w:val="20"/>
            <w:lang w:val="fr-CA"/>
          </w:rPr>
          <w:t>Directive sur la gestion des fonds publics et des comptes débiteurs</w:t>
        </w:r>
      </w:hyperlink>
    </w:p>
    <w:p w:rsidR="00362EC8" w:rsidRDefault="0041316D" w:rsidP="00807E0F">
      <w:pPr>
        <w:numPr>
          <w:ilvl w:val="0"/>
          <w:numId w:val="7"/>
        </w:numPr>
        <w:tabs>
          <w:tab w:val="clear" w:pos="664"/>
          <w:tab w:val="num" w:pos="709"/>
        </w:tabs>
        <w:ind w:left="709" w:hanging="374"/>
        <w:rPr>
          <w:rFonts w:ascii="Arial" w:hAnsi="Arial" w:cs="Arial"/>
          <w:sz w:val="20"/>
          <w:szCs w:val="20"/>
          <w:lang w:val="fr-CA"/>
        </w:rPr>
      </w:pPr>
      <w:hyperlink r:id="rId39" w:history="1">
        <w:r w:rsidR="00362EC8" w:rsidRPr="002D707A">
          <w:rPr>
            <w:rStyle w:val="Hyperlink"/>
            <w:rFonts w:ascii="Arial" w:hAnsi="Arial" w:cs="Arial"/>
            <w:sz w:val="20"/>
            <w:szCs w:val="20"/>
            <w:lang w:val="fr-CA"/>
          </w:rPr>
          <w:t>Directive sur les dépenses de voyages, d’accueil, de conférences et d’événements</w:t>
        </w:r>
      </w:hyperlink>
      <w:r w:rsidR="004D6DB3">
        <w:rPr>
          <w:rStyle w:val="FootnoteReference"/>
          <w:rFonts w:ascii="Arial" w:hAnsi="Arial" w:cs="Arial"/>
          <w:color w:val="0000A7"/>
          <w:sz w:val="20"/>
          <w:szCs w:val="20"/>
          <w:u w:val="single"/>
          <w:lang w:val="fr-CA"/>
        </w:rPr>
        <w:footnoteReference w:id="1"/>
      </w:r>
    </w:p>
    <w:p w:rsidR="00362EC8" w:rsidRDefault="00362EC8" w:rsidP="00362EC8">
      <w:pPr>
        <w:ind w:left="709"/>
        <w:rPr>
          <w:rFonts w:ascii="Arial" w:hAnsi="Arial" w:cs="Arial"/>
          <w:sz w:val="20"/>
          <w:szCs w:val="20"/>
          <w:lang w:val="fr-CA"/>
        </w:rPr>
      </w:pPr>
    </w:p>
    <w:p w:rsidR="00362EC8" w:rsidRPr="00001E0D" w:rsidRDefault="00362EC8" w:rsidP="00362EC8">
      <w:pPr>
        <w:rPr>
          <w:rFonts w:ascii="Arial" w:hAnsi="Arial" w:cs="Arial"/>
          <w:sz w:val="20"/>
          <w:szCs w:val="20"/>
          <w:lang w:val="fr-CA"/>
        </w:rPr>
      </w:pPr>
    </w:p>
    <w:p w:rsidR="00362EC8" w:rsidRPr="00001E0D" w:rsidRDefault="00362EC8" w:rsidP="00362EC8">
      <w:pPr>
        <w:rPr>
          <w:rFonts w:ascii="Arial" w:hAnsi="Arial" w:cs="Arial"/>
          <w:sz w:val="20"/>
          <w:szCs w:val="20"/>
          <w:lang w:val="fr-CA"/>
        </w:rPr>
      </w:pPr>
    </w:p>
    <w:p w:rsidR="00362EC8" w:rsidRPr="00001E0D" w:rsidRDefault="00362EC8" w:rsidP="00362EC8">
      <w:pPr>
        <w:pStyle w:val="Heading3"/>
        <w:rPr>
          <w:lang w:val="fr-CA"/>
        </w:rPr>
      </w:pPr>
      <w:bookmarkStart w:id="55" w:name="_Toc485812721"/>
      <w:r w:rsidRPr="00001E0D">
        <w:rPr>
          <w:lang w:val="fr-CA"/>
        </w:rPr>
        <w:lastRenderedPageBreak/>
        <w:t xml:space="preserve">3.1.2. </w:t>
      </w:r>
      <w:r>
        <w:rPr>
          <w:lang w:val="fr-CA"/>
        </w:rPr>
        <w:t>Politiques de gestion financière</w:t>
      </w:r>
      <w:bookmarkEnd w:id="55"/>
    </w:p>
    <w:p w:rsidR="00362EC8" w:rsidRPr="00001E0D" w:rsidRDefault="00362EC8" w:rsidP="00362EC8">
      <w:pPr>
        <w:rPr>
          <w:rFonts w:ascii="Arial" w:hAnsi="Arial" w:cs="Arial"/>
          <w:sz w:val="20"/>
          <w:szCs w:val="20"/>
          <w:lang w:val="fr-CA"/>
        </w:rPr>
      </w:pPr>
    </w:p>
    <w:p w:rsidR="00362EC8" w:rsidRPr="00001E0D" w:rsidRDefault="00362EC8" w:rsidP="00362EC8">
      <w:pPr>
        <w:rPr>
          <w:rFonts w:ascii="Arial" w:hAnsi="Arial" w:cs="Arial"/>
          <w:sz w:val="20"/>
          <w:szCs w:val="20"/>
          <w:lang w:val="fr-CA"/>
        </w:rPr>
      </w:pPr>
      <w:r w:rsidRPr="00F87944">
        <w:rPr>
          <w:rFonts w:ascii="Arial" w:hAnsi="Arial" w:cs="Arial"/>
          <w:sz w:val="20"/>
          <w:szCs w:val="20"/>
          <w:lang w:val="fr-CA"/>
        </w:rPr>
        <w:t xml:space="preserve">Collectivement, les instruments </w:t>
      </w:r>
      <w:r>
        <w:rPr>
          <w:rFonts w:ascii="Arial" w:hAnsi="Arial" w:cs="Arial"/>
          <w:sz w:val="20"/>
          <w:szCs w:val="20"/>
          <w:lang w:val="fr-CA"/>
        </w:rPr>
        <w:t>de politique</w:t>
      </w:r>
      <w:r w:rsidRPr="00F87944">
        <w:rPr>
          <w:rFonts w:ascii="Arial" w:hAnsi="Arial" w:cs="Arial"/>
          <w:sz w:val="20"/>
          <w:szCs w:val="20"/>
          <w:lang w:val="fr-CA"/>
        </w:rPr>
        <w:t xml:space="preserve"> visent à contrôler ou à orienter les actions des employés du </w:t>
      </w:r>
      <w:r w:rsidR="00A65707">
        <w:rPr>
          <w:rFonts w:ascii="Arial" w:hAnsi="Arial" w:cs="Arial"/>
          <w:sz w:val="20"/>
          <w:szCs w:val="20"/>
          <w:lang w:val="fr-CA"/>
        </w:rPr>
        <w:t>ministère</w:t>
      </w:r>
      <w:r w:rsidRPr="00F87944">
        <w:rPr>
          <w:rFonts w:ascii="Arial" w:hAnsi="Arial" w:cs="Arial"/>
          <w:sz w:val="20"/>
          <w:szCs w:val="20"/>
          <w:lang w:val="fr-CA"/>
        </w:rPr>
        <w:t xml:space="preserve">. Les politiques financières fournissent un cadre d’action et une orientation stratégique, elles assurent la conformité, orientent les gestionnaires de la fonction publique et favorisent la discipline et la diligence raisonnable pour assurer l’utilisation judicieuse des fonds publics. Nos politiques sont élaborées conformément aux principes établis dans </w:t>
      </w:r>
      <w:r>
        <w:rPr>
          <w:rFonts w:ascii="Arial" w:hAnsi="Arial" w:cs="Arial"/>
          <w:sz w:val="20"/>
          <w:szCs w:val="20"/>
          <w:lang w:val="fr-CA"/>
        </w:rPr>
        <w:t>la série</w:t>
      </w:r>
      <w:r w:rsidRPr="00F87944">
        <w:rPr>
          <w:rFonts w:ascii="Arial" w:hAnsi="Arial" w:cs="Arial"/>
          <w:sz w:val="20"/>
          <w:szCs w:val="20"/>
          <w:lang w:val="fr-CA"/>
        </w:rPr>
        <w:t xml:space="preserve"> de gestion financière</w:t>
      </w:r>
      <w:r w:rsidR="004D6DB3">
        <w:rPr>
          <w:rFonts w:ascii="Arial" w:hAnsi="Arial" w:cs="Arial"/>
          <w:sz w:val="20"/>
          <w:szCs w:val="20"/>
          <w:lang w:val="fr-CA"/>
        </w:rPr>
        <w:t xml:space="preserve"> </w:t>
      </w:r>
      <w:r w:rsidRPr="00F87944">
        <w:rPr>
          <w:rFonts w:ascii="Arial" w:hAnsi="Arial" w:cs="Arial"/>
          <w:sz w:val="20"/>
          <w:szCs w:val="20"/>
          <w:lang w:val="fr-CA"/>
        </w:rPr>
        <w:t>du CT</w:t>
      </w:r>
      <w:r w:rsidRPr="00001E0D">
        <w:rPr>
          <w:rFonts w:ascii="Arial" w:hAnsi="Arial" w:cs="Arial"/>
          <w:sz w:val="20"/>
          <w:szCs w:val="20"/>
          <w:lang w:val="fr-CA"/>
        </w:rPr>
        <w:t>.</w:t>
      </w:r>
    </w:p>
    <w:p w:rsidR="00362EC8" w:rsidRPr="00001E0D" w:rsidRDefault="00362EC8" w:rsidP="00362EC8">
      <w:pPr>
        <w:rPr>
          <w:rFonts w:ascii="Arial" w:hAnsi="Arial" w:cs="Arial"/>
          <w:sz w:val="20"/>
          <w:szCs w:val="20"/>
          <w:lang w:val="fr-CA"/>
        </w:rPr>
      </w:pPr>
    </w:p>
    <w:p w:rsidR="00362EC8" w:rsidRPr="00001E0D" w:rsidRDefault="00362EC8" w:rsidP="00362EC8">
      <w:pPr>
        <w:rPr>
          <w:rFonts w:ascii="Arial" w:hAnsi="Arial" w:cs="Arial"/>
          <w:sz w:val="20"/>
          <w:szCs w:val="20"/>
          <w:lang w:val="fr-CA"/>
        </w:rPr>
      </w:pPr>
      <w:r w:rsidRPr="00F87944">
        <w:rPr>
          <w:rFonts w:ascii="Arial" w:hAnsi="Arial" w:cs="Arial"/>
          <w:sz w:val="20"/>
          <w:szCs w:val="20"/>
          <w:lang w:val="fr-CA"/>
        </w:rPr>
        <w:t xml:space="preserve">Le nombre d’instruments </w:t>
      </w:r>
      <w:r>
        <w:rPr>
          <w:rFonts w:ascii="Arial" w:hAnsi="Arial" w:cs="Arial"/>
          <w:sz w:val="20"/>
          <w:szCs w:val="20"/>
          <w:lang w:val="fr-CA"/>
        </w:rPr>
        <w:t>de politique</w:t>
      </w:r>
      <w:r w:rsidRPr="00F87944">
        <w:rPr>
          <w:rFonts w:ascii="Arial" w:hAnsi="Arial" w:cs="Arial"/>
          <w:sz w:val="20"/>
          <w:szCs w:val="20"/>
          <w:lang w:val="fr-CA"/>
        </w:rPr>
        <w:t xml:space="preserve"> doit être réduit le plus possible pour réduire le « labyrinthe de règles » et s’assurer que le </w:t>
      </w:r>
      <w:r w:rsidR="00A65707">
        <w:rPr>
          <w:rFonts w:ascii="Arial" w:hAnsi="Arial" w:cs="Arial"/>
          <w:sz w:val="20"/>
          <w:szCs w:val="20"/>
          <w:lang w:val="fr-CA"/>
        </w:rPr>
        <w:t>ministère</w:t>
      </w:r>
      <w:r w:rsidRPr="00F87944">
        <w:rPr>
          <w:rFonts w:ascii="Arial" w:hAnsi="Arial" w:cs="Arial"/>
          <w:sz w:val="20"/>
          <w:szCs w:val="20"/>
          <w:lang w:val="fr-CA"/>
        </w:rPr>
        <w:t xml:space="preserve"> continue de se conformer aux instruments </w:t>
      </w:r>
      <w:r>
        <w:rPr>
          <w:rFonts w:ascii="Arial" w:hAnsi="Arial" w:cs="Arial"/>
          <w:sz w:val="20"/>
          <w:szCs w:val="20"/>
          <w:lang w:val="fr-CA"/>
        </w:rPr>
        <w:t>de politique</w:t>
      </w:r>
      <w:r w:rsidRPr="00F87944">
        <w:rPr>
          <w:rFonts w:ascii="Arial" w:hAnsi="Arial" w:cs="Arial"/>
          <w:sz w:val="20"/>
          <w:szCs w:val="20"/>
          <w:lang w:val="fr-CA"/>
        </w:rPr>
        <w:t xml:space="preserve"> des organismes centraux. Les instruments </w:t>
      </w:r>
      <w:r>
        <w:rPr>
          <w:rFonts w:ascii="Arial" w:hAnsi="Arial" w:cs="Arial"/>
          <w:sz w:val="20"/>
          <w:szCs w:val="20"/>
          <w:lang w:val="fr-CA"/>
        </w:rPr>
        <w:t>de politique</w:t>
      </w:r>
      <w:r w:rsidRPr="00F87944">
        <w:rPr>
          <w:rFonts w:ascii="Arial" w:hAnsi="Arial" w:cs="Arial"/>
          <w:sz w:val="20"/>
          <w:szCs w:val="20"/>
          <w:lang w:val="fr-CA"/>
        </w:rPr>
        <w:t xml:space="preserve"> doivent tenir compte des exigences uniques des programmes et des services ministériels, le cas échéant</w:t>
      </w:r>
      <w:r w:rsidRPr="00001E0D">
        <w:rPr>
          <w:rFonts w:ascii="Arial" w:hAnsi="Arial" w:cs="Arial"/>
          <w:sz w:val="20"/>
          <w:szCs w:val="20"/>
          <w:lang w:val="fr-CA"/>
        </w:rPr>
        <w:t>.</w:t>
      </w:r>
    </w:p>
    <w:p w:rsidR="00362EC8" w:rsidRPr="00001E0D" w:rsidRDefault="00362EC8" w:rsidP="00362EC8">
      <w:pPr>
        <w:rPr>
          <w:rFonts w:ascii="Arial" w:hAnsi="Arial" w:cs="Arial"/>
          <w:sz w:val="20"/>
          <w:szCs w:val="20"/>
          <w:lang w:val="fr-CA"/>
        </w:rPr>
      </w:pPr>
    </w:p>
    <w:p w:rsidR="00362EC8" w:rsidRPr="004D6DB3" w:rsidRDefault="0041316D" w:rsidP="00362EC8">
      <w:pPr>
        <w:rPr>
          <w:rFonts w:ascii="Arial" w:hAnsi="Arial" w:cs="Arial"/>
          <w:sz w:val="20"/>
          <w:szCs w:val="20"/>
          <w:lang w:val="fr-CA"/>
        </w:rPr>
      </w:pPr>
      <w:hyperlink r:id="rId40" w:history="1">
        <w:r w:rsidR="00362EC8" w:rsidRPr="004D6DB3">
          <w:rPr>
            <w:rStyle w:val="Hyperlink"/>
            <w:rFonts w:ascii="Arial" w:hAnsi="Arial" w:cs="Arial"/>
            <w:i/>
            <w:sz w:val="20"/>
            <w:szCs w:val="20"/>
            <w:lang w:val="fr-CA"/>
          </w:rPr>
          <w:t>Politiques et directives d’EDSC</w:t>
        </w:r>
      </w:hyperlink>
      <w:r w:rsidR="00362EC8" w:rsidRPr="004D6DB3">
        <w:rPr>
          <w:rStyle w:val="Hyperlink"/>
          <w:rFonts w:ascii="Arial" w:hAnsi="Arial" w:cs="Arial"/>
          <w:sz w:val="20"/>
          <w:szCs w:val="20"/>
          <w:lang w:val="fr-CA"/>
        </w:rPr>
        <w:t>.</w:t>
      </w:r>
    </w:p>
    <w:p w:rsidR="00362EC8" w:rsidRDefault="00362EC8" w:rsidP="00362EC8">
      <w:pPr>
        <w:rPr>
          <w:lang w:val="fr-CA"/>
        </w:rPr>
      </w:pPr>
    </w:p>
    <w:p w:rsidR="00362EC8" w:rsidRPr="00001E0D" w:rsidRDefault="00362EC8" w:rsidP="00362EC8">
      <w:pPr>
        <w:pStyle w:val="Heading2"/>
        <w:rPr>
          <w:lang w:val="fr-CA"/>
        </w:rPr>
      </w:pPr>
      <w:bookmarkStart w:id="56" w:name="_Toc485812722"/>
      <w:r w:rsidRPr="00001E0D">
        <w:rPr>
          <w:lang w:val="fr-CA"/>
        </w:rPr>
        <w:t xml:space="preserve">3.2. </w:t>
      </w:r>
      <w:r>
        <w:rPr>
          <w:lang w:val="fr-CA"/>
        </w:rPr>
        <w:t>CONTRÔLE INTERNE</w:t>
      </w:r>
      <w:bookmarkEnd w:id="56"/>
    </w:p>
    <w:p w:rsidR="00362EC8" w:rsidRPr="00001E0D" w:rsidRDefault="00362EC8" w:rsidP="00362EC8">
      <w:pPr>
        <w:rPr>
          <w:rFonts w:ascii="Arial" w:hAnsi="Arial" w:cs="Arial"/>
          <w:sz w:val="20"/>
          <w:szCs w:val="20"/>
          <w:lang w:val="fr-CA"/>
        </w:rPr>
      </w:pPr>
    </w:p>
    <w:p w:rsidR="00362EC8" w:rsidRPr="00001E0D" w:rsidRDefault="00362EC8" w:rsidP="00362EC8">
      <w:pPr>
        <w:rPr>
          <w:rFonts w:ascii="Arial" w:hAnsi="Arial" w:cs="Arial"/>
          <w:sz w:val="20"/>
          <w:szCs w:val="20"/>
          <w:lang w:val="fr-CA"/>
        </w:rPr>
      </w:pPr>
      <w:r w:rsidRPr="00F87944">
        <w:rPr>
          <w:rFonts w:ascii="Arial" w:hAnsi="Arial" w:cs="Arial"/>
          <w:sz w:val="20"/>
          <w:szCs w:val="20"/>
          <w:lang w:val="fr-CA"/>
        </w:rPr>
        <w:t xml:space="preserve">Le </w:t>
      </w:r>
      <w:r w:rsidR="00A65707">
        <w:rPr>
          <w:rFonts w:ascii="Arial" w:hAnsi="Arial" w:cs="Arial"/>
          <w:sz w:val="20"/>
          <w:szCs w:val="20"/>
          <w:lang w:val="fr-CA"/>
        </w:rPr>
        <w:t>ministère</w:t>
      </w:r>
      <w:r w:rsidRPr="00F87944">
        <w:rPr>
          <w:rFonts w:ascii="Arial" w:hAnsi="Arial" w:cs="Arial"/>
          <w:sz w:val="20"/>
          <w:szCs w:val="20"/>
          <w:lang w:val="fr-CA"/>
        </w:rPr>
        <w:t xml:space="preserve"> doit établir et entretenir des systèmes de contrôle interne en tant que composante essentielle d’une gérance efficace des fonds publics</w:t>
      </w:r>
      <w:r w:rsidRPr="00001E0D">
        <w:rPr>
          <w:rFonts w:ascii="Arial" w:hAnsi="Arial" w:cs="Arial"/>
          <w:sz w:val="20"/>
          <w:szCs w:val="20"/>
          <w:lang w:val="fr-CA"/>
        </w:rPr>
        <w:t>.</w:t>
      </w:r>
    </w:p>
    <w:p w:rsidR="00362EC8" w:rsidRPr="00001E0D" w:rsidRDefault="00362EC8" w:rsidP="00362EC8">
      <w:pPr>
        <w:rPr>
          <w:rFonts w:ascii="Arial" w:hAnsi="Arial" w:cs="Arial"/>
          <w:sz w:val="20"/>
          <w:szCs w:val="20"/>
          <w:lang w:val="fr-CA"/>
        </w:rPr>
      </w:pPr>
    </w:p>
    <w:p w:rsidR="00362EC8" w:rsidRPr="00001E0D" w:rsidRDefault="00362EC8" w:rsidP="00362EC8">
      <w:pPr>
        <w:rPr>
          <w:rFonts w:ascii="Arial" w:hAnsi="Arial" w:cs="Arial"/>
          <w:sz w:val="20"/>
          <w:szCs w:val="20"/>
          <w:lang w:val="fr-CA"/>
        </w:rPr>
      </w:pPr>
      <w:r w:rsidRPr="00602255">
        <w:rPr>
          <w:rFonts w:ascii="Arial" w:hAnsi="Arial" w:cs="Arial"/>
          <w:sz w:val="20"/>
          <w:szCs w:val="20"/>
          <w:lang w:val="fr-CA"/>
        </w:rPr>
        <w:t xml:space="preserve">Un système de contrôle interne efficace constitue un moyen raisonnable de s’assurer que les opérations sont réalisées de façon prudente et efficace, conformément aux lois, aux règlements et aux politiques en vigueur, que les ressources publiques sont protégées et que les résultats sont obtenus. Les contrôles internes font partie intégrante de la capacité du </w:t>
      </w:r>
      <w:r w:rsidR="00A65707">
        <w:rPr>
          <w:rFonts w:ascii="Arial" w:hAnsi="Arial" w:cs="Arial"/>
          <w:sz w:val="20"/>
          <w:szCs w:val="20"/>
          <w:lang w:val="fr-CA"/>
        </w:rPr>
        <w:t>ministère</w:t>
      </w:r>
      <w:r w:rsidRPr="00602255">
        <w:rPr>
          <w:rFonts w:ascii="Arial" w:hAnsi="Arial" w:cs="Arial"/>
          <w:sz w:val="20"/>
          <w:szCs w:val="20"/>
          <w:lang w:val="fr-CA"/>
        </w:rPr>
        <w:t xml:space="preserve"> de gérer les risques inhérents à la réalisation de ses objectifs et par conséquent, ils doivent être rigoureux à tous les niveaux de l’organisation</w:t>
      </w:r>
      <w:r w:rsidRPr="00001E0D">
        <w:rPr>
          <w:rFonts w:ascii="Arial" w:hAnsi="Arial" w:cs="Arial"/>
          <w:sz w:val="20"/>
          <w:szCs w:val="20"/>
          <w:lang w:val="fr-CA"/>
        </w:rPr>
        <w:t>.</w:t>
      </w:r>
    </w:p>
    <w:p w:rsidR="00362EC8" w:rsidRPr="00001E0D" w:rsidRDefault="00362EC8" w:rsidP="00362EC8">
      <w:pPr>
        <w:rPr>
          <w:rFonts w:ascii="Arial" w:hAnsi="Arial" w:cs="Arial"/>
          <w:sz w:val="20"/>
          <w:szCs w:val="20"/>
          <w:lang w:val="fr-CA"/>
        </w:rPr>
      </w:pPr>
    </w:p>
    <w:p w:rsidR="00362EC8" w:rsidRPr="00001E0D" w:rsidRDefault="004D6DB3" w:rsidP="00362EC8">
      <w:pPr>
        <w:rPr>
          <w:rFonts w:ascii="Arial" w:hAnsi="Arial" w:cs="Arial"/>
          <w:sz w:val="20"/>
          <w:szCs w:val="20"/>
          <w:lang w:val="fr-CA"/>
        </w:rPr>
      </w:pPr>
      <w:r>
        <w:rPr>
          <w:rFonts w:ascii="Arial" w:hAnsi="Arial" w:cs="Arial"/>
          <w:sz w:val="20"/>
          <w:szCs w:val="20"/>
          <w:lang w:val="fr-CA"/>
        </w:rPr>
        <w:t>Le DP</w:t>
      </w:r>
      <w:r w:rsidR="00362EC8" w:rsidRPr="00602255">
        <w:rPr>
          <w:rFonts w:ascii="Arial" w:hAnsi="Arial" w:cs="Arial"/>
          <w:sz w:val="20"/>
          <w:szCs w:val="20"/>
          <w:lang w:val="fr-CA"/>
        </w:rPr>
        <w:t xml:space="preserve">F soutient l’administrateur général en élaborant et en entretenant des systèmes de contrôle internes en lien avec la gestion financière et les comptes ministériels. Il doit procéder à une évaluation annuelle axée sur les risques de l’efficacité du système de contrôle interne en matière de rapports financiers. </w:t>
      </w:r>
      <w:r>
        <w:rPr>
          <w:rFonts w:ascii="Arial" w:hAnsi="Arial" w:cs="Arial"/>
          <w:sz w:val="20"/>
          <w:szCs w:val="20"/>
          <w:lang w:val="fr-CA"/>
        </w:rPr>
        <w:t>En 2016, le G</w:t>
      </w:r>
      <w:r w:rsidR="00362EC8">
        <w:rPr>
          <w:rFonts w:ascii="Arial" w:hAnsi="Arial" w:cs="Arial"/>
          <w:sz w:val="20"/>
          <w:szCs w:val="20"/>
          <w:lang w:val="fr-CA"/>
        </w:rPr>
        <w:t xml:space="preserve">roupe de travail sur le contrôle interne et l’assurance financière a été </w:t>
      </w:r>
      <w:r>
        <w:rPr>
          <w:rFonts w:ascii="Arial" w:hAnsi="Arial" w:cs="Arial"/>
          <w:sz w:val="20"/>
          <w:szCs w:val="20"/>
          <w:lang w:val="fr-CA"/>
        </w:rPr>
        <w:t>créé. L’affiliation comprend le D</w:t>
      </w:r>
      <w:r w:rsidR="00362EC8">
        <w:rPr>
          <w:rFonts w:ascii="Arial" w:hAnsi="Arial" w:cs="Arial"/>
          <w:sz w:val="20"/>
          <w:szCs w:val="20"/>
          <w:lang w:val="fr-CA"/>
        </w:rPr>
        <w:t xml:space="preserve">PF, le </w:t>
      </w:r>
      <w:r>
        <w:rPr>
          <w:rFonts w:ascii="Arial" w:hAnsi="Arial" w:cs="Arial"/>
          <w:sz w:val="20"/>
          <w:szCs w:val="20"/>
          <w:lang w:val="fr-CA"/>
        </w:rPr>
        <w:t>C</w:t>
      </w:r>
      <w:r w:rsidR="00362EC8">
        <w:rPr>
          <w:rFonts w:ascii="Arial" w:hAnsi="Arial" w:cs="Arial"/>
          <w:sz w:val="20"/>
          <w:szCs w:val="20"/>
          <w:lang w:val="fr-CA"/>
        </w:rPr>
        <w:t>hef de la direction de</w:t>
      </w:r>
      <w:r>
        <w:rPr>
          <w:rFonts w:ascii="Arial" w:hAnsi="Arial" w:cs="Arial"/>
          <w:sz w:val="20"/>
          <w:szCs w:val="20"/>
          <w:lang w:val="fr-CA"/>
        </w:rPr>
        <w:t xml:space="preserve"> la vérification, le SMA des S</w:t>
      </w:r>
      <w:r w:rsidR="00362EC8">
        <w:rPr>
          <w:rFonts w:ascii="Arial" w:hAnsi="Arial" w:cs="Arial"/>
          <w:sz w:val="20"/>
          <w:szCs w:val="20"/>
          <w:lang w:val="fr-CA"/>
        </w:rPr>
        <w:t>ervices de livrais</w:t>
      </w:r>
      <w:r>
        <w:rPr>
          <w:rFonts w:ascii="Arial" w:hAnsi="Arial" w:cs="Arial"/>
          <w:sz w:val="20"/>
          <w:szCs w:val="20"/>
          <w:lang w:val="fr-CA"/>
        </w:rPr>
        <w:t>on des prestations, le SMA des S</w:t>
      </w:r>
      <w:r w:rsidR="00362EC8">
        <w:rPr>
          <w:rFonts w:ascii="Arial" w:hAnsi="Arial" w:cs="Arial"/>
          <w:sz w:val="20"/>
          <w:szCs w:val="20"/>
          <w:lang w:val="fr-CA"/>
        </w:rPr>
        <w:t xml:space="preserve">ervices d’intégrité et </w:t>
      </w:r>
      <w:r>
        <w:rPr>
          <w:rFonts w:ascii="Arial" w:hAnsi="Arial" w:cs="Arial"/>
          <w:sz w:val="20"/>
          <w:szCs w:val="20"/>
          <w:lang w:val="fr-CA"/>
        </w:rPr>
        <w:t>le DPI</w:t>
      </w:r>
      <w:r w:rsidR="00362EC8">
        <w:rPr>
          <w:rFonts w:ascii="Arial" w:hAnsi="Arial" w:cs="Arial"/>
          <w:sz w:val="20"/>
          <w:szCs w:val="20"/>
          <w:lang w:val="fr-CA"/>
        </w:rPr>
        <w:t xml:space="preserve">. Le mandat du groupe comprend la promotion d’une approche coordonnée de l’audit, de la surveillance et d’autres activités de contrôle dans l’ensemble du </w:t>
      </w:r>
      <w:r w:rsidR="00B9516F">
        <w:rPr>
          <w:rFonts w:ascii="Arial" w:hAnsi="Arial" w:cs="Arial"/>
          <w:sz w:val="20"/>
          <w:szCs w:val="20"/>
          <w:lang w:val="fr-CA"/>
        </w:rPr>
        <w:t>ministère</w:t>
      </w:r>
      <w:r w:rsidR="00362EC8">
        <w:rPr>
          <w:rFonts w:ascii="Arial" w:hAnsi="Arial" w:cs="Arial"/>
          <w:sz w:val="20"/>
          <w:szCs w:val="20"/>
          <w:lang w:val="fr-CA"/>
        </w:rPr>
        <w:t>, mettant l’accent sur les contrôles internes financiers et la promotion de la collaboration à tous les niveaux des directions générales membres de ce groupe, dans le but de renforcer les contrôles internes à l’a</w:t>
      </w:r>
      <w:r>
        <w:rPr>
          <w:rFonts w:ascii="Arial" w:hAnsi="Arial" w:cs="Arial"/>
          <w:sz w:val="20"/>
          <w:szCs w:val="20"/>
          <w:lang w:val="fr-CA"/>
        </w:rPr>
        <w:t>ppui des responsabilités du Sous-ministre</w:t>
      </w:r>
      <w:r w:rsidR="00362EC8">
        <w:rPr>
          <w:rFonts w:ascii="Arial" w:hAnsi="Arial" w:cs="Arial"/>
          <w:sz w:val="20"/>
          <w:szCs w:val="20"/>
          <w:lang w:val="fr-CA"/>
        </w:rPr>
        <w:t xml:space="preserve"> en tant qu</w:t>
      </w:r>
      <w:r>
        <w:rPr>
          <w:rFonts w:ascii="Arial" w:hAnsi="Arial" w:cs="Arial"/>
          <w:sz w:val="20"/>
          <w:szCs w:val="20"/>
          <w:lang w:val="fr-CA"/>
        </w:rPr>
        <w:t xml:space="preserve">’administrateur des comptes du </w:t>
      </w:r>
      <w:r w:rsidR="00B9516F">
        <w:rPr>
          <w:rFonts w:ascii="Arial" w:hAnsi="Arial" w:cs="Arial"/>
          <w:sz w:val="20"/>
          <w:szCs w:val="20"/>
          <w:lang w:val="fr-CA"/>
        </w:rPr>
        <w:t>ministère</w:t>
      </w:r>
      <w:r>
        <w:rPr>
          <w:rFonts w:ascii="Arial" w:hAnsi="Arial" w:cs="Arial"/>
          <w:sz w:val="20"/>
          <w:szCs w:val="20"/>
          <w:lang w:val="fr-CA"/>
        </w:rPr>
        <w:t xml:space="preserve">. </w:t>
      </w:r>
    </w:p>
    <w:p w:rsidR="00362EC8" w:rsidRPr="00001E0D" w:rsidRDefault="00362EC8" w:rsidP="00362EC8">
      <w:pPr>
        <w:rPr>
          <w:lang w:val="fr-CA"/>
        </w:rPr>
      </w:pPr>
    </w:p>
    <w:p w:rsidR="00362EC8" w:rsidRPr="00BD4844" w:rsidRDefault="00362EC8" w:rsidP="00362EC8">
      <w:pPr>
        <w:pStyle w:val="Heading3"/>
        <w:rPr>
          <w:lang w:val="fr-CA"/>
        </w:rPr>
      </w:pPr>
      <w:bookmarkStart w:id="57" w:name="_Toc485812723"/>
      <w:r w:rsidRPr="00A44283">
        <w:rPr>
          <w:lang w:val="fr-CA"/>
        </w:rPr>
        <w:t xml:space="preserve">3.2.1. </w:t>
      </w:r>
      <w:r w:rsidRPr="00607A43">
        <w:rPr>
          <w:lang w:val="fr-CA"/>
        </w:rPr>
        <w:t>Délégation de pouvoirs (pouvoirs de signature en matière de finances</w:t>
      </w:r>
      <w:r w:rsidRPr="00BD4844">
        <w:rPr>
          <w:lang w:val="fr-CA"/>
        </w:rPr>
        <w:t>)</w:t>
      </w:r>
      <w:bookmarkEnd w:id="57"/>
    </w:p>
    <w:p w:rsidR="00362EC8" w:rsidRPr="00A44283" w:rsidRDefault="00362EC8" w:rsidP="00362EC8">
      <w:pPr>
        <w:tabs>
          <w:tab w:val="left" w:pos="3980"/>
        </w:tabs>
        <w:rPr>
          <w:rFonts w:ascii="Arial" w:hAnsi="Arial" w:cs="Arial"/>
          <w:sz w:val="20"/>
          <w:szCs w:val="20"/>
          <w:lang w:val="fr-CA"/>
        </w:rPr>
      </w:pPr>
      <w:r w:rsidRPr="003C520C">
        <w:rPr>
          <w:rFonts w:ascii="Arial" w:hAnsi="Arial" w:cs="Arial"/>
          <w:sz w:val="20"/>
          <w:szCs w:val="20"/>
          <w:lang w:val="fr-CA"/>
        </w:rPr>
        <w:tab/>
      </w:r>
    </w:p>
    <w:p w:rsidR="00362EC8" w:rsidRPr="00001E0D" w:rsidRDefault="00362EC8" w:rsidP="00362EC8">
      <w:pPr>
        <w:rPr>
          <w:rFonts w:ascii="Arial" w:hAnsi="Arial" w:cs="Arial"/>
          <w:sz w:val="20"/>
          <w:szCs w:val="20"/>
          <w:lang w:val="fr-CA"/>
        </w:rPr>
      </w:pPr>
      <w:r w:rsidRPr="00607A43">
        <w:rPr>
          <w:rFonts w:ascii="Arial" w:hAnsi="Arial" w:cs="Arial"/>
          <w:sz w:val="20"/>
          <w:szCs w:val="20"/>
          <w:lang w:val="fr-CA"/>
        </w:rPr>
        <w:t xml:space="preserve">La responsabilité du contrôle et des dépenses des fonds publics est confiée par le Parlement aux ministres et aux administrateurs généraux en vertu de lois de crédits, de la </w:t>
      </w:r>
      <w:r w:rsidRPr="00BD4844">
        <w:rPr>
          <w:rFonts w:ascii="Arial" w:hAnsi="Arial" w:cs="Arial"/>
          <w:i/>
          <w:sz w:val="20"/>
          <w:szCs w:val="20"/>
          <w:lang w:val="fr-CA"/>
        </w:rPr>
        <w:t>Loi sur la gestion des finances publiques</w:t>
      </w:r>
      <w:r w:rsidRPr="00DC6860">
        <w:rPr>
          <w:rFonts w:ascii="Arial" w:hAnsi="Arial" w:cs="Arial"/>
          <w:sz w:val="20"/>
          <w:szCs w:val="20"/>
          <w:lang w:val="fr-CA"/>
        </w:rPr>
        <w:t xml:space="preserve"> (LGFP) et de règleme</w:t>
      </w:r>
      <w:r w:rsidRPr="00A44283">
        <w:rPr>
          <w:rFonts w:ascii="Arial" w:hAnsi="Arial" w:cs="Arial"/>
          <w:sz w:val="20"/>
          <w:szCs w:val="20"/>
          <w:lang w:val="fr-CA"/>
        </w:rPr>
        <w:t xml:space="preserve">nts d’application de la LGFP. Au moyen d’une délégation écrite, des administrateurs financiers ou autres sont nommés </w:t>
      </w:r>
      <w:r w:rsidR="004D6DB3">
        <w:rPr>
          <w:rFonts w:ascii="Arial" w:hAnsi="Arial" w:cs="Arial"/>
          <w:sz w:val="20"/>
          <w:szCs w:val="20"/>
          <w:lang w:val="fr-CA"/>
        </w:rPr>
        <w:t xml:space="preserve">à des </w:t>
      </w:r>
      <w:r w:rsidRPr="00A44283">
        <w:rPr>
          <w:rFonts w:ascii="Arial" w:hAnsi="Arial" w:cs="Arial"/>
          <w:sz w:val="20"/>
          <w:szCs w:val="20"/>
          <w:lang w:val="fr-CA"/>
        </w:rPr>
        <w:t>postes où la responsabilité des résultats peut être plus facilement déterminée</w:t>
      </w:r>
      <w:r w:rsidR="004D6DB3">
        <w:rPr>
          <w:rFonts w:ascii="Arial" w:hAnsi="Arial" w:cs="Arial"/>
          <w:sz w:val="20"/>
          <w:szCs w:val="20"/>
          <w:lang w:val="fr-CA"/>
        </w:rPr>
        <w:t xml:space="preserve"> </w:t>
      </w:r>
      <w:r w:rsidR="004D6DB3" w:rsidRPr="00A44283">
        <w:rPr>
          <w:rFonts w:ascii="Arial" w:hAnsi="Arial" w:cs="Arial"/>
          <w:sz w:val="20"/>
          <w:szCs w:val="20"/>
          <w:lang w:val="fr-CA"/>
        </w:rPr>
        <w:t xml:space="preserve">au sein d’un </w:t>
      </w:r>
      <w:r w:rsidR="00B9516F">
        <w:rPr>
          <w:rFonts w:ascii="Arial" w:hAnsi="Arial" w:cs="Arial"/>
          <w:sz w:val="20"/>
          <w:szCs w:val="20"/>
          <w:lang w:val="fr-CA"/>
        </w:rPr>
        <w:t>ministère</w:t>
      </w:r>
      <w:r w:rsidR="004D6DB3" w:rsidRPr="00A44283">
        <w:rPr>
          <w:rFonts w:ascii="Arial" w:hAnsi="Arial" w:cs="Arial"/>
          <w:sz w:val="20"/>
          <w:szCs w:val="20"/>
          <w:lang w:val="fr-CA"/>
        </w:rPr>
        <w:t xml:space="preserve"> </w:t>
      </w:r>
      <w:r w:rsidR="004D6DB3">
        <w:rPr>
          <w:rFonts w:ascii="Arial" w:hAnsi="Arial" w:cs="Arial"/>
          <w:sz w:val="20"/>
          <w:szCs w:val="20"/>
          <w:lang w:val="fr-CA"/>
        </w:rPr>
        <w:t>ou d’un organisme</w:t>
      </w:r>
      <w:r w:rsidRPr="00A44283">
        <w:rPr>
          <w:rFonts w:ascii="Arial" w:hAnsi="Arial" w:cs="Arial"/>
          <w:sz w:val="20"/>
          <w:szCs w:val="20"/>
          <w:lang w:val="fr-CA"/>
        </w:rPr>
        <w:t>. Les articles 32, 33 et 34 de la LGFP sont ceux qui s’appliquent</w:t>
      </w:r>
      <w:r w:rsidRPr="00602255">
        <w:rPr>
          <w:rFonts w:ascii="Arial" w:hAnsi="Arial" w:cs="Arial"/>
          <w:sz w:val="20"/>
          <w:szCs w:val="20"/>
          <w:lang w:val="fr-CA"/>
        </w:rPr>
        <w:t xml:space="preserve"> directement </w:t>
      </w:r>
      <w:r w:rsidR="004D6DB3">
        <w:rPr>
          <w:rFonts w:ascii="Arial" w:hAnsi="Arial" w:cs="Arial"/>
          <w:sz w:val="20"/>
          <w:szCs w:val="20"/>
          <w:lang w:val="fr-CA"/>
        </w:rPr>
        <w:t xml:space="preserve">à la délégation des pouvoirs. </w:t>
      </w:r>
      <w:r w:rsidRPr="00602255">
        <w:rPr>
          <w:rFonts w:ascii="Arial" w:hAnsi="Arial" w:cs="Arial"/>
          <w:sz w:val="20"/>
          <w:szCs w:val="20"/>
          <w:lang w:val="fr-CA"/>
        </w:rPr>
        <w:t xml:space="preserve"> Ceux-ci sont répartis en deux catégories, à savoir le </w:t>
      </w:r>
      <w:r w:rsidRPr="00602255">
        <w:rPr>
          <w:rFonts w:ascii="Arial" w:hAnsi="Arial" w:cs="Arial"/>
          <w:b/>
          <w:sz w:val="20"/>
          <w:szCs w:val="20"/>
          <w:lang w:val="fr-CA"/>
        </w:rPr>
        <w:t>pouvoir de dépenser</w:t>
      </w:r>
      <w:r w:rsidRPr="00602255">
        <w:rPr>
          <w:rFonts w:ascii="Arial" w:hAnsi="Arial" w:cs="Arial"/>
          <w:sz w:val="20"/>
          <w:szCs w:val="20"/>
          <w:lang w:val="fr-CA"/>
        </w:rPr>
        <w:t>, qui porte sur l’engagement des dépe</w:t>
      </w:r>
      <w:r w:rsidR="004D6DB3">
        <w:rPr>
          <w:rFonts w:ascii="Arial" w:hAnsi="Arial" w:cs="Arial"/>
          <w:sz w:val="20"/>
          <w:szCs w:val="20"/>
          <w:lang w:val="fr-CA"/>
        </w:rPr>
        <w:t>nses :</w:t>
      </w:r>
      <w:r>
        <w:rPr>
          <w:rFonts w:ascii="Arial" w:hAnsi="Arial" w:cs="Arial"/>
          <w:sz w:val="20"/>
          <w:szCs w:val="20"/>
          <w:lang w:val="fr-CA"/>
        </w:rPr>
        <w:t xml:space="preserve"> le pouvoir d’engagement (a</w:t>
      </w:r>
      <w:r w:rsidRPr="00602255">
        <w:rPr>
          <w:rFonts w:ascii="Arial" w:hAnsi="Arial" w:cs="Arial"/>
          <w:sz w:val="20"/>
          <w:szCs w:val="20"/>
          <w:lang w:val="fr-CA"/>
        </w:rPr>
        <w:t>rticle 32), l’autorité contractante et la certification de rendement (</w:t>
      </w:r>
      <w:r>
        <w:rPr>
          <w:rFonts w:ascii="Arial" w:hAnsi="Arial" w:cs="Arial"/>
          <w:sz w:val="20"/>
          <w:szCs w:val="20"/>
          <w:lang w:val="fr-CA"/>
        </w:rPr>
        <w:t>a</w:t>
      </w:r>
      <w:r w:rsidRPr="00602255">
        <w:rPr>
          <w:rFonts w:ascii="Arial" w:hAnsi="Arial" w:cs="Arial"/>
          <w:sz w:val="20"/>
          <w:szCs w:val="20"/>
          <w:lang w:val="fr-CA"/>
        </w:rPr>
        <w:t>rticle 34)</w:t>
      </w:r>
      <w:r w:rsidR="004D6DB3">
        <w:rPr>
          <w:rFonts w:ascii="Arial" w:hAnsi="Arial" w:cs="Arial"/>
          <w:sz w:val="20"/>
          <w:szCs w:val="20"/>
          <w:lang w:val="fr-CA"/>
        </w:rPr>
        <w:t xml:space="preserve">; </w:t>
      </w:r>
      <w:r w:rsidRPr="00602255">
        <w:rPr>
          <w:rFonts w:ascii="Arial" w:hAnsi="Arial" w:cs="Arial"/>
          <w:sz w:val="20"/>
          <w:szCs w:val="20"/>
          <w:lang w:val="fr-CA"/>
        </w:rPr>
        <w:t xml:space="preserve">et le </w:t>
      </w:r>
      <w:r w:rsidRPr="00602255">
        <w:rPr>
          <w:rFonts w:ascii="Arial" w:hAnsi="Arial" w:cs="Arial"/>
          <w:b/>
          <w:sz w:val="20"/>
          <w:szCs w:val="20"/>
          <w:lang w:val="fr-CA"/>
        </w:rPr>
        <w:t>pouvoir de payer</w:t>
      </w:r>
      <w:r w:rsidRPr="00602255">
        <w:rPr>
          <w:rFonts w:ascii="Arial" w:hAnsi="Arial" w:cs="Arial"/>
          <w:sz w:val="20"/>
          <w:szCs w:val="20"/>
          <w:lang w:val="fr-CA"/>
        </w:rPr>
        <w:t>, qui représente la demande de paiement et</w:t>
      </w:r>
      <w:r>
        <w:rPr>
          <w:rFonts w:ascii="Arial" w:hAnsi="Arial" w:cs="Arial"/>
          <w:sz w:val="20"/>
          <w:szCs w:val="20"/>
          <w:lang w:val="fr-CA"/>
        </w:rPr>
        <w:t xml:space="preserve"> son imputation sur un crédit (a</w:t>
      </w:r>
      <w:r w:rsidRPr="00602255">
        <w:rPr>
          <w:rFonts w:ascii="Arial" w:hAnsi="Arial" w:cs="Arial"/>
          <w:sz w:val="20"/>
          <w:szCs w:val="20"/>
          <w:lang w:val="fr-CA"/>
        </w:rPr>
        <w:t>rticle 33</w:t>
      </w:r>
      <w:r w:rsidRPr="00001E0D">
        <w:rPr>
          <w:rFonts w:ascii="Arial" w:hAnsi="Arial" w:cs="Arial"/>
          <w:sz w:val="20"/>
          <w:szCs w:val="20"/>
          <w:lang w:val="fr-CA"/>
        </w:rPr>
        <w:t>).</w:t>
      </w:r>
    </w:p>
    <w:p w:rsidR="00362EC8" w:rsidRPr="00001E0D" w:rsidRDefault="00362EC8" w:rsidP="00362EC8">
      <w:pPr>
        <w:rPr>
          <w:rFonts w:ascii="Arial" w:hAnsi="Arial" w:cs="Arial"/>
          <w:sz w:val="20"/>
          <w:szCs w:val="20"/>
          <w:lang w:val="fr-CA"/>
        </w:rPr>
      </w:pPr>
    </w:p>
    <w:p w:rsidR="00362EC8" w:rsidRPr="00001E0D" w:rsidRDefault="00362EC8" w:rsidP="00362EC8">
      <w:pPr>
        <w:rPr>
          <w:rFonts w:ascii="Arial" w:hAnsi="Arial" w:cs="Arial"/>
          <w:sz w:val="20"/>
          <w:szCs w:val="20"/>
          <w:lang w:val="fr-CA"/>
        </w:rPr>
      </w:pPr>
      <w:r w:rsidRPr="00602255">
        <w:rPr>
          <w:rFonts w:ascii="Arial" w:hAnsi="Arial" w:cs="Arial"/>
          <w:sz w:val="20"/>
          <w:szCs w:val="20"/>
          <w:lang w:val="fr-CA"/>
        </w:rPr>
        <w:t xml:space="preserve">La Direction générale </w:t>
      </w:r>
      <w:r w:rsidR="004D6DB3">
        <w:rPr>
          <w:rFonts w:ascii="Arial" w:hAnsi="Arial" w:cs="Arial"/>
          <w:sz w:val="20"/>
          <w:szCs w:val="20"/>
          <w:lang w:val="fr-CA"/>
        </w:rPr>
        <w:t>du DPF</w:t>
      </w:r>
      <w:r w:rsidRPr="00602255">
        <w:rPr>
          <w:rFonts w:ascii="Arial" w:hAnsi="Arial" w:cs="Arial"/>
          <w:sz w:val="20"/>
          <w:szCs w:val="20"/>
          <w:lang w:val="fr-CA"/>
        </w:rPr>
        <w:t xml:space="preserve"> tient, pour le </w:t>
      </w:r>
      <w:r w:rsidR="00B9516F">
        <w:rPr>
          <w:rFonts w:ascii="Arial" w:hAnsi="Arial" w:cs="Arial"/>
          <w:sz w:val="20"/>
          <w:szCs w:val="20"/>
          <w:lang w:val="fr-CA"/>
        </w:rPr>
        <w:t>ministère</w:t>
      </w:r>
      <w:r w:rsidRPr="00602255">
        <w:rPr>
          <w:rFonts w:ascii="Arial" w:hAnsi="Arial" w:cs="Arial"/>
          <w:sz w:val="20"/>
          <w:szCs w:val="20"/>
          <w:lang w:val="fr-CA"/>
        </w:rPr>
        <w:t>, un instrument de délégation</w:t>
      </w:r>
      <w:r w:rsidR="004D6DB3">
        <w:rPr>
          <w:rFonts w:ascii="Arial" w:hAnsi="Arial" w:cs="Arial"/>
          <w:sz w:val="20"/>
          <w:szCs w:val="20"/>
          <w:lang w:val="fr-CA"/>
        </w:rPr>
        <w:t xml:space="preserve"> </w:t>
      </w:r>
      <w:r w:rsidRPr="00602255">
        <w:rPr>
          <w:rFonts w:ascii="Arial" w:hAnsi="Arial" w:cs="Arial"/>
          <w:sz w:val="20"/>
          <w:szCs w:val="20"/>
          <w:lang w:val="fr-CA"/>
        </w:rPr>
        <w:t xml:space="preserve">de pouvoirs signé par le </w:t>
      </w:r>
      <w:r w:rsidR="004D6DB3">
        <w:rPr>
          <w:rFonts w:ascii="Arial" w:hAnsi="Arial" w:cs="Arial"/>
          <w:sz w:val="20"/>
          <w:szCs w:val="20"/>
          <w:lang w:val="fr-CA"/>
        </w:rPr>
        <w:t>Sous-ministre et le M</w:t>
      </w:r>
      <w:r w:rsidRPr="00602255">
        <w:rPr>
          <w:rFonts w:ascii="Arial" w:hAnsi="Arial" w:cs="Arial"/>
          <w:sz w:val="20"/>
          <w:szCs w:val="20"/>
          <w:lang w:val="fr-CA"/>
        </w:rPr>
        <w:t>inistre. Ce document est une matrice qui affiche la répartition des responsabilités pour les fonctions se rattachant aux étapes du pouvoir de dépenser ainsi qu’au pouvoir de payer. Des cartes de spécimens de signature servent aussi à identifier le titulaire d’un poste où le pouvoir de signer a été délégué</w:t>
      </w:r>
      <w:r w:rsidRPr="00001E0D">
        <w:rPr>
          <w:rFonts w:ascii="Arial" w:hAnsi="Arial" w:cs="Arial"/>
          <w:sz w:val="20"/>
          <w:szCs w:val="20"/>
          <w:lang w:val="fr-CA"/>
        </w:rPr>
        <w:t>.</w:t>
      </w:r>
    </w:p>
    <w:p w:rsidR="00362EC8" w:rsidRPr="00001E0D" w:rsidRDefault="00362EC8" w:rsidP="00362EC8">
      <w:pPr>
        <w:rPr>
          <w:rFonts w:ascii="Arial" w:hAnsi="Arial" w:cs="Arial"/>
          <w:sz w:val="20"/>
          <w:szCs w:val="20"/>
          <w:lang w:val="fr-CA"/>
        </w:rPr>
      </w:pPr>
    </w:p>
    <w:p w:rsidR="00362EC8" w:rsidRPr="004D6DB3" w:rsidRDefault="0041316D" w:rsidP="00362EC8">
      <w:pPr>
        <w:rPr>
          <w:rFonts w:ascii="Arial" w:hAnsi="Arial" w:cs="Arial"/>
          <w:sz w:val="20"/>
          <w:szCs w:val="20"/>
          <w:lang w:val="fr-CA"/>
        </w:rPr>
      </w:pPr>
      <w:hyperlink r:id="rId41" w:history="1">
        <w:r w:rsidR="00362EC8" w:rsidRPr="004D6DB3">
          <w:rPr>
            <w:rStyle w:val="Hyperlink"/>
            <w:rFonts w:ascii="Arial" w:hAnsi="Arial" w:cs="Arial"/>
            <w:i/>
            <w:sz w:val="20"/>
            <w:szCs w:val="20"/>
            <w:lang w:val="fr-CA"/>
          </w:rPr>
          <w:t>Instrument de délégation financière d’EDSC</w:t>
        </w:r>
      </w:hyperlink>
      <w:r w:rsidR="00362EC8" w:rsidRPr="004D6DB3">
        <w:rPr>
          <w:rFonts w:ascii="Arial" w:hAnsi="Arial" w:cs="Arial"/>
          <w:i/>
          <w:sz w:val="20"/>
          <w:szCs w:val="20"/>
          <w:lang w:val="fr-CA"/>
        </w:rPr>
        <w:t xml:space="preserve"> </w:t>
      </w:r>
    </w:p>
    <w:p w:rsidR="00362EC8" w:rsidRPr="00001E0D" w:rsidRDefault="00362EC8" w:rsidP="00362EC8">
      <w:pPr>
        <w:pStyle w:val="Heading2"/>
        <w:rPr>
          <w:lang w:val="fr-CA"/>
        </w:rPr>
      </w:pPr>
      <w:bookmarkStart w:id="58" w:name="_Toc485812724"/>
      <w:r w:rsidRPr="00001E0D">
        <w:rPr>
          <w:lang w:val="fr-CA"/>
        </w:rPr>
        <w:lastRenderedPageBreak/>
        <w:t xml:space="preserve">3.3. </w:t>
      </w:r>
      <w:r>
        <w:rPr>
          <w:lang w:val="fr-CA"/>
        </w:rPr>
        <w:t>CONTRÔLE BUDGÉTAIRE</w:t>
      </w:r>
      <w:bookmarkEnd w:id="58"/>
    </w:p>
    <w:p w:rsidR="00362EC8" w:rsidRPr="00001E0D" w:rsidRDefault="00362EC8" w:rsidP="00362EC8">
      <w:pPr>
        <w:pStyle w:val="Heading3"/>
        <w:rPr>
          <w:highlight w:val="yellow"/>
          <w:lang w:val="fr-CA"/>
        </w:rPr>
      </w:pPr>
      <w:bookmarkStart w:id="59" w:name="_Toc485812725"/>
      <w:r w:rsidRPr="00001E0D">
        <w:rPr>
          <w:lang w:val="fr-CA"/>
        </w:rPr>
        <w:t xml:space="preserve">3.3.1. </w:t>
      </w:r>
      <w:r>
        <w:rPr>
          <w:lang w:val="fr-CA"/>
        </w:rPr>
        <w:t>Contrôle des affectations</w:t>
      </w:r>
      <w:bookmarkEnd w:id="59"/>
    </w:p>
    <w:p w:rsidR="00362EC8" w:rsidRPr="00001E0D" w:rsidRDefault="00362EC8" w:rsidP="00362EC8">
      <w:pPr>
        <w:rPr>
          <w:rFonts w:ascii="Arial" w:hAnsi="Arial" w:cs="Arial"/>
          <w:sz w:val="20"/>
          <w:szCs w:val="20"/>
          <w:highlight w:val="yellow"/>
          <w:lang w:val="fr-CA"/>
        </w:rPr>
      </w:pPr>
    </w:p>
    <w:p w:rsidR="00362EC8" w:rsidRPr="00001E0D" w:rsidRDefault="00362EC8" w:rsidP="00362EC8">
      <w:pPr>
        <w:rPr>
          <w:rFonts w:ascii="Arial" w:hAnsi="Arial" w:cs="Arial"/>
          <w:sz w:val="20"/>
          <w:szCs w:val="20"/>
          <w:lang w:val="fr-CA"/>
        </w:rPr>
      </w:pPr>
      <w:r w:rsidRPr="00A41079">
        <w:rPr>
          <w:rFonts w:ascii="Arial" w:hAnsi="Arial" w:cs="Arial"/>
          <w:sz w:val="20"/>
          <w:szCs w:val="20"/>
          <w:lang w:val="fr-CA"/>
        </w:rPr>
        <w:t>Comme nous l’avons expliqué précédemment, le Parlement répartit les affectations budgétaires d</w:t>
      </w:r>
      <w:r>
        <w:rPr>
          <w:rFonts w:ascii="Arial" w:hAnsi="Arial" w:cs="Arial"/>
          <w:sz w:val="20"/>
          <w:szCs w:val="20"/>
          <w:lang w:val="fr-CA"/>
        </w:rPr>
        <w:t>’</w:t>
      </w:r>
      <w:r w:rsidRPr="00A41079">
        <w:rPr>
          <w:rFonts w:ascii="Arial" w:hAnsi="Arial" w:cs="Arial"/>
          <w:sz w:val="20"/>
          <w:szCs w:val="20"/>
          <w:lang w:val="fr-CA"/>
        </w:rPr>
        <w:t>EDSC en crédits. Des affectations distinctes sont fournies pour les ressources de fonctionnement</w:t>
      </w:r>
      <w:r>
        <w:rPr>
          <w:rFonts w:ascii="Arial" w:hAnsi="Arial" w:cs="Arial"/>
          <w:sz w:val="20"/>
          <w:szCs w:val="20"/>
          <w:lang w:val="fr-CA"/>
        </w:rPr>
        <w:t xml:space="preserve">, les S et </w:t>
      </w:r>
      <w:r w:rsidRPr="00A41079">
        <w:rPr>
          <w:rFonts w:ascii="Arial" w:hAnsi="Arial" w:cs="Arial"/>
          <w:sz w:val="20"/>
          <w:szCs w:val="20"/>
          <w:lang w:val="fr-CA"/>
        </w:rPr>
        <w:t>C, et il y a des affectations contrôlées séparément pour chaque crédit. EDSC ne peut dépasser ou réaffecter des sommes entre les crédits sans avoir obtenu au préalable l’approbation du CT et sans passer par le processus du Budget supplémentaire des dépenses</w:t>
      </w:r>
      <w:r w:rsidRPr="00001E0D">
        <w:rPr>
          <w:rFonts w:ascii="Arial" w:hAnsi="Arial" w:cs="Arial"/>
          <w:sz w:val="20"/>
          <w:szCs w:val="20"/>
          <w:lang w:val="fr-CA"/>
        </w:rPr>
        <w:t>.</w:t>
      </w:r>
    </w:p>
    <w:p w:rsidR="004D6DB3" w:rsidRDefault="004D6DB3" w:rsidP="00362EC8">
      <w:pPr>
        <w:rPr>
          <w:rFonts w:ascii="Arial" w:hAnsi="Arial" w:cs="Arial"/>
          <w:b/>
          <w:sz w:val="20"/>
          <w:szCs w:val="20"/>
          <w:lang w:val="fr-CA"/>
        </w:rPr>
      </w:pPr>
    </w:p>
    <w:p w:rsidR="00362EC8" w:rsidRPr="00001E0D" w:rsidRDefault="00362EC8" w:rsidP="00362EC8">
      <w:pPr>
        <w:rPr>
          <w:rFonts w:ascii="Arial" w:hAnsi="Arial" w:cs="Arial"/>
          <w:b/>
          <w:sz w:val="20"/>
          <w:szCs w:val="20"/>
          <w:lang w:val="fr-CA"/>
        </w:rPr>
      </w:pPr>
      <w:r>
        <w:rPr>
          <w:rFonts w:ascii="Arial" w:hAnsi="Arial" w:cs="Arial"/>
          <w:b/>
          <w:sz w:val="20"/>
          <w:szCs w:val="20"/>
          <w:lang w:val="fr-CA"/>
        </w:rPr>
        <w:t>Crédits</w:t>
      </w:r>
    </w:p>
    <w:p w:rsidR="00362EC8" w:rsidRPr="00001E0D" w:rsidRDefault="00362EC8" w:rsidP="00362EC8">
      <w:pPr>
        <w:rPr>
          <w:rFonts w:ascii="Arial" w:hAnsi="Arial" w:cs="Arial"/>
          <w:sz w:val="20"/>
          <w:szCs w:val="20"/>
          <w:lang w:val="fr-CA"/>
        </w:rPr>
      </w:pPr>
      <w:r w:rsidRPr="00A41079">
        <w:rPr>
          <w:rFonts w:ascii="Arial" w:hAnsi="Arial" w:cs="Arial"/>
          <w:sz w:val="20"/>
          <w:szCs w:val="20"/>
          <w:lang w:val="fr-CA"/>
        </w:rPr>
        <w:t>EDSC dispose d’un seul crédit de fonctionnement</w:t>
      </w:r>
      <w:r>
        <w:rPr>
          <w:rFonts w:ascii="Arial" w:hAnsi="Arial" w:cs="Arial"/>
          <w:sz w:val="20"/>
          <w:szCs w:val="20"/>
          <w:lang w:val="fr-CA"/>
        </w:rPr>
        <w:t xml:space="preserve"> (crédit 1) et d’un seul crédit pour les S et </w:t>
      </w:r>
      <w:r w:rsidRPr="00A41079">
        <w:rPr>
          <w:rFonts w:ascii="Arial" w:hAnsi="Arial" w:cs="Arial"/>
          <w:sz w:val="20"/>
          <w:szCs w:val="20"/>
          <w:lang w:val="fr-CA"/>
        </w:rPr>
        <w:t>C</w:t>
      </w:r>
      <w:r>
        <w:rPr>
          <w:rFonts w:ascii="Arial" w:hAnsi="Arial" w:cs="Arial"/>
          <w:sz w:val="20"/>
          <w:szCs w:val="20"/>
          <w:lang w:val="fr-CA"/>
        </w:rPr>
        <w:t xml:space="preserve"> (crédit 5),</w:t>
      </w:r>
      <w:r w:rsidRPr="00A41079">
        <w:rPr>
          <w:rFonts w:ascii="Arial" w:hAnsi="Arial" w:cs="Arial"/>
          <w:sz w:val="20"/>
          <w:szCs w:val="20"/>
          <w:lang w:val="fr-CA"/>
        </w:rPr>
        <w:t xml:space="preserve"> ainsi que de nombreux </w:t>
      </w:r>
      <w:r>
        <w:rPr>
          <w:rFonts w:ascii="Arial" w:hAnsi="Arial" w:cs="Arial"/>
          <w:sz w:val="20"/>
          <w:szCs w:val="20"/>
          <w:lang w:val="fr-CA"/>
        </w:rPr>
        <w:t>postes</w:t>
      </w:r>
      <w:r w:rsidRPr="00A41079">
        <w:rPr>
          <w:rFonts w:ascii="Arial" w:hAnsi="Arial" w:cs="Arial"/>
          <w:sz w:val="20"/>
          <w:szCs w:val="20"/>
          <w:lang w:val="fr-CA"/>
        </w:rPr>
        <w:t xml:space="preserve"> législatifs. Les </w:t>
      </w:r>
      <w:r w:rsidR="00B9516F">
        <w:rPr>
          <w:rFonts w:ascii="Arial" w:hAnsi="Arial" w:cs="Arial"/>
          <w:sz w:val="20"/>
          <w:szCs w:val="20"/>
          <w:lang w:val="fr-CA"/>
        </w:rPr>
        <w:t>ministère</w:t>
      </w:r>
      <w:r w:rsidRPr="00A41079">
        <w:rPr>
          <w:rFonts w:ascii="Arial" w:hAnsi="Arial" w:cs="Arial"/>
          <w:sz w:val="20"/>
          <w:szCs w:val="20"/>
          <w:lang w:val="fr-CA"/>
        </w:rPr>
        <w:t>s peuvent également disposer d’un seul crédit pour les dépenses en capital si le financement accordé à un secteur particulier dépasse les cinq millions de dollars (EDSC ne bénéficie pas d’un crédit distinct pour dépenses en capital</w:t>
      </w:r>
      <w:r w:rsidRPr="00001E0D">
        <w:rPr>
          <w:rFonts w:ascii="Arial" w:hAnsi="Arial" w:cs="Arial"/>
          <w:sz w:val="20"/>
          <w:szCs w:val="20"/>
          <w:lang w:val="fr-CA"/>
        </w:rPr>
        <w:t>)</w:t>
      </w:r>
      <w:r>
        <w:rPr>
          <w:rFonts w:ascii="Arial" w:hAnsi="Arial" w:cs="Arial"/>
          <w:sz w:val="20"/>
          <w:szCs w:val="20"/>
          <w:lang w:val="fr-CA"/>
        </w:rPr>
        <w:t>.</w:t>
      </w:r>
    </w:p>
    <w:p w:rsidR="00362EC8" w:rsidRPr="00001E0D" w:rsidRDefault="00362EC8" w:rsidP="00362EC8">
      <w:pPr>
        <w:rPr>
          <w:rFonts w:ascii="Arial" w:hAnsi="Arial" w:cs="Arial"/>
          <w:sz w:val="20"/>
          <w:szCs w:val="20"/>
          <w:lang w:val="fr-CA"/>
        </w:rPr>
      </w:pPr>
    </w:p>
    <w:p w:rsidR="00362EC8" w:rsidRPr="00001E0D" w:rsidRDefault="00362EC8" w:rsidP="00362EC8">
      <w:pPr>
        <w:rPr>
          <w:rFonts w:ascii="Arial" w:hAnsi="Arial" w:cs="Arial"/>
          <w:b/>
          <w:sz w:val="20"/>
          <w:szCs w:val="20"/>
          <w:lang w:val="fr-CA"/>
        </w:rPr>
      </w:pPr>
      <w:r>
        <w:rPr>
          <w:rFonts w:ascii="Arial" w:hAnsi="Arial" w:cs="Arial"/>
          <w:b/>
          <w:sz w:val="20"/>
          <w:szCs w:val="20"/>
          <w:lang w:val="fr-CA"/>
        </w:rPr>
        <w:t>Affectation à but spécial</w:t>
      </w:r>
    </w:p>
    <w:p w:rsidR="00362EC8" w:rsidRDefault="00362EC8" w:rsidP="00362EC8">
      <w:pPr>
        <w:rPr>
          <w:rFonts w:ascii="Arial" w:hAnsi="Arial" w:cs="Arial"/>
          <w:sz w:val="20"/>
          <w:szCs w:val="20"/>
          <w:lang w:val="fr-CA"/>
        </w:rPr>
      </w:pPr>
      <w:r w:rsidRPr="009B2282">
        <w:rPr>
          <w:rFonts w:ascii="Arial" w:hAnsi="Arial" w:cs="Arial"/>
          <w:sz w:val="20"/>
          <w:szCs w:val="20"/>
          <w:lang w:val="fr-CA"/>
        </w:rPr>
        <w:t>Le CT peut exiger que des affectations</w:t>
      </w:r>
      <w:r>
        <w:rPr>
          <w:rFonts w:ascii="Arial" w:hAnsi="Arial" w:cs="Arial"/>
          <w:sz w:val="20"/>
          <w:szCs w:val="20"/>
          <w:lang w:val="fr-CA"/>
        </w:rPr>
        <w:t xml:space="preserve"> (Fonds)</w:t>
      </w:r>
      <w:r w:rsidRPr="009B2282">
        <w:rPr>
          <w:rFonts w:ascii="Arial" w:hAnsi="Arial" w:cs="Arial"/>
          <w:sz w:val="20"/>
          <w:szCs w:val="20"/>
          <w:lang w:val="fr-CA"/>
        </w:rPr>
        <w:t xml:space="preserve"> distinctes soient établies pour des fins particulières. Cette affectation à but spécial vise principalement à établir des mesures de contrôle bien précises pour les dépenses et à faciliter la production de rapports.</w:t>
      </w:r>
      <w:r>
        <w:rPr>
          <w:rFonts w:ascii="Arial" w:hAnsi="Arial" w:cs="Arial"/>
          <w:sz w:val="20"/>
          <w:szCs w:val="20"/>
          <w:lang w:val="fr-CA"/>
        </w:rPr>
        <w:t xml:space="preserve"> Initiatives publicitaires – Plan publicitaire du gouvernement du Canada (Fond B101),</w:t>
      </w:r>
      <w:r w:rsidRPr="009B2282">
        <w:rPr>
          <w:rFonts w:ascii="Arial" w:hAnsi="Arial" w:cs="Arial"/>
          <w:sz w:val="20"/>
          <w:szCs w:val="20"/>
          <w:lang w:val="fr-CA"/>
        </w:rPr>
        <w:t xml:space="preserve"> constitue un exemple de financement qui est contrôlé séparément en raison d’une directive émise par le CT</w:t>
      </w:r>
      <w:r w:rsidRPr="00001E0D">
        <w:rPr>
          <w:rFonts w:ascii="Arial" w:hAnsi="Arial" w:cs="Arial"/>
          <w:sz w:val="20"/>
          <w:szCs w:val="20"/>
          <w:lang w:val="fr-CA"/>
        </w:rPr>
        <w:t>.</w:t>
      </w:r>
    </w:p>
    <w:p w:rsidR="00362EC8" w:rsidRPr="00001E0D" w:rsidRDefault="00362EC8" w:rsidP="00362EC8">
      <w:pPr>
        <w:rPr>
          <w:rFonts w:ascii="Arial" w:hAnsi="Arial" w:cs="Arial"/>
          <w:sz w:val="20"/>
          <w:szCs w:val="20"/>
          <w:lang w:val="fr-CA"/>
        </w:rPr>
      </w:pPr>
    </w:p>
    <w:p w:rsidR="00362EC8" w:rsidRPr="00001E0D" w:rsidRDefault="00362EC8" w:rsidP="00362EC8">
      <w:pPr>
        <w:rPr>
          <w:rFonts w:ascii="Arial" w:hAnsi="Arial" w:cs="Arial"/>
          <w:b/>
          <w:sz w:val="20"/>
          <w:szCs w:val="20"/>
          <w:lang w:val="fr-CA"/>
        </w:rPr>
      </w:pPr>
      <w:r>
        <w:rPr>
          <w:rFonts w:ascii="Arial" w:hAnsi="Arial" w:cs="Arial"/>
          <w:b/>
          <w:sz w:val="20"/>
          <w:szCs w:val="20"/>
          <w:lang w:val="fr-CA"/>
        </w:rPr>
        <w:t>Affectation bloquée (ou réservée)</w:t>
      </w:r>
    </w:p>
    <w:p w:rsidR="00362EC8" w:rsidRPr="00001E0D" w:rsidRDefault="00362EC8" w:rsidP="00362EC8">
      <w:pPr>
        <w:rPr>
          <w:rFonts w:ascii="Arial" w:hAnsi="Arial" w:cs="Arial"/>
          <w:sz w:val="20"/>
          <w:szCs w:val="20"/>
          <w:lang w:val="fr-CA"/>
        </w:rPr>
      </w:pPr>
      <w:r w:rsidRPr="009B2282">
        <w:rPr>
          <w:rFonts w:ascii="Arial" w:hAnsi="Arial" w:cs="Arial"/>
          <w:sz w:val="20"/>
          <w:szCs w:val="20"/>
          <w:lang w:val="fr-CA"/>
        </w:rPr>
        <w:t xml:space="preserve">Le CT peut exiger que des sommes soient placées dans une affectation bloquée. Cette directive peut s’appliquer à un seul programme, à plusieurs programmes ou à tous les </w:t>
      </w:r>
      <w:r w:rsidR="00B9516F">
        <w:rPr>
          <w:rFonts w:ascii="Arial" w:hAnsi="Arial" w:cs="Arial"/>
          <w:sz w:val="20"/>
          <w:szCs w:val="20"/>
          <w:lang w:val="fr-CA"/>
        </w:rPr>
        <w:t>ministère</w:t>
      </w:r>
      <w:r w:rsidRPr="009B2282">
        <w:rPr>
          <w:rFonts w:ascii="Arial" w:hAnsi="Arial" w:cs="Arial"/>
          <w:sz w:val="20"/>
          <w:szCs w:val="20"/>
          <w:lang w:val="fr-CA"/>
        </w:rPr>
        <w:t>s. Les fonds de cette affectation ne doivent pas</w:t>
      </w:r>
      <w:r w:rsidR="004D6DB3">
        <w:rPr>
          <w:rFonts w:ascii="Arial" w:hAnsi="Arial" w:cs="Arial"/>
          <w:sz w:val="20"/>
          <w:szCs w:val="20"/>
          <w:lang w:val="fr-CA"/>
        </w:rPr>
        <w:t xml:space="preserve"> être dépensés </w:t>
      </w:r>
      <w:r w:rsidRPr="009B2282">
        <w:rPr>
          <w:rFonts w:ascii="Arial" w:hAnsi="Arial" w:cs="Arial"/>
          <w:sz w:val="20"/>
          <w:szCs w:val="20"/>
          <w:lang w:val="fr-CA"/>
        </w:rPr>
        <w:t xml:space="preserve"> </w:t>
      </w:r>
      <w:r w:rsidR="004D6DB3">
        <w:rPr>
          <w:rFonts w:ascii="Arial" w:hAnsi="Arial" w:cs="Arial"/>
          <w:sz w:val="20"/>
          <w:szCs w:val="20"/>
          <w:lang w:val="fr-CA"/>
        </w:rPr>
        <w:t xml:space="preserve">à moins qu’autrement indiqué par le </w:t>
      </w:r>
      <w:r w:rsidRPr="009B2282">
        <w:rPr>
          <w:rFonts w:ascii="Arial" w:hAnsi="Arial" w:cs="Arial"/>
          <w:sz w:val="20"/>
          <w:szCs w:val="20"/>
          <w:lang w:val="fr-CA"/>
        </w:rPr>
        <w:t>CT</w:t>
      </w:r>
      <w:r w:rsidRPr="00001E0D">
        <w:rPr>
          <w:rFonts w:ascii="Arial" w:hAnsi="Arial" w:cs="Arial"/>
          <w:sz w:val="20"/>
          <w:szCs w:val="20"/>
          <w:lang w:val="fr-CA"/>
        </w:rPr>
        <w:t>.</w:t>
      </w:r>
    </w:p>
    <w:p w:rsidR="00362EC8" w:rsidRPr="00001E0D" w:rsidRDefault="00362EC8" w:rsidP="00362EC8">
      <w:pPr>
        <w:rPr>
          <w:rFonts w:ascii="Arial" w:hAnsi="Arial" w:cs="Arial"/>
          <w:sz w:val="20"/>
          <w:szCs w:val="20"/>
          <w:lang w:val="fr-CA"/>
        </w:rPr>
      </w:pPr>
    </w:p>
    <w:p w:rsidR="00362EC8" w:rsidRDefault="005D0319" w:rsidP="00362EC8">
      <w:pPr>
        <w:rPr>
          <w:rFonts w:ascii="Arial" w:hAnsi="Arial" w:cs="Arial"/>
          <w:sz w:val="20"/>
          <w:szCs w:val="20"/>
          <w:lang w:val="fr-CA"/>
        </w:rPr>
      </w:pPr>
      <w:r>
        <w:rPr>
          <w:rFonts w:ascii="Arial" w:hAnsi="Arial" w:cs="Arial"/>
          <w:sz w:val="20"/>
          <w:szCs w:val="20"/>
          <w:lang w:val="fr-CA"/>
        </w:rPr>
        <w:t xml:space="preserve">La direction générale du DPF est responsable de </w:t>
      </w:r>
      <w:r w:rsidR="00362EC8" w:rsidRPr="009B2282">
        <w:rPr>
          <w:rFonts w:ascii="Arial" w:hAnsi="Arial" w:cs="Arial"/>
          <w:sz w:val="20"/>
          <w:szCs w:val="20"/>
          <w:lang w:val="fr-CA"/>
        </w:rPr>
        <w:t>contrôler l’ensemble des crédits et des af</w:t>
      </w:r>
      <w:r>
        <w:rPr>
          <w:rFonts w:ascii="Arial" w:hAnsi="Arial" w:cs="Arial"/>
          <w:sz w:val="20"/>
          <w:szCs w:val="20"/>
          <w:lang w:val="fr-CA"/>
        </w:rPr>
        <w:t xml:space="preserve">fectations du </w:t>
      </w:r>
      <w:r w:rsidR="00B9516F">
        <w:rPr>
          <w:rFonts w:ascii="Arial" w:hAnsi="Arial" w:cs="Arial"/>
          <w:sz w:val="20"/>
          <w:szCs w:val="20"/>
          <w:lang w:val="fr-CA"/>
        </w:rPr>
        <w:t>ministère</w:t>
      </w:r>
      <w:r>
        <w:rPr>
          <w:rFonts w:ascii="Arial" w:hAnsi="Arial" w:cs="Arial"/>
          <w:sz w:val="20"/>
          <w:szCs w:val="20"/>
          <w:lang w:val="fr-CA"/>
        </w:rPr>
        <w:t xml:space="preserve"> pafin de s’assurer que ceux-ci ne sont pas </w:t>
      </w:r>
      <w:r w:rsidR="00362EC8" w:rsidRPr="009B2282">
        <w:rPr>
          <w:rFonts w:ascii="Arial" w:hAnsi="Arial" w:cs="Arial"/>
          <w:sz w:val="20"/>
          <w:szCs w:val="20"/>
          <w:lang w:val="fr-CA"/>
        </w:rPr>
        <w:t>dépass</w:t>
      </w:r>
      <w:r>
        <w:rPr>
          <w:rFonts w:ascii="Arial" w:hAnsi="Arial" w:cs="Arial"/>
          <w:sz w:val="20"/>
          <w:szCs w:val="20"/>
          <w:lang w:val="fr-CA"/>
        </w:rPr>
        <w:t>és</w:t>
      </w:r>
      <w:r w:rsidR="00362EC8" w:rsidRPr="009B2282">
        <w:rPr>
          <w:rFonts w:ascii="Arial" w:hAnsi="Arial" w:cs="Arial"/>
          <w:sz w:val="20"/>
          <w:szCs w:val="20"/>
          <w:lang w:val="fr-CA"/>
        </w:rPr>
        <w:t>. Outre le contrôle minimal des affectations exigé par le SCT, des affectations internes peuvent être utilisées pour exercer un contrôle</w:t>
      </w:r>
      <w:r w:rsidR="00362EC8">
        <w:rPr>
          <w:rFonts w:ascii="Arial" w:hAnsi="Arial" w:cs="Arial"/>
          <w:sz w:val="20"/>
          <w:szCs w:val="20"/>
          <w:lang w:val="fr-CA"/>
        </w:rPr>
        <w:t xml:space="preserve"> au niveau des fonds, des centres financiers et des comptes budgétaires</w:t>
      </w:r>
      <w:r w:rsidR="00362EC8" w:rsidRPr="00001E0D">
        <w:rPr>
          <w:rFonts w:ascii="Arial" w:hAnsi="Arial" w:cs="Arial"/>
          <w:sz w:val="20"/>
          <w:szCs w:val="20"/>
          <w:lang w:val="fr-CA"/>
        </w:rPr>
        <w:t xml:space="preserve"> (</w:t>
      </w:r>
      <w:r w:rsidR="00362EC8">
        <w:rPr>
          <w:rFonts w:ascii="Arial" w:hAnsi="Arial" w:cs="Arial"/>
          <w:sz w:val="20"/>
          <w:szCs w:val="20"/>
          <w:lang w:val="fr-CA"/>
        </w:rPr>
        <w:t>salaires, F et E)</w:t>
      </w:r>
      <w:r w:rsidR="00362EC8" w:rsidRPr="00001E0D">
        <w:rPr>
          <w:rFonts w:ascii="Arial" w:hAnsi="Arial" w:cs="Arial"/>
          <w:sz w:val="20"/>
          <w:szCs w:val="20"/>
          <w:lang w:val="fr-CA"/>
        </w:rPr>
        <w:t xml:space="preserve">. </w:t>
      </w:r>
      <w:r w:rsidR="00362EC8" w:rsidRPr="009B2282">
        <w:rPr>
          <w:rFonts w:ascii="Arial" w:hAnsi="Arial" w:cs="Arial"/>
          <w:sz w:val="20"/>
          <w:szCs w:val="20"/>
          <w:lang w:val="fr-CA"/>
        </w:rPr>
        <w:t xml:space="preserve">Les prévisions des diverses entités opérationnelles </w:t>
      </w:r>
      <w:r w:rsidR="00AB730D">
        <w:rPr>
          <w:rFonts w:ascii="Arial" w:hAnsi="Arial" w:cs="Arial"/>
          <w:sz w:val="20"/>
          <w:szCs w:val="20"/>
          <w:lang w:val="fr-CA"/>
        </w:rPr>
        <w:t xml:space="preserve">permettent  d’identifier rapidement les problématiques financières par élément de contrôle. </w:t>
      </w:r>
    </w:p>
    <w:p w:rsidR="00362EC8" w:rsidRPr="00001E0D" w:rsidRDefault="00362EC8" w:rsidP="00362EC8">
      <w:pPr>
        <w:rPr>
          <w:rFonts w:ascii="Arial" w:hAnsi="Arial" w:cs="Arial"/>
          <w:sz w:val="20"/>
          <w:szCs w:val="20"/>
          <w:lang w:val="fr-CA"/>
        </w:rPr>
      </w:pPr>
    </w:p>
    <w:p w:rsidR="00362EC8" w:rsidRPr="00001E0D" w:rsidRDefault="00362EC8" w:rsidP="00362EC8">
      <w:pPr>
        <w:pStyle w:val="Heading3"/>
        <w:rPr>
          <w:lang w:val="fr-CA"/>
        </w:rPr>
      </w:pPr>
      <w:bookmarkStart w:id="60" w:name="IIIC2"/>
      <w:bookmarkStart w:id="61" w:name="_Toc485812726"/>
      <w:bookmarkEnd w:id="60"/>
      <w:r w:rsidRPr="00001E0D">
        <w:rPr>
          <w:lang w:val="fr-CA"/>
        </w:rPr>
        <w:t xml:space="preserve">3.3.2. </w:t>
      </w:r>
      <w:r>
        <w:rPr>
          <w:lang w:val="fr-CA"/>
        </w:rPr>
        <w:t>Contrôle de caisse</w:t>
      </w:r>
      <w:bookmarkEnd w:id="61"/>
    </w:p>
    <w:p w:rsidR="00362EC8" w:rsidRPr="00001E0D" w:rsidRDefault="00362EC8" w:rsidP="00362EC8">
      <w:pPr>
        <w:rPr>
          <w:rFonts w:ascii="Arial" w:hAnsi="Arial" w:cs="Arial"/>
          <w:sz w:val="20"/>
          <w:szCs w:val="20"/>
          <w:lang w:val="fr-CA"/>
        </w:rPr>
      </w:pPr>
    </w:p>
    <w:p w:rsidR="00362EC8" w:rsidRPr="00001E0D" w:rsidRDefault="00362EC8" w:rsidP="00362EC8">
      <w:pPr>
        <w:rPr>
          <w:rFonts w:ascii="Arial" w:hAnsi="Arial"/>
          <w:bCs/>
          <w:sz w:val="20"/>
          <w:szCs w:val="28"/>
          <w:lang w:val="fr-CA"/>
        </w:rPr>
      </w:pPr>
      <w:r w:rsidRPr="009B2282">
        <w:rPr>
          <w:rFonts w:ascii="Arial" w:hAnsi="Arial"/>
          <w:bCs/>
          <w:sz w:val="20"/>
          <w:szCs w:val="28"/>
          <w:lang w:val="fr-CA"/>
        </w:rPr>
        <w:t>Généralement, les crédits provisoires sont approuvés avant le 1</w:t>
      </w:r>
      <w:r w:rsidRPr="009B2282">
        <w:rPr>
          <w:rFonts w:ascii="Arial" w:hAnsi="Arial"/>
          <w:bCs/>
          <w:sz w:val="20"/>
          <w:szCs w:val="28"/>
          <w:vertAlign w:val="superscript"/>
          <w:lang w:val="fr-CA"/>
        </w:rPr>
        <w:t>er</w:t>
      </w:r>
      <w:r>
        <w:rPr>
          <w:rFonts w:ascii="Arial" w:hAnsi="Arial"/>
          <w:bCs/>
          <w:sz w:val="20"/>
          <w:szCs w:val="28"/>
          <w:lang w:val="fr-CA"/>
        </w:rPr>
        <w:t xml:space="preserve"> </w:t>
      </w:r>
      <w:r w:rsidRPr="009B2282">
        <w:rPr>
          <w:rFonts w:ascii="Arial" w:hAnsi="Arial"/>
          <w:bCs/>
          <w:sz w:val="20"/>
          <w:szCs w:val="28"/>
          <w:lang w:val="fr-CA"/>
        </w:rPr>
        <w:t xml:space="preserve">avril. Les fonds correspondants sont </w:t>
      </w:r>
      <w:r w:rsidR="00AB730D">
        <w:rPr>
          <w:rFonts w:ascii="Arial" w:hAnsi="Arial"/>
          <w:bCs/>
          <w:sz w:val="20"/>
          <w:szCs w:val="28"/>
          <w:lang w:val="fr-CA"/>
        </w:rPr>
        <w:t>inscrits</w:t>
      </w:r>
      <w:r w:rsidRPr="009B2282">
        <w:rPr>
          <w:rFonts w:ascii="Arial" w:hAnsi="Arial"/>
          <w:bCs/>
          <w:sz w:val="20"/>
          <w:szCs w:val="28"/>
          <w:lang w:val="fr-CA"/>
        </w:rPr>
        <w:t xml:space="preserve"> dans </w:t>
      </w:r>
      <w:r>
        <w:rPr>
          <w:rFonts w:ascii="Arial" w:hAnsi="Arial"/>
          <w:bCs/>
          <w:sz w:val="20"/>
          <w:szCs w:val="28"/>
          <w:lang w:val="fr-CA"/>
        </w:rPr>
        <w:t>maSGE</w:t>
      </w:r>
      <w:r w:rsidRPr="009B2282">
        <w:rPr>
          <w:rFonts w:ascii="Arial" w:hAnsi="Arial"/>
          <w:bCs/>
          <w:sz w:val="20"/>
          <w:szCs w:val="28"/>
          <w:lang w:val="fr-CA"/>
        </w:rPr>
        <w:t xml:space="preserve"> et </w:t>
      </w:r>
      <w:r>
        <w:rPr>
          <w:rFonts w:ascii="Arial" w:hAnsi="Arial"/>
          <w:bCs/>
          <w:sz w:val="20"/>
          <w:szCs w:val="28"/>
          <w:lang w:val="fr-CA"/>
        </w:rPr>
        <w:t>des</w:t>
      </w:r>
      <w:r w:rsidRPr="009B2282">
        <w:rPr>
          <w:rFonts w:ascii="Arial" w:hAnsi="Arial"/>
          <w:bCs/>
          <w:sz w:val="20"/>
          <w:szCs w:val="28"/>
          <w:lang w:val="fr-CA"/>
        </w:rPr>
        <w:t xml:space="preserve"> contrôle</w:t>
      </w:r>
      <w:r>
        <w:rPr>
          <w:rFonts w:ascii="Arial" w:hAnsi="Arial"/>
          <w:bCs/>
          <w:sz w:val="20"/>
          <w:szCs w:val="28"/>
          <w:lang w:val="fr-CA"/>
        </w:rPr>
        <w:t>s sont mis en place au niveau des fonds, des centres financiers et des</w:t>
      </w:r>
      <w:r w:rsidRPr="009B2282">
        <w:rPr>
          <w:rFonts w:ascii="Arial" w:hAnsi="Arial"/>
          <w:bCs/>
          <w:sz w:val="20"/>
          <w:szCs w:val="28"/>
          <w:lang w:val="fr-CA"/>
        </w:rPr>
        <w:t xml:space="preserve"> </w:t>
      </w:r>
      <w:r>
        <w:rPr>
          <w:rFonts w:ascii="Arial" w:hAnsi="Arial"/>
          <w:bCs/>
          <w:sz w:val="20"/>
          <w:szCs w:val="28"/>
          <w:lang w:val="fr-CA"/>
        </w:rPr>
        <w:t>comptes budgétaires avant le 1</w:t>
      </w:r>
      <w:r w:rsidRPr="0045118D">
        <w:rPr>
          <w:rFonts w:ascii="Arial" w:hAnsi="Arial"/>
          <w:bCs/>
          <w:sz w:val="20"/>
          <w:szCs w:val="28"/>
          <w:vertAlign w:val="superscript"/>
          <w:lang w:val="fr-CA"/>
        </w:rPr>
        <w:t>er</w:t>
      </w:r>
      <w:r>
        <w:rPr>
          <w:rFonts w:ascii="Arial" w:hAnsi="Arial"/>
          <w:bCs/>
          <w:sz w:val="20"/>
          <w:szCs w:val="28"/>
          <w:lang w:val="fr-CA"/>
        </w:rPr>
        <w:t xml:space="preserve"> avril 2017</w:t>
      </w:r>
      <w:r w:rsidRPr="009B2282">
        <w:rPr>
          <w:rFonts w:ascii="Arial" w:hAnsi="Arial"/>
          <w:bCs/>
          <w:sz w:val="20"/>
          <w:szCs w:val="28"/>
          <w:lang w:val="fr-CA"/>
        </w:rPr>
        <w:t>. Les fonds sont mis à jour après avoir obtenu l’approbation pour la totalité des crédits, le Budget supplémentaire des dépenses et les affectations des crédits centraux du CT.</w:t>
      </w:r>
    </w:p>
    <w:p w:rsidR="00362EC8" w:rsidRPr="00001E0D" w:rsidRDefault="00362EC8" w:rsidP="00362EC8">
      <w:pPr>
        <w:rPr>
          <w:rFonts w:ascii="Arial" w:hAnsi="Arial"/>
          <w:bCs/>
          <w:sz w:val="20"/>
          <w:szCs w:val="28"/>
          <w:lang w:val="fr-CA"/>
        </w:rPr>
      </w:pPr>
    </w:p>
    <w:p w:rsidR="00362EC8" w:rsidRPr="00001E0D" w:rsidRDefault="00362EC8" w:rsidP="00362EC8">
      <w:pPr>
        <w:rPr>
          <w:rFonts w:ascii="Arial" w:hAnsi="Arial"/>
          <w:bCs/>
          <w:sz w:val="20"/>
          <w:szCs w:val="28"/>
          <w:lang w:val="fr-CA"/>
        </w:rPr>
      </w:pPr>
      <w:r w:rsidRPr="0045118D">
        <w:rPr>
          <w:rFonts w:ascii="Arial" w:hAnsi="Arial"/>
          <w:bCs/>
          <w:sz w:val="20"/>
          <w:szCs w:val="28"/>
          <w:lang w:val="fr-CA"/>
        </w:rPr>
        <w:t>La LGFP prévoit que les décaissements ministériels ne doivent jamais dépasser les affectations approuvées. Outre certains reco</w:t>
      </w:r>
      <w:r w:rsidR="00AB730D">
        <w:rPr>
          <w:rFonts w:ascii="Arial" w:hAnsi="Arial"/>
          <w:bCs/>
          <w:sz w:val="20"/>
          <w:szCs w:val="28"/>
          <w:lang w:val="fr-CA"/>
        </w:rPr>
        <w:t>uvrements de fonds d’I</w:t>
      </w:r>
      <w:r w:rsidRPr="0045118D">
        <w:rPr>
          <w:rFonts w:ascii="Arial" w:hAnsi="Arial"/>
          <w:bCs/>
          <w:sz w:val="20"/>
          <w:szCs w:val="28"/>
          <w:lang w:val="fr-CA"/>
        </w:rPr>
        <w:t>ndemnisation des accident</w:t>
      </w:r>
      <w:r w:rsidR="00AB730D">
        <w:rPr>
          <w:rFonts w:ascii="Arial" w:hAnsi="Arial"/>
          <w:bCs/>
          <w:sz w:val="20"/>
          <w:szCs w:val="28"/>
          <w:lang w:val="fr-CA"/>
        </w:rPr>
        <w:t>é</w:t>
      </w:r>
      <w:r w:rsidRPr="0045118D">
        <w:rPr>
          <w:rFonts w:ascii="Arial" w:hAnsi="Arial"/>
          <w:bCs/>
          <w:sz w:val="20"/>
          <w:szCs w:val="28"/>
          <w:lang w:val="fr-CA"/>
        </w:rPr>
        <w:t xml:space="preserve">s du travail auprès de sociétés d’État et d’autres </w:t>
      </w:r>
      <w:r w:rsidR="00B9516F">
        <w:rPr>
          <w:rFonts w:ascii="Arial" w:hAnsi="Arial"/>
          <w:bCs/>
          <w:sz w:val="20"/>
          <w:szCs w:val="28"/>
          <w:lang w:val="fr-CA"/>
        </w:rPr>
        <w:t>ministère</w:t>
      </w:r>
      <w:r w:rsidRPr="0045118D">
        <w:rPr>
          <w:rFonts w:ascii="Arial" w:hAnsi="Arial"/>
          <w:bCs/>
          <w:sz w:val="20"/>
          <w:szCs w:val="28"/>
          <w:lang w:val="fr-CA"/>
        </w:rPr>
        <w:t xml:space="preserve">s, EDSC doit gérer les </w:t>
      </w:r>
      <w:r>
        <w:rPr>
          <w:rFonts w:ascii="Arial" w:hAnsi="Arial"/>
          <w:bCs/>
          <w:sz w:val="20"/>
          <w:szCs w:val="28"/>
          <w:lang w:val="fr-CA"/>
        </w:rPr>
        <w:t>quatre</w:t>
      </w:r>
      <w:r w:rsidRPr="0045118D">
        <w:rPr>
          <w:rFonts w:ascii="Arial" w:hAnsi="Arial"/>
          <w:bCs/>
          <w:sz w:val="20"/>
          <w:szCs w:val="28"/>
          <w:lang w:val="fr-CA"/>
        </w:rPr>
        <w:t xml:space="preserve"> grandes sources de financement suivantes</w:t>
      </w:r>
      <w:r>
        <w:rPr>
          <w:rFonts w:ascii="Arial" w:hAnsi="Arial"/>
          <w:bCs/>
          <w:sz w:val="20"/>
          <w:szCs w:val="28"/>
          <w:lang w:val="fr-CA"/>
        </w:rPr>
        <w:t> </w:t>
      </w:r>
      <w:r w:rsidRPr="00001E0D">
        <w:rPr>
          <w:rFonts w:ascii="Arial" w:hAnsi="Arial"/>
          <w:bCs/>
          <w:sz w:val="20"/>
          <w:szCs w:val="28"/>
          <w:lang w:val="fr-CA"/>
        </w:rPr>
        <w:t>:</w:t>
      </w:r>
    </w:p>
    <w:p w:rsidR="00362EC8" w:rsidRPr="00001E0D" w:rsidRDefault="00362EC8" w:rsidP="00362EC8">
      <w:pPr>
        <w:rPr>
          <w:rFonts w:ascii="Arial" w:hAnsi="Arial" w:cs="Arial"/>
          <w:sz w:val="20"/>
          <w:szCs w:val="20"/>
          <w:lang w:val="fr-CA"/>
        </w:rPr>
      </w:pPr>
    </w:p>
    <w:p w:rsidR="00362EC8" w:rsidRPr="00001E0D" w:rsidRDefault="00362EC8" w:rsidP="00362EC8">
      <w:pPr>
        <w:numPr>
          <w:ilvl w:val="0"/>
          <w:numId w:val="8"/>
        </w:numPr>
        <w:rPr>
          <w:rFonts w:ascii="Arial" w:hAnsi="Arial" w:cs="Arial"/>
          <w:sz w:val="20"/>
          <w:szCs w:val="20"/>
          <w:lang w:val="fr-CA"/>
        </w:rPr>
      </w:pPr>
      <w:r w:rsidRPr="0045118D">
        <w:rPr>
          <w:rFonts w:ascii="Arial" w:hAnsi="Arial" w:cs="Arial"/>
          <w:sz w:val="20"/>
          <w:szCs w:val="20"/>
          <w:lang w:val="fr-CA"/>
        </w:rPr>
        <w:t>les fonds du Trésor fournis par le processus d’octroi des crédits</w:t>
      </w:r>
      <w:r w:rsidRPr="00001E0D">
        <w:rPr>
          <w:rFonts w:ascii="Arial" w:hAnsi="Arial" w:cs="Arial"/>
          <w:sz w:val="20"/>
          <w:szCs w:val="20"/>
          <w:lang w:val="fr-CA"/>
        </w:rPr>
        <w:t>;</w:t>
      </w:r>
    </w:p>
    <w:p w:rsidR="00362EC8" w:rsidRPr="00001E0D" w:rsidRDefault="00362EC8" w:rsidP="00362EC8">
      <w:pPr>
        <w:numPr>
          <w:ilvl w:val="0"/>
          <w:numId w:val="8"/>
        </w:numPr>
        <w:rPr>
          <w:rFonts w:ascii="Arial" w:hAnsi="Arial" w:cs="Arial"/>
          <w:sz w:val="20"/>
          <w:szCs w:val="20"/>
          <w:lang w:val="fr-CA"/>
        </w:rPr>
      </w:pPr>
      <w:r w:rsidRPr="0045118D">
        <w:rPr>
          <w:rFonts w:ascii="Arial" w:hAnsi="Arial" w:cs="Arial"/>
          <w:sz w:val="20"/>
          <w:szCs w:val="20"/>
          <w:lang w:val="fr-CA"/>
        </w:rPr>
        <w:t>les fonds se rattachant à des recouvrements du Compte des opérations de l’assurance-emploi</w:t>
      </w:r>
      <w:r>
        <w:rPr>
          <w:rFonts w:ascii="Arial" w:hAnsi="Arial" w:cs="Arial"/>
          <w:sz w:val="20"/>
          <w:szCs w:val="20"/>
          <w:lang w:val="fr-CA"/>
        </w:rPr>
        <w:t>;</w:t>
      </w:r>
    </w:p>
    <w:p w:rsidR="00362EC8" w:rsidRDefault="00362EC8" w:rsidP="00362EC8">
      <w:pPr>
        <w:numPr>
          <w:ilvl w:val="0"/>
          <w:numId w:val="8"/>
        </w:numPr>
        <w:rPr>
          <w:rFonts w:ascii="Arial" w:hAnsi="Arial" w:cs="Arial"/>
          <w:sz w:val="20"/>
          <w:szCs w:val="20"/>
          <w:lang w:val="fr-CA"/>
        </w:rPr>
      </w:pPr>
      <w:r w:rsidRPr="0045118D">
        <w:rPr>
          <w:rFonts w:ascii="Arial" w:hAnsi="Arial" w:cs="Arial"/>
          <w:sz w:val="20"/>
          <w:szCs w:val="20"/>
          <w:lang w:val="fr-CA"/>
        </w:rPr>
        <w:t>les fonds se rattachant à des recouvrements du Compte du Régime de pensions du Canada</w:t>
      </w:r>
      <w:r>
        <w:rPr>
          <w:rFonts w:ascii="Arial" w:hAnsi="Arial" w:cs="Arial"/>
          <w:sz w:val="20"/>
          <w:szCs w:val="20"/>
          <w:lang w:val="fr-CA"/>
        </w:rPr>
        <w:t>;</w:t>
      </w:r>
    </w:p>
    <w:p w:rsidR="00362EC8" w:rsidRPr="00001E0D" w:rsidRDefault="00362EC8" w:rsidP="00362EC8">
      <w:pPr>
        <w:numPr>
          <w:ilvl w:val="0"/>
          <w:numId w:val="8"/>
        </w:numPr>
        <w:rPr>
          <w:rFonts w:ascii="Arial" w:hAnsi="Arial" w:cs="Arial"/>
          <w:sz w:val="20"/>
          <w:szCs w:val="20"/>
          <w:lang w:val="fr-CA"/>
        </w:rPr>
      </w:pPr>
      <w:r>
        <w:rPr>
          <w:rFonts w:ascii="Arial" w:hAnsi="Arial" w:cs="Arial"/>
          <w:sz w:val="20"/>
          <w:szCs w:val="20"/>
          <w:lang w:val="fr-CA"/>
        </w:rPr>
        <w:t>les fonds se rattachant à des recouvrements du RVC (Passeport et autres)</w:t>
      </w:r>
    </w:p>
    <w:p w:rsidR="00362EC8" w:rsidRPr="00001E0D" w:rsidRDefault="00362EC8" w:rsidP="00362EC8">
      <w:pPr>
        <w:rPr>
          <w:rFonts w:ascii="Arial" w:hAnsi="Arial" w:cs="Arial"/>
          <w:sz w:val="20"/>
          <w:szCs w:val="20"/>
          <w:lang w:val="fr-CA"/>
        </w:rPr>
      </w:pPr>
    </w:p>
    <w:p w:rsidR="00362EC8" w:rsidRPr="00001E0D" w:rsidRDefault="00362EC8" w:rsidP="00362EC8">
      <w:pPr>
        <w:rPr>
          <w:rFonts w:ascii="Arial" w:hAnsi="Arial" w:cs="Arial"/>
          <w:sz w:val="20"/>
          <w:szCs w:val="20"/>
          <w:lang w:val="fr-CA"/>
        </w:rPr>
      </w:pPr>
    </w:p>
    <w:p w:rsidR="00362EC8" w:rsidRPr="00001E0D" w:rsidRDefault="00362EC8" w:rsidP="00362EC8">
      <w:pPr>
        <w:rPr>
          <w:rFonts w:ascii="Arial" w:hAnsi="Arial" w:cs="Arial"/>
          <w:sz w:val="20"/>
          <w:szCs w:val="20"/>
          <w:lang w:val="fr-CA"/>
        </w:rPr>
      </w:pPr>
      <w:r w:rsidRPr="0045118D">
        <w:rPr>
          <w:rFonts w:ascii="Arial" w:hAnsi="Arial" w:cs="Arial"/>
          <w:sz w:val="20"/>
          <w:szCs w:val="20"/>
          <w:lang w:val="fr-CA"/>
        </w:rPr>
        <w:t>Le contrôle des fonds importants qui circulent au sein d</w:t>
      </w:r>
      <w:r>
        <w:rPr>
          <w:rFonts w:ascii="Arial" w:hAnsi="Arial" w:cs="Arial"/>
          <w:sz w:val="20"/>
          <w:szCs w:val="20"/>
          <w:lang w:val="fr-CA"/>
        </w:rPr>
        <w:t>’</w:t>
      </w:r>
      <w:r w:rsidRPr="0045118D">
        <w:rPr>
          <w:rFonts w:ascii="Arial" w:hAnsi="Arial" w:cs="Arial"/>
          <w:sz w:val="20"/>
          <w:szCs w:val="20"/>
          <w:lang w:val="fr-CA"/>
        </w:rPr>
        <w:t>EDSC nécessite une surveillance</w:t>
      </w:r>
      <w:r w:rsidR="00AB730D">
        <w:rPr>
          <w:rFonts w:ascii="Arial" w:hAnsi="Arial" w:cs="Arial"/>
          <w:sz w:val="20"/>
          <w:szCs w:val="20"/>
          <w:lang w:val="fr-CA"/>
        </w:rPr>
        <w:t xml:space="preserve"> </w:t>
      </w:r>
      <w:r w:rsidR="00AB730D" w:rsidRPr="0045118D">
        <w:rPr>
          <w:rFonts w:ascii="Arial" w:hAnsi="Arial" w:cs="Arial"/>
          <w:sz w:val="20"/>
          <w:szCs w:val="20"/>
          <w:lang w:val="fr-CA"/>
        </w:rPr>
        <w:t>étroite</w:t>
      </w:r>
      <w:r w:rsidRPr="0045118D">
        <w:rPr>
          <w:rFonts w:ascii="Arial" w:hAnsi="Arial" w:cs="Arial"/>
          <w:sz w:val="20"/>
          <w:szCs w:val="20"/>
          <w:lang w:val="fr-CA"/>
        </w:rPr>
        <w:t xml:space="preserve"> et une an</w:t>
      </w:r>
      <w:r w:rsidR="00AB730D">
        <w:rPr>
          <w:rFonts w:ascii="Arial" w:hAnsi="Arial" w:cs="Arial"/>
          <w:sz w:val="20"/>
          <w:szCs w:val="20"/>
          <w:lang w:val="fr-CA"/>
        </w:rPr>
        <w:t>alyse rigoureuse. Par exemple, l</w:t>
      </w:r>
      <w:r w:rsidRPr="0045118D">
        <w:rPr>
          <w:rFonts w:ascii="Arial" w:hAnsi="Arial" w:cs="Arial"/>
          <w:sz w:val="20"/>
          <w:szCs w:val="20"/>
          <w:lang w:val="fr-CA"/>
        </w:rPr>
        <w:t xml:space="preserve">es recouvrements du Compte des opérations de l’assurance-emploi et du Compte du Régime de pensions du Canada ont lieu tous les mois. </w:t>
      </w:r>
      <w:r w:rsidR="00AB730D">
        <w:rPr>
          <w:rFonts w:ascii="Arial" w:hAnsi="Arial" w:cs="Arial"/>
          <w:sz w:val="20"/>
          <w:szCs w:val="20"/>
          <w:lang w:val="fr-CA"/>
        </w:rPr>
        <w:t xml:space="preserve">La Direction générale du DPF </w:t>
      </w:r>
      <w:r w:rsidRPr="0045118D">
        <w:rPr>
          <w:rFonts w:ascii="Arial" w:hAnsi="Arial" w:cs="Arial"/>
          <w:sz w:val="20"/>
          <w:szCs w:val="20"/>
          <w:lang w:val="fr-CA"/>
        </w:rPr>
        <w:t>tient, pour EDSC, un registre de contrôle de caisse afin de faire le suivi des affectations de caisse distribuées au niveau ministériel</w:t>
      </w:r>
      <w:r w:rsidRPr="00001E0D">
        <w:rPr>
          <w:rFonts w:ascii="Arial" w:hAnsi="Arial" w:cs="Arial"/>
          <w:sz w:val="20"/>
          <w:szCs w:val="20"/>
          <w:lang w:val="fr-CA"/>
        </w:rPr>
        <w:t>.</w:t>
      </w:r>
    </w:p>
    <w:p w:rsidR="00362EC8" w:rsidRPr="007B4143" w:rsidRDefault="00362EC8" w:rsidP="00362EC8">
      <w:pPr>
        <w:rPr>
          <w:lang w:val="fr-CA"/>
        </w:rPr>
      </w:pPr>
      <w:r w:rsidRPr="00F6757A">
        <w:rPr>
          <w:rFonts w:ascii="Arial" w:hAnsi="Arial" w:cs="Arial"/>
          <w:b/>
          <w:sz w:val="20"/>
          <w:lang w:val="fr-CA"/>
        </w:rPr>
        <w:lastRenderedPageBreak/>
        <w:t>3.3.3. Contrôle des engagements</w:t>
      </w:r>
    </w:p>
    <w:p w:rsidR="00362EC8" w:rsidRPr="00001E0D" w:rsidRDefault="00362EC8" w:rsidP="00362EC8">
      <w:pPr>
        <w:rPr>
          <w:rFonts w:ascii="Arial" w:hAnsi="Arial" w:cs="Arial"/>
          <w:sz w:val="20"/>
          <w:szCs w:val="20"/>
          <w:lang w:val="fr-CA"/>
        </w:rPr>
      </w:pPr>
    </w:p>
    <w:p w:rsidR="00362EC8" w:rsidRPr="00001E0D" w:rsidRDefault="00362EC8" w:rsidP="00362EC8">
      <w:pPr>
        <w:rPr>
          <w:rFonts w:ascii="Arial" w:hAnsi="Arial" w:cs="Arial"/>
          <w:sz w:val="20"/>
          <w:szCs w:val="20"/>
          <w:lang w:val="fr-CA"/>
        </w:rPr>
      </w:pPr>
      <w:r w:rsidRPr="00964ED3">
        <w:rPr>
          <w:rFonts w:ascii="Arial" w:hAnsi="Arial" w:cs="Arial"/>
          <w:sz w:val="20"/>
          <w:szCs w:val="20"/>
          <w:lang w:val="fr-CA"/>
        </w:rPr>
        <w:t>Le contrôle des engagements est une pratique de gestion importante qui fait partie intégrante du contrôle budgétaire adéquat, ainsi que de la prévision, de l’attribution et de la réattribution des ressources d</w:t>
      </w:r>
      <w:r>
        <w:rPr>
          <w:rFonts w:ascii="Arial" w:hAnsi="Arial" w:cs="Arial"/>
          <w:sz w:val="20"/>
          <w:szCs w:val="20"/>
          <w:lang w:val="fr-CA"/>
        </w:rPr>
        <w:t>es</w:t>
      </w:r>
      <w:r w:rsidRPr="00964ED3">
        <w:rPr>
          <w:rFonts w:ascii="Arial" w:hAnsi="Arial" w:cs="Arial"/>
          <w:sz w:val="20"/>
          <w:szCs w:val="20"/>
          <w:lang w:val="fr-CA"/>
        </w:rPr>
        <w:t xml:space="preserve"> programme</w:t>
      </w:r>
      <w:r>
        <w:rPr>
          <w:rFonts w:ascii="Arial" w:hAnsi="Arial" w:cs="Arial"/>
          <w:sz w:val="20"/>
          <w:szCs w:val="20"/>
          <w:lang w:val="fr-CA"/>
        </w:rPr>
        <w:t>s</w:t>
      </w:r>
      <w:r w:rsidRPr="00964ED3">
        <w:rPr>
          <w:rFonts w:ascii="Arial" w:hAnsi="Arial" w:cs="Arial"/>
          <w:sz w:val="20"/>
          <w:szCs w:val="20"/>
          <w:lang w:val="fr-CA"/>
        </w:rPr>
        <w:t xml:space="preserve"> au sein des organisations gouvernementales</w:t>
      </w:r>
      <w:r w:rsidRPr="00001E0D">
        <w:rPr>
          <w:rFonts w:ascii="Arial" w:hAnsi="Arial" w:cs="Arial"/>
          <w:sz w:val="20"/>
          <w:szCs w:val="20"/>
          <w:lang w:val="fr-CA"/>
        </w:rPr>
        <w:t>.</w:t>
      </w:r>
    </w:p>
    <w:p w:rsidR="00362EC8" w:rsidRPr="00001E0D" w:rsidRDefault="00362EC8" w:rsidP="00362EC8">
      <w:pPr>
        <w:rPr>
          <w:rFonts w:ascii="Arial" w:hAnsi="Arial" w:cs="Arial"/>
          <w:sz w:val="20"/>
          <w:szCs w:val="20"/>
          <w:lang w:val="fr-CA"/>
        </w:rPr>
      </w:pPr>
    </w:p>
    <w:p w:rsidR="00362EC8" w:rsidRPr="00001E0D" w:rsidRDefault="00362EC8" w:rsidP="00362EC8">
      <w:pPr>
        <w:rPr>
          <w:rFonts w:ascii="Arial" w:hAnsi="Arial" w:cs="Arial"/>
          <w:sz w:val="20"/>
          <w:szCs w:val="20"/>
          <w:lang w:val="fr-CA"/>
        </w:rPr>
      </w:pPr>
      <w:r w:rsidRPr="00964ED3">
        <w:rPr>
          <w:rFonts w:ascii="Arial" w:hAnsi="Arial" w:cs="Arial"/>
          <w:sz w:val="20"/>
          <w:szCs w:val="20"/>
          <w:lang w:val="fr-CA"/>
        </w:rPr>
        <w:t xml:space="preserve">Il s’agit d’une politique gouvernementale selon laquelle les </w:t>
      </w:r>
      <w:r w:rsidR="00B9516F">
        <w:rPr>
          <w:rFonts w:ascii="Arial" w:hAnsi="Arial" w:cs="Arial"/>
          <w:sz w:val="20"/>
          <w:szCs w:val="20"/>
          <w:lang w:val="fr-CA"/>
        </w:rPr>
        <w:t>ministère</w:t>
      </w:r>
      <w:r w:rsidRPr="00964ED3">
        <w:rPr>
          <w:rFonts w:ascii="Arial" w:hAnsi="Arial" w:cs="Arial"/>
          <w:sz w:val="20"/>
          <w:szCs w:val="20"/>
          <w:lang w:val="fr-CA"/>
        </w:rPr>
        <w:t xml:space="preserve">s concluent uniquement des contrats ou d’autres accords pour lesquels il existe des soldes non grevés suffisants pour le crédit (affectation) approprié afin de s’acquitter de toutes les dettes contractées après avoir pris ces engagements. Par conséquent, avant de conclure un contrat ou tout autre accord, les gestionnaires de centre </w:t>
      </w:r>
      <w:r>
        <w:rPr>
          <w:rFonts w:ascii="Arial" w:hAnsi="Arial" w:cs="Arial"/>
          <w:sz w:val="20"/>
          <w:szCs w:val="20"/>
          <w:lang w:val="fr-CA"/>
        </w:rPr>
        <w:t>financier</w:t>
      </w:r>
      <w:r w:rsidRPr="00964ED3">
        <w:rPr>
          <w:rFonts w:ascii="Arial" w:hAnsi="Arial" w:cs="Arial"/>
          <w:sz w:val="20"/>
          <w:szCs w:val="20"/>
          <w:lang w:val="fr-CA"/>
        </w:rPr>
        <w:t xml:space="preserve"> doivent s’assurer d’avoir un solde suffisant dans leur codage respectif (</w:t>
      </w:r>
      <w:r>
        <w:rPr>
          <w:rFonts w:ascii="Arial" w:hAnsi="Arial" w:cs="Arial"/>
          <w:sz w:val="20"/>
          <w:szCs w:val="20"/>
          <w:lang w:val="fr-CA"/>
        </w:rPr>
        <w:t>fond, centre financier, comptes budgétaires</w:t>
      </w:r>
      <w:r w:rsidRPr="00964ED3">
        <w:rPr>
          <w:rFonts w:ascii="Arial" w:hAnsi="Arial" w:cs="Arial"/>
          <w:sz w:val="20"/>
          <w:szCs w:val="20"/>
          <w:lang w:val="fr-CA"/>
        </w:rPr>
        <w:t>) pour lequel ils bénéficient d’un pouvoir d’engagement délégué adéquat</w:t>
      </w:r>
      <w:r w:rsidRPr="00001E0D">
        <w:rPr>
          <w:rFonts w:ascii="Arial" w:hAnsi="Arial" w:cs="Arial"/>
          <w:sz w:val="20"/>
          <w:szCs w:val="20"/>
          <w:lang w:val="fr-CA"/>
        </w:rPr>
        <w:t>.</w:t>
      </w:r>
    </w:p>
    <w:p w:rsidR="00362EC8" w:rsidRPr="00001E0D" w:rsidRDefault="00362EC8" w:rsidP="00362EC8">
      <w:pPr>
        <w:rPr>
          <w:rFonts w:ascii="Arial" w:hAnsi="Arial" w:cs="Arial"/>
          <w:sz w:val="20"/>
          <w:szCs w:val="20"/>
          <w:highlight w:val="yellow"/>
          <w:lang w:val="fr-CA"/>
        </w:rPr>
      </w:pPr>
    </w:p>
    <w:p w:rsidR="00362EC8" w:rsidRDefault="00362EC8" w:rsidP="00362EC8">
      <w:pPr>
        <w:rPr>
          <w:rFonts w:ascii="Arial" w:hAnsi="Arial" w:cs="Arial"/>
          <w:sz w:val="20"/>
          <w:szCs w:val="20"/>
          <w:lang w:val="fr-CA"/>
        </w:rPr>
      </w:pPr>
      <w:r w:rsidRPr="00964ED3">
        <w:rPr>
          <w:rFonts w:ascii="Arial" w:hAnsi="Arial" w:cs="Arial"/>
          <w:sz w:val="20"/>
          <w:szCs w:val="20"/>
          <w:lang w:val="fr-CA"/>
        </w:rPr>
        <w:t xml:space="preserve">Les gestionnaires de </w:t>
      </w:r>
      <w:r>
        <w:rPr>
          <w:rFonts w:ascii="Arial" w:hAnsi="Arial" w:cs="Arial"/>
          <w:sz w:val="20"/>
          <w:szCs w:val="20"/>
          <w:lang w:val="fr-CA"/>
        </w:rPr>
        <w:t>centre financier</w:t>
      </w:r>
      <w:r w:rsidRPr="00964ED3">
        <w:rPr>
          <w:rFonts w:ascii="Arial" w:hAnsi="Arial" w:cs="Arial"/>
          <w:sz w:val="20"/>
          <w:szCs w:val="20"/>
          <w:lang w:val="fr-CA"/>
        </w:rPr>
        <w:t xml:space="preserve"> doivent également réaliser des examens périodiques des renseignements concernant les engagements afin de s’assurer de la validité et de l’exactitude des engagements en cours, et de s’assurer que les montants attendus sont imputés pour le codage en question. </w:t>
      </w:r>
      <w:r>
        <w:rPr>
          <w:rFonts w:ascii="Arial" w:hAnsi="Arial" w:cs="Arial"/>
          <w:sz w:val="20"/>
          <w:szCs w:val="20"/>
          <w:lang w:val="fr-CA"/>
        </w:rPr>
        <w:t>Comme les engagements auraient diminué le solde libre, i</w:t>
      </w:r>
      <w:r w:rsidRPr="00964ED3">
        <w:rPr>
          <w:rFonts w:ascii="Arial" w:hAnsi="Arial" w:cs="Arial"/>
          <w:sz w:val="20"/>
          <w:szCs w:val="20"/>
          <w:lang w:val="fr-CA"/>
        </w:rPr>
        <w:t>l importe de procéder à des examens plus fréquemment vers la fin d’un exercice</w:t>
      </w:r>
      <w:r>
        <w:rPr>
          <w:rFonts w:ascii="Arial" w:hAnsi="Arial" w:cs="Arial"/>
          <w:sz w:val="20"/>
          <w:szCs w:val="20"/>
          <w:lang w:val="fr-CA"/>
        </w:rPr>
        <w:t>. Si on s’attend à ce que la livraison de biens et de services ait lieu au cours du prochain exercice, l’engagement devrait être fermé.</w:t>
      </w:r>
    </w:p>
    <w:p w:rsidR="00362EC8" w:rsidRDefault="00362EC8" w:rsidP="00362EC8">
      <w:pPr>
        <w:rPr>
          <w:rFonts w:ascii="Arial" w:hAnsi="Arial" w:cs="Arial"/>
          <w:sz w:val="20"/>
          <w:szCs w:val="20"/>
          <w:lang w:val="fr-CA"/>
        </w:rPr>
      </w:pPr>
    </w:p>
    <w:p w:rsidR="00362EC8" w:rsidRPr="00001E0D" w:rsidRDefault="00362EC8" w:rsidP="00E2559F">
      <w:pPr>
        <w:pStyle w:val="Heading4"/>
        <w:ind w:left="720"/>
        <w:rPr>
          <w:highlight w:val="yellow"/>
          <w:lang w:val="fr-CA"/>
        </w:rPr>
      </w:pPr>
      <w:bookmarkStart w:id="62" w:name="_Toc485812727"/>
      <w:r w:rsidRPr="00001E0D">
        <w:rPr>
          <w:lang w:val="fr-CA"/>
        </w:rPr>
        <w:t xml:space="preserve">3.3.3.1. </w:t>
      </w:r>
      <w:r>
        <w:rPr>
          <w:lang w:val="fr-CA"/>
        </w:rPr>
        <w:t>Points de contrôle budgétaire du SAP</w:t>
      </w:r>
      <w:bookmarkEnd w:id="62"/>
    </w:p>
    <w:p w:rsidR="00362EC8" w:rsidRPr="00001E0D" w:rsidRDefault="00362EC8" w:rsidP="00362EC8">
      <w:pPr>
        <w:ind w:left="748"/>
        <w:rPr>
          <w:rFonts w:ascii="Arial" w:hAnsi="Arial" w:cs="Arial"/>
          <w:sz w:val="20"/>
          <w:szCs w:val="20"/>
          <w:highlight w:val="yellow"/>
          <w:lang w:val="fr-CA"/>
        </w:rPr>
      </w:pPr>
    </w:p>
    <w:p w:rsidR="00362EC8" w:rsidRPr="00001E0D" w:rsidRDefault="00362EC8" w:rsidP="00362EC8">
      <w:pPr>
        <w:ind w:left="748"/>
        <w:rPr>
          <w:rFonts w:ascii="Arial" w:hAnsi="Arial"/>
          <w:sz w:val="20"/>
          <w:lang w:val="fr-CA"/>
        </w:rPr>
      </w:pPr>
      <w:r>
        <w:rPr>
          <w:rFonts w:ascii="Arial" w:hAnsi="Arial"/>
          <w:sz w:val="20"/>
          <w:lang w:val="fr-CA"/>
        </w:rPr>
        <w:t>Les contrôles budgétaires</w:t>
      </w:r>
      <w:r w:rsidR="00E2559F">
        <w:rPr>
          <w:rFonts w:ascii="Arial" w:hAnsi="Arial"/>
          <w:sz w:val="20"/>
          <w:lang w:val="fr-CA"/>
        </w:rPr>
        <w:t xml:space="preserve"> tels que les </w:t>
      </w:r>
      <w:r>
        <w:rPr>
          <w:rFonts w:ascii="Arial" w:hAnsi="Arial"/>
          <w:sz w:val="20"/>
          <w:lang w:val="fr-CA"/>
        </w:rPr>
        <w:t>fonds, centres financiers (niveau de la direction générale), les comptes budgétaires</w:t>
      </w:r>
      <w:r w:rsidRPr="00001E0D">
        <w:rPr>
          <w:rFonts w:ascii="Arial" w:hAnsi="Arial"/>
          <w:sz w:val="20"/>
          <w:lang w:val="fr-CA"/>
        </w:rPr>
        <w:t xml:space="preserve"> (</w:t>
      </w:r>
      <w:r>
        <w:rPr>
          <w:rFonts w:ascii="Arial" w:hAnsi="Arial"/>
          <w:sz w:val="20"/>
          <w:lang w:val="fr-CA"/>
        </w:rPr>
        <w:t>salaires et F et E)</w:t>
      </w:r>
      <w:r w:rsidRPr="00001E0D">
        <w:rPr>
          <w:rFonts w:ascii="Arial" w:hAnsi="Arial"/>
          <w:sz w:val="20"/>
          <w:lang w:val="fr-CA"/>
        </w:rPr>
        <w:t xml:space="preserve"> </w:t>
      </w:r>
      <w:r>
        <w:rPr>
          <w:rFonts w:ascii="Arial" w:hAnsi="Arial"/>
          <w:sz w:val="20"/>
          <w:lang w:val="fr-CA"/>
        </w:rPr>
        <w:t>ont été fixés dans maSGE pour appuyer</w:t>
      </w:r>
      <w:r w:rsidRPr="00001E0D">
        <w:rPr>
          <w:rFonts w:ascii="Arial" w:hAnsi="Arial"/>
          <w:sz w:val="20"/>
          <w:lang w:val="fr-CA"/>
        </w:rPr>
        <w:t xml:space="preserve"> </w:t>
      </w:r>
      <w:r w:rsidRPr="0042007B">
        <w:rPr>
          <w:rFonts w:ascii="Arial" w:hAnsi="Arial"/>
          <w:sz w:val="20"/>
          <w:lang w:val="fr-CA"/>
        </w:rPr>
        <w:t>le contrôle du solde disponible selon la disponibilité du budget.</w:t>
      </w:r>
      <w:r>
        <w:rPr>
          <w:rFonts w:ascii="Arial" w:hAnsi="Arial"/>
          <w:sz w:val="20"/>
          <w:lang w:val="fr-CA"/>
        </w:rPr>
        <w:t xml:space="preserve"> Le système rejettera toutes les</w:t>
      </w:r>
      <w:r w:rsidRPr="00001E0D">
        <w:rPr>
          <w:rFonts w:ascii="Arial" w:hAnsi="Arial"/>
          <w:sz w:val="20"/>
          <w:lang w:val="fr-CA"/>
        </w:rPr>
        <w:t xml:space="preserve"> transactions </w:t>
      </w:r>
      <w:r>
        <w:rPr>
          <w:rFonts w:ascii="Arial" w:hAnsi="Arial"/>
          <w:sz w:val="20"/>
          <w:lang w:val="fr-CA"/>
        </w:rPr>
        <w:t xml:space="preserve">qui ne respectent pas l’un des points de contrôle ci-dessus, </w:t>
      </w:r>
      <w:r w:rsidRPr="0042007B">
        <w:rPr>
          <w:rFonts w:ascii="Arial" w:hAnsi="Arial"/>
          <w:sz w:val="20"/>
          <w:lang w:val="fr-CA"/>
        </w:rPr>
        <w:t>ce qui empêchera de dépasser le budget</w:t>
      </w:r>
      <w:r w:rsidRPr="00001E0D">
        <w:rPr>
          <w:rFonts w:ascii="Arial" w:hAnsi="Arial"/>
          <w:sz w:val="20"/>
          <w:lang w:val="fr-CA"/>
        </w:rPr>
        <w:t xml:space="preserve">. </w:t>
      </w:r>
      <w:r w:rsidR="00E2559F">
        <w:rPr>
          <w:rFonts w:ascii="Arial" w:hAnsi="Arial"/>
          <w:sz w:val="20"/>
          <w:lang w:val="fr-CA"/>
        </w:rPr>
        <w:t xml:space="preserve">Le DPF est responsable de </w:t>
      </w:r>
      <w:r w:rsidRPr="0042007B">
        <w:rPr>
          <w:rFonts w:ascii="Arial" w:hAnsi="Arial"/>
          <w:sz w:val="20"/>
          <w:lang w:val="fr-CA"/>
        </w:rPr>
        <w:t>contrôle</w:t>
      </w:r>
      <w:r w:rsidR="00E2559F">
        <w:rPr>
          <w:rFonts w:ascii="Arial" w:hAnsi="Arial"/>
          <w:sz w:val="20"/>
          <w:lang w:val="fr-CA"/>
        </w:rPr>
        <w:t>s</w:t>
      </w:r>
      <w:r w:rsidRPr="0042007B">
        <w:rPr>
          <w:rFonts w:ascii="Arial" w:hAnsi="Arial"/>
          <w:sz w:val="20"/>
          <w:lang w:val="fr-CA"/>
        </w:rPr>
        <w:t xml:space="preserve"> l’ensemble des crédits et des </w:t>
      </w:r>
      <w:r w:rsidR="00E2559F">
        <w:rPr>
          <w:rFonts w:ascii="Arial" w:hAnsi="Arial"/>
          <w:sz w:val="20"/>
          <w:lang w:val="fr-CA"/>
        </w:rPr>
        <w:t xml:space="preserve">fonds pour le </w:t>
      </w:r>
      <w:r w:rsidR="00B9516F">
        <w:rPr>
          <w:rFonts w:ascii="Arial" w:hAnsi="Arial"/>
          <w:sz w:val="20"/>
          <w:lang w:val="fr-CA"/>
        </w:rPr>
        <w:t>ministère</w:t>
      </w:r>
      <w:r w:rsidR="00E2559F">
        <w:rPr>
          <w:rFonts w:ascii="Arial" w:hAnsi="Arial"/>
          <w:sz w:val="20"/>
          <w:lang w:val="fr-CA"/>
        </w:rPr>
        <w:t xml:space="preserve">. </w:t>
      </w:r>
    </w:p>
    <w:p w:rsidR="00362EC8" w:rsidRPr="00001E0D" w:rsidRDefault="00362EC8" w:rsidP="00362EC8">
      <w:pPr>
        <w:ind w:left="748"/>
        <w:rPr>
          <w:rFonts w:ascii="Arial" w:hAnsi="Arial"/>
          <w:color w:val="000000"/>
          <w:sz w:val="20"/>
          <w:highlight w:val="yellow"/>
          <w:lang w:val="fr-CA"/>
        </w:rPr>
      </w:pPr>
    </w:p>
    <w:p w:rsidR="00362EC8" w:rsidRPr="00001E0D" w:rsidRDefault="00362EC8" w:rsidP="00E2559F">
      <w:pPr>
        <w:pStyle w:val="Heading4"/>
        <w:ind w:left="720"/>
        <w:rPr>
          <w:lang w:val="fr-CA"/>
        </w:rPr>
      </w:pPr>
      <w:bookmarkStart w:id="63" w:name="_Toc485812728"/>
      <w:r w:rsidRPr="00001E0D">
        <w:rPr>
          <w:lang w:val="fr-CA"/>
        </w:rPr>
        <w:t xml:space="preserve">3.3.3.2. </w:t>
      </w:r>
      <w:r>
        <w:rPr>
          <w:lang w:val="fr-CA"/>
        </w:rPr>
        <w:t>Facteurs d’actualisation pour les subventions et contributions</w:t>
      </w:r>
      <w:bookmarkEnd w:id="63"/>
    </w:p>
    <w:p w:rsidR="00362EC8" w:rsidRPr="00001E0D" w:rsidRDefault="00362EC8" w:rsidP="00362EC8">
      <w:pPr>
        <w:ind w:left="748"/>
        <w:rPr>
          <w:rFonts w:ascii="Arial" w:hAnsi="Arial" w:cs="Arial"/>
          <w:sz w:val="20"/>
          <w:szCs w:val="20"/>
          <w:lang w:val="fr-CA"/>
        </w:rPr>
      </w:pPr>
    </w:p>
    <w:p w:rsidR="00362EC8" w:rsidRPr="00001E0D" w:rsidRDefault="00E2559F" w:rsidP="00362EC8">
      <w:pPr>
        <w:ind w:left="748"/>
        <w:rPr>
          <w:rFonts w:ascii="Arial" w:hAnsi="Arial" w:cs="Arial"/>
          <w:sz w:val="20"/>
          <w:szCs w:val="20"/>
          <w:lang w:val="fr-CA"/>
        </w:rPr>
      </w:pPr>
      <w:r>
        <w:rPr>
          <w:rFonts w:ascii="Arial" w:hAnsi="Arial" w:cs="Arial"/>
          <w:sz w:val="20"/>
          <w:szCs w:val="20"/>
          <w:lang w:val="fr-CA"/>
        </w:rPr>
        <w:t>L’usage des F</w:t>
      </w:r>
      <w:r w:rsidR="00362EC8" w:rsidRPr="00002247">
        <w:rPr>
          <w:rFonts w:ascii="Arial" w:hAnsi="Arial" w:cs="Arial"/>
          <w:sz w:val="20"/>
          <w:szCs w:val="20"/>
          <w:lang w:val="fr-CA"/>
        </w:rPr>
        <w:t xml:space="preserve">acteurs d’actualisation, aussi connus sous le nom de niveau d’engagement autorisé, pourrait avoir pour résultat </w:t>
      </w:r>
      <w:r>
        <w:rPr>
          <w:rFonts w:ascii="Arial" w:hAnsi="Arial" w:cs="Arial"/>
          <w:sz w:val="20"/>
          <w:szCs w:val="20"/>
          <w:lang w:val="fr-CA"/>
        </w:rPr>
        <w:t xml:space="preserve">le surengagement des </w:t>
      </w:r>
      <w:r w:rsidR="00362EC8" w:rsidRPr="00002247">
        <w:rPr>
          <w:rFonts w:ascii="Arial" w:hAnsi="Arial" w:cs="Arial"/>
          <w:sz w:val="20"/>
          <w:szCs w:val="20"/>
          <w:lang w:val="fr-CA"/>
        </w:rPr>
        <w:t xml:space="preserve">budgets de programme limités conformément à la partie II de la </w:t>
      </w:r>
      <w:r w:rsidR="00362EC8" w:rsidRPr="00002247">
        <w:rPr>
          <w:rFonts w:ascii="Arial" w:hAnsi="Arial" w:cs="Arial"/>
          <w:i/>
          <w:sz w:val="20"/>
          <w:szCs w:val="20"/>
          <w:lang w:val="fr-CA"/>
        </w:rPr>
        <w:t>Loi sur l’assurance-emploi</w:t>
      </w:r>
      <w:r w:rsidR="00362EC8" w:rsidRPr="00002247">
        <w:rPr>
          <w:rFonts w:ascii="Arial" w:hAnsi="Arial" w:cs="Arial"/>
          <w:sz w:val="20"/>
          <w:szCs w:val="20"/>
          <w:lang w:val="fr-CA"/>
        </w:rPr>
        <w:t xml:space="preserve"> et du Trésor, ce qui va à l’encontre d’un contrôle efficace des bu</w:t>
      </w:r>
      <w:r>
        <w:rPr>
          <w:rFonts w:ascii="Arial" w:hAnsi="Arial" w:cs="Arial"/>
          <w:sz w:val="20"/>
          <w:szCs w:val="20"/>
          <w:lang w:val="fr-CA"/>
        </w:rPr>
        <w:t>dgets d’EDSC. Par conséquent, l’usage des F</w:t>
      </w:r>
      <w:r w:rsidR="00362EC8" w:rsidRPr="00002247">
        <w:rPr>
          <w:rFonts w:ascii="Arial" w:hAnsi="Arial" w:cs="Arial"/>
          <w:sz w:val="20"/>
          <w:szCs w:val="20"/>
          <w:lang w:val="fr-CA"/>
        </w:rPr>
        <w:t xml:space="preserve">acteurs d’actualisation du SGM pour le financement de </w:t>
      </w:r>
      <w:r w:rsidR="00362EC8">
        <w:rPr>
          <w:rFonts w:ascii="Arial" w:hAnsi="Arial" w:cs="Arial"/>
          <w:sz w:val="20"/>
          <w:szCs w:val="20"/>
          <w:lang w:val="fr-CA"/>
        </w:rPr>
        <w:t>subventions et contributions</w:t>
      </w:r>
      <w:r w:rsidR="00362EC8" w:rsidRPr="00002247">
        <w:rPr>
          <w:rFonts w:ascii="Arial" w:hAnsi="Arial" w:cs="Arial"/>
          <w:sz w:val="20"/>
          <w:szCs w:val="20"/>
          <w:lang w:val="fr-CA"/>
        </w:rPr>
        <w:t xml:space="preserve"> n’est pas permis sans l’autoris</w:t>
      </w:r>
      <w:r w:rsidR="00362EC8">
        <w:rPr>
          <w:rFonts w:ascii="Arial" w:hAnsi="Arial" w:cs="Arial"/>
          <w:sz w:val="20"/>
          <w:szCs w:val="20"/>
          <w:lang w:val="fr-CA"/>
        </w:rPr>
        <w:t xml:space="preserve">ation préalable </w:t>
      </w:r>
      <w:r>
        <w:rPr>
          <w:rFonts w:ascii="Arial" w:hAnsi="Arial" w:cs="Arial"/>
          <w:sz w:val="20"/>
          <w:szCs w:val="20"/>
          <w:lang w:val="fr-CA"/>
        </w:rPr>
        <w:t>du DPF</w:t>
      </w:r>
      <w:r w:rsidR="00362EC8">
        <w:rPr>
          <w:rFonts w:ascii="Arial" w:hAnsi="Arial" w:cs="Arial"/>
          <w:sz w:val="20"/>
          <w:szCs w:val="20"/>
          <w:lang w:val="fr-CA"/>
        </w:rPr>
        <w:t xml:space="preserve"> ou du </w:t>
      </w:r>
      <w:r>
        <w:rPr>
          <w:rFonts w:ascii="Arial" w:hAnsi="Arial" w:cs="Arial"/>
          <w:sz w:val="20"/>
          <w:szCs w:val="20"/>
          <w:lang w:val="fr-CA"/>
        </w:rPr>
        <w:t>S</w:t>
      </w:r>
      <w:r w:rsidR="00362EC8" w:rsidRPr="00002247">
        <w:rPr>
          <w:rFonts w:ascii="Arial" w:hAnsi="Arial" w:cs="Arial"/>
          <w:sz w:val="20"/>
          <w:szCs w:val="20"/>
          <w:lang w:val="fr-CA"/>
        </w:rPr>
        <w:t>ous-ministre</w:t>
      </w:r>
      <w:r w:rsidR="00362EC8" w:rsidRPr="00001E0D">
        <w:rPr>
          <w:rFonts w:ascii="Arial" w:hAnsi="Arial" w:cs="Arial"/>
          <w:sz w:val="20"/>
          <w:szCs w:val="20"/>
          <w:lang w:val="fr-CA"/>
        </w:rPr>
        <w:t>.</w:t>
      </w:r>
    </w:p>
    <w:p w:rsidR="00362EC8" w:rsidRPr="00001E0D" w:rsidRDefault="00362EC8" w:rsidP="00362EC8">
      <w:pPr>
        <w:rPr>
          <w:rFonts w:ascii="Arial" w:hAnsi="Arial" w:cs="Arial"/>
          <w:sz w:val="20"/>
          <w:szCs w:val="20"/>
          <w:lang w:val="fr-CA"/>
        </w:rPr>
      </w:pPr>
    </w:p>
    <w:p w:rsidR="00362EC8" w:rsidRPr="00001E0D" w:rsidRDefault="00362EC8" w:rsidP="00362EC8">
      <w:pPr>
        <w:pStyle w:val="Heading3"/>
        <w:rPr>
          <w:lang w:val="fr-CA"/>
        </w:rPr>
      </w:pPr>
      <w:bookmarkStart w:id="64" w:name="_Toc485812729"/>
      <w:r w:rsidRPr="00001E0D">
        <w:rPr>
          <w:lang w:val="fr-CA"/>
        </w:rPr>
        <w:t>3.3.</w:t>
      </w:r>
      <w:r w:rsidR="00EE4243">
        <w:rPr>
          <w:lang w:val="fr-CA"/>
        </w:rPr>
        <w:t>4</w:t>
      </w:r>
      <w:r w:rsidRPr="00001E0D">
        <w:rPr>
          <w:lang w:val="fr-CA"/>
        </w:rPr>
        <w:t xml:space="preserve">. </w:t>
      </w:r>
      <w:r w:rsidR="00EE4243">
        <w:rPr>
          <w:lang w:val="fr-CA"/>
        </w:rPr>
        <w:t>Calcul des budgets de base et G</w:t>
      </w:r>
      <w:r>
        <w:rPr>
          <w:lang w:val="fr-CA"/>
        </w:rPr>
        <w:t>rand livre des subventions et contributions</w:t>
      </w:r>
      <w:bookmarkEnd w:id="64"/>
    </w:p>
    <w:p w:rsidR="00362EC8" w:rsidRPr="00001E0D" w:rsidRDefault="00362EC8" w:rsidP="00362EC8">
      <w:pPr>
        <w:rPr>
          <w:rFonts w:ascii="Arial" w:hAnsi="Arial" w:cs="Arial"/>
          <w:sz w:val="20"/>
          <w:szCs w:val="20"/>
          <w:lang w:val="fr-CA"/>
        </w:rPr>
      </w:pPr>
    </w:p>
    <w:p w:rsidR="00362EC8" w:rsidRPr="00001E0D" w:rsidRDefault="00362EC8" w:rsidP="00362EC8">
      <w:pPr>
        <w:rPr>
          <w:rFonts w:ascii="Arial" w:hAnsi="Arial" w:cs="Arial"/>
          <w:sz w:val="20"/>
          <w:szCs w:val="20"/>
          <w:lang w:val="fr-CA"/>
        </w:rPr>
      </w:pPr>
      <w:r w:rsidRPr="00030403">
        <w:rPr>
          <w:rFonts w:ascii="Arial" w:hAnsi="Arial" w:cs="Arial"/>
          <w:sz w:val="20"/>
          <w:szCs w:val="20"/>
          <w:lang w:val="fr-CA"/>
        </w:rPr>
        <w:t xml:space="preserve">Le </w:t>
      </w:r>
      <w:r w:rsidR="00EE4243">
        <w:rPr>
          <w:rFonts w:ascii="Arial" w:hAnsi="Arial" w:cs="Arial"/>
          <w:sz w:val="20"/>
          <w:szCs w:val="20"/>
          <w:lang w:val="fr-CA"/>
        </w:rPr>
        <w:t>C</w:t>
      </w:r>
      <w:r w:rsidRPr="00030403">
        <w:rPr>
          <w:rFonts w:ascii="Arial" w:hAnsi="Arial" w:cs="Arial"/>
          <w:sz w:val="20"/>
          <w:szCs w:val="20"/>
          <w:lang w:val="fr-CA"/>
        </w:rPr>
        <w:t xml:space="preserve">alcul du budget de fonctionnement de base et le </w:t>
      </w:r>
      <w:r w:rsidR="00EE4243">
        <w:rPr>
          <w:rFonts w:ascii="Arial" w:hAnsi="Arial" w:cs="Arial"/>
          <w:sz w:val="20"/>
          <w:szCs w:val="20"/>
          <w:lang w:val="fr-CA"/>
        </w:rPr>
        <w:t>G</w:t>
      </w:r>
      <w:r w:rsidRPr="00030403">
        <w:rPr>
          <w:rFonts w:ascii="Arial" w:hAnsi="Arial" w:cs="Arial"/>
          <w:sz w:val="20"/>
          <w:szCs w:val="20"/>
          <w:lang w:val="fr-CA"/>
        </w:rPr>
        <w:t xml:space="preserve">rand livre des </w:t>
      </w:r>
      <w:r>
        <w:rPr>
          <w:rFonts w:ascii="Arial" w:hAnsi="Arial" w:cs="Arial"/>
          <w:sz w:val="20"/>
          <w:szCs w:val="20"/>
          <w:lang w:val="fr-CA"/>
        </w:rPr>
        <w:t>subventions et contributions</w:t>
      </w:r>
      <w:r w:rsidRPr="00030403">
        <w:rPr>
          <w:rFonts w:ascii="Arial" w:hAnsi="Arial" w:cs="Arial"/>
          <w:sz w:val="20"/>
          <w:szCs w:val="20"/>
          <w:lang w:val="fr-CA"/>
        </w:rPr>
        <w:t xml:space="preserve"> constituent le point de contrôle pour le processus budgétaire d’EDSC. Ils commencent par l</w:t>
      </w:r>
      <w:r>
        <w:rPr>
          <w:rFonts w:ascii="Arial" w:hAnsi="Arial" w:cs="Arial"/>
          <w:sz w:val="20"/>
          <w:szCs w:val="20"/>
          <w:lang w:val="fr-CA"/>
        </w:rPr>
        <w:t xml:space="preserve">’allocation des </w:t>
      </w:r>
      <w:r w:rsidRPr="00030403">
        <w:rPr>
          <w:rFonts w:ascii="Arial" w:hAnsi="Arial" w:cs="Arial"/>
          <w:sz w:val="20"/>
          <w:szCs w:val="20"/>
          <w:lang w:val="fr-CA"/>
        </w:rPr>
        <w:t>budg</w:t>
      </w:r>
      <w:r>
        <w:rPr>
          <w:rFonts w:ascii="Arial" w:hAnsi="Arial" w:cs="Arial"/>
          <w:sz w:val="20"/>
          <w:szCs w:val="20"/>
          <w:lang w:val="fr-CA"/>
        </w:rPr>
        <w:t>ets</w:t>
      </w:r>
      <w:r w:rsidRPr="00030403">
        <w:rPr>
          <w:rFonts w:ascii="Arial" w:hAnsi="Arial" w:cs="Arial"/>
          <w:sz w:val="20"/>
          <w:szCs w:val="20"/>
          <w:lang w:val="fr-CA"/>
        </w:rPr>
        <w:t xml:space="preserve"> initia</w:t>
      </w:r>
      <w:r>
        <w:rPr>
          <w:rFonts w:ascii="Arial" w:hAnsi="Arial" w:cs="Arial"/>
          <w:sz w:val="20"/>
          <w:szCs w:val="20"/>
          <w:lang w:val="fr-CA"/>
        </w:rPr>
        <w:t>ux</w:t>
      </w:r>
      <w:r w:rsidRPr="00030403">
        <w:rPr>
          <w:rFonts w:ascii="Arial" w:hAnsi="Arial" w:cs="Arial"/>
          <w:sz w:val="20"/>
          <w:szCs w:val="20"/>
          <w:lang w:val="fr-CA"/>
        </w:rPr>
        <w:t xml:space="preserve"> appr</w:t>
      </w:r>
      <w:r w:rsidR="00EE4243">
        <w:rPr>
          <w:rFonts w:ascii="Arial" w:hAnsi="Arial" w:cs="Arial"/>
          <w:sz w:val="20"/>
          <w:szCs w:val="20"/>
          <w:lang w:val="fr-CA"/>
        </w:rPr>
        <w:t xml:space="preserve">ouvés par les cadres supérieurs et </w:t>
      </w:r>
      <w:r w:rsidRPr="00030403">
        <w:rPr>
          <w:rFonts w:ascii="Arial" w:hAnsi="Arial" w:cs="Arial"/>
          <w:sz w:val="20"/>
          <w:szCs w:val="20"/>
          <w:lang w:val="fr-CA"/>
        </w:rPr>
        <w:t>sont mis à jour tout au long de l’année, lorsqu’il y a des réaffectations ou des transferts ou lorsque de nouveaux fonds sont approuvés</w:t>
      </w:r>
      <w:r w:rsidRPr="00001E0D">
        <w:rPr>
          <w:rFonts w:ascii="Arial" w:hAnsi="Arial" w:cs="Arial"/>
          <w:sz w:val="20"/>
          <w:szCs w:val="20"/>
          <w:lang w:val="fr-CA"/>
        </w:rPr>
        <w:t>.</w:t>
      </w:r>
    </w:p>
    <w:p w:rsidR="00362EC8" w:rsidRPr="00001E0D" w:rsidRDefault="00362EC8" w:rsidP="00362EC8">
      <w:pPr>
        <w:rPr>
          <w:rFonts w:ascii="Arial" w:hAnsi="Arial" w:cs="Arial"/>
          <w:sz w:val="20"/>
          <w:szCs w:val="20"/>
          <w:lang w:val="fr-CA"/>
        </w:rPr>
      </w:pPr>
    </w:p>
    <w:p w:rsidR="00362EC8" w:rsidRPr="00001E0D" w:rsidRDefault="00EE4243" w:rsidP="00362EC8">
      <w:pPr>
        <w:rPr>
          <w:rFonts w:ascii="Arial" w:hAnsi="Arial" w:cs="Arial"/>
          <w:sz w:val="20"/>
          <w:szCs w:val="20"/>
          <w:lang w:val="fr-CA"/>
        </w:rPr>
      </w:pPr>
      <w:r>
        <w:rPr>
          <w:rFonts w:ascii="Arial" w:hAnsi="Arial" w:cs="Arial"/>
          <w:sz w:val="20"/>
          <w:szCs w:val="20"/>
          <w:lang w:val="fr-CA"/>
        </w:rPr>
        <w:t>Le C</w:t>
      </w:r>
      <w:r w:rsidR="00362EC8" w:rsidRPr="004D2891">
        <w:rPr>
          <w:rFonts w:ascii="Arial" w:hAnsi="Arial" w:cs="Arial"/>
          <w:sz w:val="20"/>
          <w:szCs w:val="20"/>
          <w:lang w:val="fr-CA"/>
        </w:rPr>
        <w:t xml:space="preserve">alcul du budget de fonctionnement de base est détaillé et est réparti par </w:t>
      </w:r>
      <w:r w:rsidR="00362EC8">
        <w:rPr>
          <w:rFonts w:ascii="Arial" w:hAnsi="Arial" w:cs="Arial"/>
          <w:sz w:val="20"/>
          <w:szCs w:val="20"/>
          <w:lang w:val="fr-CA"/>
        </w:rPr>
        <w:t>fond</w:t>
      </w:r>
      <w:r w:rsidR="00362EC8" w:rsidRPr="004D2891">
        <w:rPr>
          <w:rFonts w:ascii="Arial" w:hAnsi="Arial" w:cs="Arial"/>
          <w:sz w:val="20"/>
          <w:szCs w:val="20"/>
          <w:lang w:val="fr-CA"/>
        </w:rPr>
        <w:t xml:space="preserve"> (régulier, affectations contrôlées séparément, recettes nettes en vertu d’un crédit, etc.)</w:t>
      </w:r>
      <w:r>
        <w:rPr>
          <w:rFonts w:ascii="Arial" w:hAnsi="Arial" w:cs="Arial"/>
          <w:sz w:val="20"/>
          <w:szCs w:val="20"/>
          <w:lang w:val="fr-CA"/>
        </w:rPr>
        <w:t>;</w:t>
      </w:r>
      <w:r w:rsidR="00362EC8" w:rsidRPr="004D2891">
        <w:rPr>
          <w:rFonts w:ascii="Arial" w:hAnsi="Arial" w:cs="Arial"/>
          <w:sz w:val="20"/>
          <w:szCs w:val="20"/>
          <w:lang w:val="fr-CA"/>
        </w:rPr>
        <w:t xml:space="preserve">  selon </w:t>
      </w:r>
      <w:r w:rsidR="00362EC8">
        <w:rPr>
          <w:rFonts w:ascii="Arial" w:hAnsi="Arial" w:cs="Arial"/>
          <w:sz w:val="20"/>
          <w:szCs w:val="20"/>
          <w:lang w:val="fr-CA"/>
        </w:rPr>
        <w:t>les comptes budgétaires</w:t>
      </w:r>
      <w:r w:rsidR="00362EC8" w:rsidRPr="004D2891">
        <w:rPr>
          <w:rFonts w:ascii="Arial" w:hAnsi="Arial" w:cs="Arial"/>
          <w:sz w:val="20"/>
          <w:szCs w:val="20"/>
          <w:lang w:val="fr-CA"/>
        </w:rPr>
        <w:t xml:space="preserve"> (salaires, F et E)</w:t>
      </w:r>
      <w:r>
        <w:rPr>
          <w:rFonts w:ascii="Arial" w:hAnsi="Arial" w:cs="Arial"/>
          <w:sz w:val="20"/>
          <w:szCs w:val="20"/>
          <w:lang w:val="fr-CA"/>
        </w:rPr>
        <w:t xml:space="preserve">; </w:t>
      </w:r>
      <w:r w:rsidR="00362EC8" w:rsidRPr="004D2891">
        <w:rPr>
          <w:rFonts w:ascii="Arial" w:hAnsi="Arial" w:cs="Arial"/>
          <w:sz w:val="20"/>
          <w:szCs w:val="20"/>
          <w:lang w:val="fr-CA"/>
        </w:rPr>
        <w:t>et est divisé en deux grandes catégories : le financement permanent</w:t>
      </w:r>
      <w:r w:rsidR="00362EC8">
        <w:rPr>
          <w:rFonts w:ascii="Arial" w:hAnsi="Arial" w:cs="Arial"/>
          <w:sz w:val="20"/>
          <w:szCs w:val="20"/>
          <w:lang w:val="fr-CA"/>
        </w:rPr>
        <w:t xml:space="preserve"> ou le financement à durée déterminée</w:t>
      </w:r>
      <w:r>
        <w:rPr>
          <w:rFonts w:ascii="Arial" w:hAnsi="Arial" w:cs="Arial"/>
          <w:sz w:val="20"/>
          <w:szCs w:val="20"/>
          <w:lang w:val="fr-CA"/>
        </w:rPr>
        <w:t>,</w:t>
      </w:r>
      <w:r w:rsidRPr="00EE4243">
        <w:rPr>
          <w:rFonts w:ascii="Arial" w:hAnsi="Arial" w:cs="Arial"/>
          <w:sz w:val="20"/>
          <w:szCs w:val="20"/>
          <w:lang w:val="fr-CA"/>
        </w:rPr>
        <w:t xml:space="preserve"> </w:t>
      </w:r>
      <w:r>
        <w:rPr>
          <w:rFonts w:ascii="Arial" w:hAnsi="Arial" w:cs="Arial"/>
          <w:sz w:val="20"/>
          <w:szCs w:val="20"/>
          <w:lang w:val="fr-CA"/>
        </w:rPr>
        <w:t>p</w:t>
      </w:r>
      <w:r w:rsidRPr="004D2891">
        <w:rPr>
          <w:rFonts w:ascii="Arial" w:hAnsi="Arial" w:cs="Arial"/>
          <w:sz w:val="20"/>
          <w:szCs w:val="20"/>
          <w:lang w:val="fr-CA"/>
        </w:rPr>
        <w:t>our chaque direction générale ou chaque région (centre financ</w:t>
      </w:r>
      <w:r>
        <w:rPr>
          <w:rFonts w:ascii="Arial" w:hAnsi="Arial" w:cs="Arial"/>
          <w:sz w:val="20"/>
          <w:szCs w:val="20"/>
          <w:lang w:val="fr-CA"/>
        </w:rPr>
        <w:t>ier, niveau 2).</w:t>
      </w:r>
    </w:p>
    <w:p w:rsidR="00362EC8" w:rsidRPr="00001E0D" w:rsidRDefault="00362EC8" w:rsidP="00362EC8">
      <w:pPr>
        <w:rPr>
          <w:rFonts w:ascii="Arial" w:hAnsi="Arial" w:cs="Arial"/>
          <w:sz w:val="20"/>
          <w:szCs w:val="20"/>
          <w:lang w:val="fr-CA"/>
        </w:rPr>
      </w:pPr>
    </w:p>
    <w:p w:rsidR="00362EC8" w:rsidRPr="00001E0D" w:rsidRDefault="00EE4243" w:rsidP="00362EC8">
      <w:pPr>
        <w:rPr>
          <w:rFonts w:ascii="Arial" w:hAnsi="Arial" w:cs="Arial"/>
          <w:sz w:val="20"/>
          <w:szCs w:val="20"/>
          <w:lang w:val="fr-CA"/>
        </w:rPr>
      </w:pPr>
      <w:r>
        <w:rPr>
          <w:rFonts w:ascii="Arial" w:hAnsi="Arial" w:cs="Arial"/>
          <w:sz w:val="20"/>
          <w:szCs w:val="20"/>
          <w:lang w:val="fr-CA"/>
        </w:rPr>
        <w:t xml:space="preserve">Pareillement, </w:t>
      </w:r>
      <w:r w:rsidR="00362EC8" w:rsidRPr="004D2891">
        <w:rPr>
          <w:rFonts w:ascii="Arial" w:hAnsi="Arial" w:cs="Arial"/>
          <w:sz w:val="20"/>
          <w:szCs w:val="20"/>
          <w:lang w:val="fr-CA"/>
        </w:rPr>
        <w:t xml:space="preserve">le </w:t>
      </w:r>
      <w:r>
        <w:rPr>
          <w:rFonts w:ascii="Arial" w:hAnsi="Arial" w:cs="Arial"/>
          <w:sz w:val="20"/>
          <w:szCs w:val="20"/>
          <w:lang w:val="fr-CA"/>
        </w:rPr>
        <w:t>G</w:t>
      </w:r>
      <w:r w:rsidR="00362EC8" w:rsidRPr="004D2891">
        <w:rPr>
          <w:rFonts w:ascii="Arial" w:hAnsi="Arial" w:cs="Arial"/>
          <w:sz w:val="20"/>
          <w:szCs w:val="20"/>
          <w:lang w:val="fr-CA"/>
        </w:rPr>
        <w:t xml:space="preserve">rand livre des </w:t>
      </w:r>
      <w:r w:rsidR="00362EC8">
        <w:rPr>
          <w:rFonts w:ascii="Arial" w:hAnsi="Arial" w:cs="Arial"/>
          <w:sz w:val="20"/>
          <w:szCs w:val="20"/>
          <w:lang w:val="fr-CA"/>
        </w:rPr>
        <w:t>subventions et contributions</w:t>
      </w:r>
      <w:r w:rsidR="00362EC8" w:rsidRPr="004D2891">
        <w:rPr>
          <w:rFonts w:ascii="Arial" w:hAnsi="Arial" w:cs="Arial"/>
          <w:sz w:val="20"/>
          <w:szCs w:val="20"/>
          <w:lang w:val="fr-CA"/>
        </w:rPr>
        <w:t xml:space="preserve"> est détaillé pour chaque programme (</w:t>
      </w:r>
      <w:r w:rsidR="00362EC8">
        <w:rPr>
          <w:rFonts w:ascii="Arial" w:hAnsi="Arial" w:cs="Arial"/>
          <w:sz w:val="20"/>
          <w:szCs w:val="20"/>
          <w:lang w:val="fr-CA"/>
        </w:rPr>
        <w:t>fond</w:t>
      </w:r>
      <w:r w:rsidR="00362EC8" w:rsidRPr="004D2891">
        <w:rPr>
          <w:rFonts w:ascii="Arial" w:hAnsi="Arial" w:cs="Arial"/>
          <w:sz w:val="20"/>
          <w:szCs w:val="20"/>
          <w:lang w:val="fr-CA"/>
        </w:rPr>
        <w:t>), et est réparti par direction générale</w:t>
      </w:r>
      <w:r w:rsidR="00362EC8">
        <w:rPr>
          <w:rFonts w:ascii="Arial" w:hAnsi="Arial" w:cs="Arial"/>
          <w:sz w:val="20"/>
          <w:szCs w:val="20"/>
          <w:lang w:val="fr-CA"/>
        </w:rPr>
        <w:t>/</w:t>
      </w:r>
      <w:r w:rsidR="00362EC8" w:rsidRPr="004D2891">
        <w:rPr>
          <w:rFonts w:ascii="Arial" w:hAnsi="Arial" w:cs="Arial"/>
          <w:sz w:val="20"/>
          <w:szCs w:val="20"/>
          <w:lang w:val="fr-CA"/>
        </w:rPr>
        <w:t>région</w:t>
      </w:r>
      <w:r w:rsidR="00362EC8">
        <w:rPr>
          <w:rFonts w:ascii="Arial" w:hAnsi="Arial" w:cs="Arial"/>
          <w:sz w:val="20"/>
          <w:szCs w:val="20"/>
          <w:lang w:val="fr-CA"/>
        </w:rPr>
        <w:t xml:space="preserve"> et par provinces</w:t>
      </w:r>
      <w:r w:rsidR="00362EC8" w:rsidRPr="00001E0D">
        <w:rPr>
          <w:rFonts w:ascii="Arial" w:hAnsi="Arial" w:cs="Arial"/>
          <w:sz w:val="20"/>
          <w:szCs w:val="20"/>
          <w:lang w:val="fr-CA"/>
        </w:rPr>
        <w:t>.</w:t>
      </w:r>
    </w:p>
    <w:p w:rsidR="00362EC8" w:rsidRPr="00001E0D" w:rsidRDefault="00362EC8" w:rsidP="00362EC8">
      <w:pPr>
        <w:rPr>
          <w:rFonts w:ascii="Arial" w:hAnsi="Arial" w:cs="Arial"/>
          <w:sz w:val="20"/>
          <w:szCs w:val="20"/>
          <w:lang w:val="fr-CA"/>
        </w:rPr>
      </w:pPr>
    </w:p>
    <w:p w:rsidR="00856C87" w:rsidRDefault="00EE4243" w:rsidP="00362EC8">
      <w:pPr>
        <w:rPr>
          <w:rFonts w:ascii="Arial" w:hAnsi="Arial" w:cs="Arial"/>
          <w:sz w:val="20"/>
          <w:szCs w:val="20"/>
          <w:lang w:val="fr-CA"/>
        </w:rPr>
      </w:pPr>
      <w:r>
        <w:rPr>
          <w:rFonts w:ascii="Arial" w:hAnsi="Arial" w:cs="Arial"/>
          <w:sz w:val="20"/>
          <w:szCs w:val="20"/>
          <w:lang w:val="fr-CA"/>
        </w:rPr>
        <w:t xml:space="preserve">Ces documents sont réconciliés mensuellement </w:t>
      </w:r>
      <w:r w:rsidR="00362EC8" w:rsidRPr="004D2891">
        <w:rPr>
          <w:rFonts w:ascii="Arial" w:hAnsi="Arial" w:cs="Arial"/>
          <w:sz w:val="20"/>
          <w:szCs w:val="20"/>
          <w:lang w:val="fr-CA"/>
        </w:rPr>
        <w:t xml:space="preserve">avec le Rapport financier des affectations (RFA) et </w:t>
      </w:r>
      <w:r w:rsidR="00362EC8">
        <w:rPr>
          <w:rFonts w:ascii="Arial" w:hAnsi="Arial" w:cs="Arial"/>
          <w:sz w:val="20"/>
          <w:szCs w:val="20"/>
          <w:lang w:val="fr-CA"/>
        </w:rPr>
        <w:t>maSGE</w:t>
      </w:r>
      <w:r w:rsidR="00856C87">
        <w:rPr>
          <w:rFonts w:ascii="Arial" w:hAnsi="Arial" w:cs="Arial"/>
          <w:sz w:val="20"/>
          <w:szCs w:val="20"/>
          <w:lang w:val="fr-CA"/>
        </w:rPr>
        <w:t xml:space="preserve"> pour s</w:t>
      </w:r>
      <w:r w:rsidR="00362EC8" w:rsidRPr="004D2891">
        <w:rPr>
          <w:rFonts w:ascii="Arial" w:hAnsi="Arial" w:cs="Arial"/>
          <w:sz w:val="20"/>
          <w:szCs w:val="20"/>
          <w:lang w:val="fr-CA"/>
        </w:rPr>
        <w:t xml:space="preserve">’assurer que le niveau de financement du </w:t>
      </w:r>
      <w:r w:rsidR="00B9516F">
        <w:rPr>
          <w:rFonts w:ascii="Arial" w:hAnsi="Arial" w:cs="Arial"/>
          <w:sz w:val="20"/>
          <w:szCs w:val="20"/>
          <w:lang w:val="fr-CA"/>
        </w:rPr>
        <w:t>ministère</w:t>
      </w:r>
      <w:r w:rsidR="00362EC8" w:rsidRPr="004D2891">
        <w:rPr>
          <w:rFonts w:ascii="Arial" w:hAnsi="Arial" w:cs="Arial"/>
          <w:sz w:val="20"/>
          <w:szCs w:val="20"/>
          <w:lang w:val="fr-CA"/>
        </w:rPr>
        <w:t xml:space="preserve"> </w:t>
      </w:r>
      <w:r w:rsidR="00856C87">
        <w:rPr>
          <w:rFonts w:ascii="Arial" w:hAnsi="Arial" w:cs="Arial"/>
          <w:sz w:val="20"/>
          <w:szCs w:val="20"/>
          <w:lang w:val="fr-CA"/>
        </w:rPr>
        <w:t xml:space="preserve">reflète les pouvoirs financiers du </w:t>
      </w:r>
      <w:r w:rsidR="00B9516F">
        <w:rPr>
          <w:rFonts w:ascii="Arial" w:hAnsi="Arial" w:cs="Arial"/>
          <w:sz w:val="20"/>
          <w:szCs w:val="20"/>
          <w:lang w:val="fr-CA"/>
        </w:rPr>
        <w:t>ministère</w:t>
      </w:r>
      <w:r w:rsidR="00856C87">
        <w:rPr>
          <w:rFonts w:ascii="Arial" w:hAnsi="Arial" w:cs="Arial"/>
          <w:sz w:val="20"/>
          <w:szCs w:val="20"/>
          <w:lang w:val="fr-CA"/>
        </w:rPr>
        <w:t xml:space="preserve"> tel qu’indiqué dans le </w:t>
      </w:r>
      <w:r w:rsidR="00856C87">
        <w:rPr>
          <w:rFonts w:ascii="Arial" w:hAnsi="Arial" w:cs="Arial"/>
          <w:sz w:val="20"/>
          <w:szCs w:val="20"/>
          <w:lang w:val="fr-CA"/>
        </w:rPr>
        <w:lastRenderedPageBreak/>
        <w:t xml:space="preserve">Budget principal des dépenses, les Budgets supplémentaires des dépenses, les reports de fonds au moyen du processus de MJANR, etc.  </w:t>
      </w:r>
    </w:p>
    <w:p w:rsidR="00856C87" w:rsidRDefault="00856C87" w:rsidP="00362EC8">
      <w:pPr>
        <w:rPr>
          <w:rFonts w:ascii="Arial" w:hAnsi="Arial" w:cs="Arial"/>
          <w:sz w:val="20"/>
          <w:szCs w:val="20"/>
          <w:lang w:val="fr-CA"/>
        </w:rPr>
      </w:pPr>
    </w:p>
    <w:p w:rsidR="00362EC8" w:rsidRPr="00001E0D" w:rsidRDefault="00362EC8" w:rsidP="00362EC8">
      <w:pPr>
        <w:pStyle w:val="Heading3"/>
        <w:rPr>
          <w:lang w:val="fr-CA"/>
        </w:rPr>
      </w:pPr>
      <w:bookmarkStart w:id="65" w:name="_Toc485812730"/>
      <w:r w:rsidRPr="00001E0D">
        <w:rPr>
          <w:lang w:val="fr-CA"/>
        </w:rPr>
        <w:t>3.3.</w:t>
      </w:r>
      <w:r w:rsidR="00856C87">
        <w:rPr>
          <w:lang w:val="fr-CA"/>
        </w:rPr>
        <w:t>5</w:t>
      </w:r>
      <w:r w:rsidRPr="00001E0D">
        <w:rPr>
          <w:lang w:val="fr-CA"/>
        </w:rPr>
        <w:t xml:space="preserve">. </w:t>
      </w:r>
      <w:r>
        <w:rPr>
          <w:lang w:val="fr-CA"/>
        </w:rPr>
        <w:t>Ajustements budgétaires</w:t>
      </w:r>
      <w:bookmarkEnd w:id="65"/>
    </w:p>
    <w:p w:rsidR="00362EC8" w:rsidRPr="00001E0D" w:rsidRDefault="00362EC8" w:rsidP="00362EC8">
      <w:pPr>
        <w:rPr>
          <w:rFonts w:ascii="Arial" w:hAnsi="Arial" w:cs="Arial"/>
          <w:sz w:val="20"/>
          <w:szCs w:val="20"/>
          <w:highlight w:val="yellow"/>
          <w:lang w:val="fr-CA"/>
        </w:rPr>
      </w:pPr>
    </w:p>
    <w:p w:rsidR="00362EC8" w:rsidRPr="003765A0" w:rsidRDefault="00362EC8" w:rsidP="00362EC8">
      <w:pPr>
        <w:rPr>
          <w:rFonts w:ascii="Arial" w:hAnsi="Arial" w:cs="Arial"/>
          <w:sz w:val="20"/>
          <w:szCs w:val="20"/>
          <w:lang w:val="fr-CA"/>
        </w:rPr>
      </w:pPr>
      <w:r w:rsidRPr="003765A0">
        <w:rPr>
          <w:rFonts w:ascii="Arial" w:hAnsi="Arial" w:cs="Arial"/>
          <w:sz w:val="20"/>
          <w:szCs w:val="20"/>
          <w:lang w:val="fr-CA"/>
        </w:rPr>
        <w:t xml:space="preserve">Les allocations budgétaires initiales et les réserves pour l’exercice sont consignées dans maSGE et intégrées dans le </w:t>
      </w:r>
      <w:r w:rsidR="00856C87" w:rsidRPr="003765A0">
        <w:rPr>
          <w:rFonts w:ascii="Arial" w:hAnsi="Arial" w:cs="Arial"/>
          <w:sz w:val="20"/>
          <w:szCs w:val="20"/>
          <w:lang w:val="fr-CA"/>
        </w:rPr>
        <w:t>C</w:t>
      </w:r>
      <w:r w:rsidRPr="003765A0">
        <w:rPr>
          <w:rFonts w:ascii="Arial" w:hAnsi="Arial" w:cs="Arial"/>
          <w:sz w:val="20"/>
          <w:szCs w:val="20"/>
          <w:lang w:val="fr-CA"/>
        </w:rPr>
        <w:t xml:space="preserve">alcul du budget de base et dans le </w:t>
      </w:r>
      <w:r w:rsidR="00856C87" w:rsidRPr="003765A0">
        <w:rPr>
          <w:rFonts w:ascii="Arial" w:hAnsi="Arial" w:cs="Arial"/>
          <w:sz w:val="20"/>
          <w:szCs w:val="20"/>
          <w:lang w:val="fr-CA"/>
        </w:rPr>
        <w:t>G</w:t>
      </w:r>
      <w:r w:rsidRPr="003765A0">
        <w:rPr>
          <w:rFonts w:ascii="Arial" w:hAnsi="Arial" w:cs="Arial"/>
          <w:sz w:val="20"/>
          <w:szCs w:val="20"/>
          <w:lang w:val="fr-CA"/>
        </w:rPr>
        <w:t>rand livre des subventions et contributions au début de l’exercice</w:t>
      </w:r>
      <w:r w:rsidR="00856C87" w:rsidRPr="003765A0">
        <w:rPr>
          <w:rFonts w:ascii="Arial" w:hAnsi="Arial" w:cs="Arial"/>
          <w:sz w:val="20"/>
          <w:szCs w:val="20"/>
          <w:lang w:val="fr-CA"/>
        </w:rPr>
        <w:t>.</w:t>
      </w:r>
      <w:r w:rsidRPr="003765A0">
        <w:rPr>
          <w:rFonts w:ascii="Arial" w:hAnsi="Arial" w:cs="Arial"/>
          <w:sz w:val="20"/>
          <w:szCs w:val="20"/>
          <w:lang w:val="fr-CA"/>
        </w:rPr>
        <w:t xml:space="preserve"> Le système maSGE  est mis à jour quotidiennement pour tenir compte des nouvelles décisions de financement, des diminutions apportées aux niveaux de référence, des gels, des réaffectations et des transferts entre directions</w:t>
      </w:r>
      <w:r w:rsidR="003765A0">
        <w:rPr>
          <w:rFonts w:ascii="Arial" w:hAnsi="Arial" w:cs="Arial"/>
          <w:sz w:val="20"/>
          <w:szCs w:val="20"/>
          <w:lang w:val="fr-CA"/>
        </w:rPr>
        <w:t xml:space="preserve"> générales</w:t>
      </w:r>
      <w:r w:rsidRPr="003765A0">
        <w:rPr>
          <w:rFonts w:ascii="Arial" w:hAnsi="Arial" w:cs="Arial"/>
          <w:sz w:val="20"/>
          <w:szCs w:val="20"/>
          <w:lang w:val="fr-CA"/>
        </w:rPr>
        <w:t>, régions et secteurs d’activités.</w:t>
      </w:r>
    </w:p>
    <w:p w:rsidR="00362EC8" w:rsidRPr="003765A0" w:rsidRDefault="00362EC8" w:rsidP="00362EC8">
      <w:pPr>
        <w:rPr>
          <w:rFonts w:ascii="Arial" w:hAnsi="Arial" w:cs="Arial"/>
          <w:sz w:val="20"/>
          <w:szCs w:val="20"/>
          <w:lang w:val="fr-CA"/>
        </w:rPr>
      </w:pPr>
    </w:p>
    <w:p w:rsidR="00362EC8" w:rsidRPr="003765A0" w:rsidRDefault="00362EC8" w:rsidP="00362EC8">
      <w:pPr>
        <w:rPr>
          <w:rFonts w:ascii="Arial" w:hAnsi="Arial" w:cs="Arial"/>
          <w:sz w:val="20"/>
          <w:szCs w:val="20"/>
          <w:lang w:val="fr-CA"/>
        </w:rPr>
      </w:pPr>
      <w:r w:rsidRPr="003765A0">
        <w:rPr>
          <w:rFonts w:ascii="Arial" w:hAnsi="Arial" w:cs="Arial"/>
          <w:sz w:val="20"/>
          <w:szCs w:val="20"/>
          <w:lang w:val="fr-CA"/>
        </w:rPr>
        <w:t>Le niveau d’approbation requis est déterminé par la nature de l’ajustement budgétaire, tel qu’il est décrit à l’</w:t>
      </w:r>
      <w:hyperlink w:anchor="_Annex_E:_" w:history="1">
        <w:r w:rsidRPr="003765A0">
          <w:rPr>
            <w:rStyle w:val="Hyperlink"/>
            <w:rFonts w:ascii="Arial" w:hAnsi="Arial" w:cs="Arial"/>
            <w:i/>
            <w:sz w:val="20"/>
            <w:szCs w:val="20"/>
            <w:lang w:val="fr-CA"/>
          </w:rPr>
          <w:t>annexe E</w:t>
        </w:r>
      </w:hyperlink>
      <w:r w:rsidRPr="003765A0">
        <w:rPr>
          <w:rFonts w:ascii="Arial" w:hAnsi="Arial" w:cs="Arial"/>
          <w:i/>
          <w:sz w:val="20"/>
          <w:szCs w:val="20"/>
          <w:lang w:val="fr-CA"/>
        </w:rPr>
        <w:t>, Processus d’ajustement budgétaire</w:t>
      </w:r>
      <w:r w:rsidRPr="003765A0">
        <w:rPr>
          <w:rFonts w:ascii="Arial" w:hAnsi="Arial" w:cs="Arial"/>
          <w:sz w:val="20"/>
          <w:szCs w:val="20"/>
          <w:lang w:val="fr-CA"/>
        </w:rPr>
        <w:t xml:space="preserve">. Les approbations peuvent être données sous forme de protocole d’entente (PE), de courriel ou de signature apposée sur la prévision financière périodique. Les documents appropriés qui justifient le transfert de ressources doivent être joints au formulaire d’ajustement budgétaire dans maSGE (interface utilisateur ou « GUI »). En règle générale (à moins d’indication contraire à l’annexe E), les CGF et les DRF devraient initier le transfert de fonds dans le cas des transferts entre fonds, entre des comptes budgétaires (du compte des salaires à celui de F et E et vice versa) et entre centres financiers (niveau 2), et y joindre les documents appropriés. Selon la nature du transfert, celui-ci peut être effectué directement par le CGF ou être soumis par le biais du flux de travail aux fins d’approbation, tel que précisé dans les </w:t>
      </w:r>
      <w:hyperlink r:id="rId42" w:history="1">
        <w:r w:rsidRPr="003765A0">
          <w:rPr>
            <w:rStyle w:val="Hyperlink"/>
            <w:rFonts w:ascii="Arial" w:hAnsi="Arial" w:cs="Arial"/>
            <w:sz w:val="20"/>
            <w:szCs w:val="20"/>
            <w:lang w:val="fr-CA"/>
          </w:rPr>
          <w:t>processus de transferts budgétaires</w:t>
        </w:r>
      </w:hyperlink>
      <w:r w:rsidRPr="003765A0">
        <w:rPr>
          <w:rFonts w:ascii="Arial" w:hAnsi="Arial" w:cs="Arial"/>
          <w:sz w:val="20"/>
          <w:szCs w:val="20"/>
          <w:lang w:val="fr-CA"/>
        </w:rPr>
        <w:t>.</w:t>
      </w:r>
    </w:p>
    <w:p w:rsidR="00362EC8" w:rsidRPr="00001E0D" w:rsidRDefault="00362EC8" w:rsidP="00362EC8">
      <w:pPr>
        <w:rPr>
          <w:rFonts w:ascii="Arial" w:hAnsi="Arial" w:cs="Arial"/>
          <w:sz w:val="20"/>
          <w:szCs w:val="20"/>
          <w:lang w:val="fr-CA"/>
        </w:rPr>
      </w:pPr>
    </w:p>
    <w:p w:rsidR="00362EC8" w:rsidRPr="00001E0D" w:rsidRDefault="00362EC8" w:rsidP="00362EC8">
      <w:pPr>
        <w:pStyle w:val="Heading3"/>
        <w:rPr>
          <w:lang w:val="fr-CA"/>
        </w:rPr>
      </w:pPr>
      <w:bookmarkStart w:id="66" w:name="_Toc485812731"/>
      <w:r w:rsidRPr="00001E0D">
        <w:rPr>
          <w:lang w:val="fr-CA"/>
        </w:rPr>
        <w:t>3.3.</w:t>
      </w:r>
      <w:r w:rsidR="003765A0">
        <w:rPr>
          <w:lang w:val="fr-CA"/>
        </w:rPr>
        <w:t>6</w:t>
      </w:r>
      <w:r w:rsidRPr="00001E0D">
        <w:rPr>
          <w:lang w:val="fr-CA"/>
        </w:rPr>
        <w:t xml:space="preserve">. </w:t>
      </w:r>
      <w:r>
        <w:rPr>
          <w:lang w:val="fr-CA"/>
        </w:rPr>
        <w:t>Politique budgétaire</w:t>
      </w:r>
      <w:bookmarkEnd w:id="66"/>
    </w:p>
    <w:p w:rsidR="00362EC8" w:rsidRPr="00001E0D" w:rsidRDefault="00362EC8" w:rsidP="00362EC8">
      <w:pPr>
        <w:rPr>
          <w:rFonts w:ascii="Arial" w:hAnsi="Arial" w:cs="Arial"/>
          <w:sz w:val="20"/>
          <w:szCs w:val="20"/>
          <w:lang w:val="fr-CA"/>
        </w:rPr>
      </w:pPr>
    </w:p>
    <w:p w:rsidR="00362EC8" w:rsidRPr="00001E0D" w:rsidRDefault="00362EC8" w:rsidP="00362EC8">
      <w:pPr>
        <w:rPr>
          <w:rFonts w:ascii="Arial" w:hAnsi="Arial" w:cs="Arial"/>
          <w:color w:val="000000" w:themeColor="text1"/>
          <w:sz w:val="20"/>
          <w:szCs w:val="20"/>
          <w:lang w:val="fr-CA"/>
        </w:rPr>
      </w:pPr>
      <w:r w:rsidRPr="008363AA">
        <w:rPr>
          <w:rFonts w:ascii="Arial" w:hAnsi="Arial" w:cs="Arial"/>
          <w:sz w:val="20"/>
          <w:szCs w:val="20"/>
          <w:lang w:val="fr-CA"/>
        </w:rPr>
        <w:t>La politique budgétaire d</w:t>
      </w:r>
      <w:r>
        <w:rPr>
          <w:rFonts w:ascii="Arial" w:hAnsi="Arial" w:cs="Arial"/>
          <w:sz w:val="20"/>
          <w:szCs w:val="20"/>
          <w:lang w:val="fr-CA"/>
        </w:rPr>
        <w:t>’</w:t>
      </w:r>
      <w:r w:rsidR="003765A0">
        <w:rPr>
          <w:rFonts w:ascii="Arial" w:hAnsi="Arial" w:cs="Arial"/>
          <w:sz w:val="20"/>
          <w:szCs w:val="20"/>
          <w:lang w:val="fr-CA"/>
        </w:rPr>
        <w:t xml:space="preserve">EDSC </w:t>
      </w:r>
      <w:r w:rsidRPr="008363AA">
        <w:rPr>
          <w:rFonts w:ascii="Arial" w:hAnsi="Arial" w:cs="Arial"/>
          <w:sz w:val="20"/>
          <w:szCs w:val="20"/>
          <w:lang w:val="fr-CA"/>
        </w:rPr>
        <w:t xml:space="preserve">prévoit une budgétisation au niveau des </w:t>
      </w:r>
      <w:r>
        <w:rPr>
          <w:rFonts w:ascii="Arial" w:hAnsi="Arial" w:cs="Arial"/>
          <w:color w:val="000000" w:themeColor="text1"/>
          <w:sz w:val="20"/>
          <w:szCs w:val="20"/>
          <w:lang w:val="fr-CA"/>
        </w:rPr>
        <w:t>fonds</w:t>
      </w:r>
      <w:r w:rsidRPr="00001E0D">
        <w:rPr>
          <w:rFonts w:ascii="Arial" w:hAnsi="Arial" w:cs="Arial"/>
          <w:color w:val="000000" w:themeColor="text1"/>
          <w:sz w:val="20"/>
          <w:szCs w:val="20"/>
          <w:lang w:val="fr-CA"/>
        </w:rPr>
        <w:t xml:space="preserve">, </w:t>
      </w:r>
      <w:r>
        <w:rPr>
          <w:rFonts w:ascii="Arial" w:hAnsi="Arial" w:cs="Arial"/>
          <w:color w:val="000000" w:themeColor="text1"/>
          <w:sz w:val="20"/>
          <w:szCs w:val="20"/>
          <w:lang w:val="fr-CA"/>
        </w:rPr>
        <w:t>des centres financiers</w:t>
      </w:r>
      <w:r w:rsidRPr="00001E0D">
        <w:rPr>
          <w:rFonts w:ascii="Arial" w:hAnsi="Arial" w:cs="Arial"/>
          <w:color w:val="000000" w:themeColor="text1"/>
          <w:sz w:val="20"/>
          <w:szCs w:val="20"/>
          <w:lang w:val="fr-CA"/>
        </w:rPr>
        <w:t>,</w:t>
      </w:r>
      <w:r>
        <w:rPr>
          <w:rFonts w:ascii="Arial" w:hAnsi="Arial" w:cs="Arial"/>
          <w:color w:val="000000" w:themeColor="text1"/>
          <w:sz w:val="20"/>
          <w:szCs w:val="20"/>
          <w:lang w:val="fr-CA"/>
        </w:rPr>
        <w:t xml:space="preserve"> des comptes budgétaires </w:t>
      </w:r>
      <w:r w:rsidRPr="00001E0D">
        <w:rPr>
          <w:rFonts w:ascii="Arial" w:hAnsi="Arial" w:cs="Arial"/>
          <w:color w:val="000000" w:themeColor="text1"/>
          <w:sz w:val="20"/>
          <w:szCs w:val="20"/>
          <w:lang w:val="fr-CA"/>
        </w:rPr>
        <w:t>(</w:t>
      </w:r>
      <w:r>
        <w:rPr>
          <w:rFonts w:ascii="Arial" w:hAnsi="Arial" w:cs="Arial"/>
          <w:color w:val="000000" w:themeColor="text1"/>
          <w:sz w:val="20"/>
          <w:szCs w:val="20"/>
          <w:lang w:val="fr-CA"/>
        </w:rPr>
        <w:t>salaires, F et E</w:t>
      </w:r>
      <w:r w:rsidRPr="00001E0D">
        <w:rPr>
          <w:rFonts w:ascii="Arial" w:hAnsi="Arial" w:cs="Arial"/>
          <w:color w:val="000000" w:themeColor="text1"/>
          <w:sz w:val="20"/>
          <w:szCs w:val="20"/>
          <w:lang w:val="fr-CA"/>
        </w:rPr>
        <w:t xml:space="preserve">) </w:t>
      </w:r>
      <w:r>
        <w:rPr>
          <w:rFonts w:ascii="Arial" w:hAnsi="Arial" w:cs="Arial"/>
          <w:color w:val="000000" w:themeColor="text1"/>
          <w:sz w:val="20"/>
          <w:szCs w:val="20"/>
          <w:lang w:val="fr-CA"/>
        </w:rPr>
        <w:t>et des</w:t>
      </w:r>
      <w:r w:rsidRPr="00001E0D">
        <w:rPr>
          <w:rFonts w:ascii="Arial" w:hAnsi="Arial" w:cs="Arial"/>
          <w:color w:val="000000" w:themeColor="text1"/>
          <w:sz w:val="20"/>
          <w:szCs w:val="20"/>
          <w:lang w:val="fr-CA"/>
        </w:rPr>
        <w:t xml:space="preserve"> </w:t>
      </w:r>
      <w:r>
        <w:rPr>
          <w:rFonts w:ascii="Arial" w:hAnsi="Arial" w:cs="Arial"/>
          <w:color w:val="000000" w:themeColor="text1"/>
          <w:sz w:val="20"/>
          <w:szCs w:val="20"/>
          <w:lang w:val="fr-CA"/>
        </w:rPr>
        <w:t>domaines fonctionnels</w:t>
      </w:r>
      <w:r w:rsidRPr="00001E0D">
        <w:rPr>
          <w:rFonts w:ascii="Arial" w:hAnsi="Arial" w:cs="Arial"/>
          <w:color w:val="000000" w:themeColor="text1"/>
          <w:sz w:val="20"/>
          <w:szCs w:val="20"/>
          <w:lang w:val="fr-CA"/>
        </w:rPr>
        <w:t xml:space="preserve"> </w:t>
      </w:r>
      <w:r>
        <w:rPr>
          <w:rFonts w:ascii="Arial" w:hAnsi="Arial" w:cs="Arial"/>
          <w:color w:val="000000" w:themeColor="text1"/>
          <w:sz w:val="20"/>
          <w:szCs w:val="20"/>
          <w:lang w:val="fr-CA"/>
        </w:rPr>
        <w:t>pour les fonds opérationnels, et</w:t>
      </w:r>
      <w:r w:rsidRPr="00001E0D">
        <w:rPr>
          <w:rFonts w:ascii="Arial" w:hAnsi="Arial" w:cs="Arial"/>
          <w:color w:val="000000" w:themeColor="text1"/>
          <w:sz w:val="20"/>
          <w:szCs w:val="20"/>
          <w:lang w:val="fr-CA"/>
        </w:rPr>
        <w:t xml:space="preserve"> </w:t>
      </w:r>
      <w:r>
        <w:rPr>
          <w:rFonts w:ascii="Arial" w:hAnsi="Arial" w:cs="Arial"/>
          <w:color w:val="000000" w:themeColor="text1"/>
          <w:sz w:val="20"/>
          <w:szCs w:val="20"/>
          <w:lang w:val="fr-CA"/>
        </w:rPr>
        <w:t>au niveau des</w:t>
      </w:r>
      <w:r w:rsidRPr="00001E0D">
        <w:rPr>
          <w:rFonts w:ascii="Arial" w:hAnsi="Arial" w:cs="Arial"/>
          <w:color w:val="000000" w:themeColor="text1"/>
          <w:sz w:val="20"/>
          <w:szCs w:val="20"/>
          <w:lang w:val="fr-CA"/>
        </w:rPr>
        <w:t xml:space="preserve"> </w:t>
      </w:r>
      <w:r>
        <w:rPr>
          <w:rFonts w:ascii="Arial" w:hAnsi="Arial" w:cs="Arial"/>
          <w:color w:val="000000" w:themeColor="text1"/>
          <w:sz w:val="20"/>
          <w:szCs w:val="20"/>
          <w:lang w:val="fr-CA"/>
        </w:rPr>
        <w:t>fonds, des centres financiers et des</w:t>
      </w:r>
      <w:r w:rsidRPr="00001E0D">
        <w:rPr>
          <w:rFonts w:ascii="Arial" w:hAnsi="Arial" w:cs="Arial"/>
          <w:color w:val="000000" w:themeColor="text1"/>
          <w:sz w:val="20"/>
          <w:szCs w:val="20"/>
          <w:lang w:val="fr-CA"/>
        </w:rPr>
        <w:t xml:space="preserve"> </w:t>
      </w:r>
      <w:r>
        <w:rPr>
          <w:rFonts w:ascii="Arial" w:hAnsi="Arial" w:cs="Arial"/>
          <w:color w:val="000000" w:themeColor="text1"/>
          <w:sz w:val="20"/>
          <w:szCs w:val="20"/>
          <w:lang w:val="fr-CA"/>
        </w:rPr>
        <w:t>domaines fonctionnels pour les subventions et contributions</w:t>
      </w:r>
      <w:r w:rsidRPr="00001E0D">
        <w:rPr>
          <w:rFonts w:ascii="Arial" w:hAnsi="Arial" w:cs="Arial"/>
          <w:color w:val="000000" w:themeColor="text1"/>
          <w:sz w:val="20"/>
          <w:szCs w:val="20"/>
          <w:lang w:val="fr-CA"/>
        </w:rPr>
        <w:t xml:space="preserve">. </w:t>
      </w:r>
      <w:r w:rsidRPr="00490B7D">
        <w:rPr>
          <w:rFonts w:ascii="Arial" w:hAnsi="Arial" w:cs="Arial"/>
          <w:color w:val="000000" w:themeColor="text1"/>
          <w:sz w:val="20"/>
          <w:szCs w:val="20"/>
          <w:lang w:val="fr-CA"/>
        </w:rPr>
        <w:t>Cela permet d’obtenir une impor</w:t>
      </w:r>
      <w:r w:rsidR="003765A0">
        <w:rPr>
          <w:rFonts w:ascii="Arial" w:hAnsi="Arial" w:cs="Arial"/>
          <w:color w:val="000000" w:themeColor="text1"/>
          <w:sz w:val="20"/>
          <w:szCs w:val="20"/>
          <w:lang w:val="fr-CA"/>
        </w:rPr>
        <w:t xml:space="preserve">tante quantité de détails, tel que </w:t>
      </w:r>
      <w:r w:rsidRPr="00490B7D">
        <w:rPr>
          <w:rFonts w:ascii="Arial" w:hAnsi="Arial" w:cs="Arial"/>
          <w:color w:val="000000" w:themeColor="text1"/>
          <w:sz w:val="20"/>
          <w:szCs w:val="20"/>
          <w:lang w:val="fr-CA"/>
        </w:rPr>
        <w:t xml:space="preserve"> </w:t>
      </w:r>
      <w:r w:rsidRPr="001552EF">
        <w:rPr>
          <w:rFonts w:ascii="Arial" w:hAnsi="Arial" w:cs="Arial"/>
          <w:color w:val="000000" w:themeColor="text1"/>
          <w:sz w:val="20"/>
          <w:szCs w:val="20"/>
          <w:lang w:val="fr-CA"/>
        </w:rPr>
        <w:t>qui planifie dépenser dans quelle activité et dans quelle</w:t>
      </w:r>
      <w:r w:rsidRPr="000122EA">
        <w:rPr>
          <w:rFonts w:ascii="Arial" w:hAnsi="Arial" w:cs="Arial"/>
          <w:color w:val="000000" w:themeColor="text1"/>
          <w:sz w:val="20"/>
          <w:szCs w:val="20"/>
          <w:lang w:val="fr-CA"/>
        </w:rPr>
        <w:t xml:space="preserve"> catégorie de dépenses</w:t>
      </w:r>
      <w:r w:rsidRPr="001552EF">
        <w:rPr>
          <w:rFonts w:ascii="Arial" w:hAnsi="Arial" w:cs="Arial"/>
          <w:color w:val="000000" w:themeColor="text1"/>
          <w:sz w:val="20"/>
          <w:szCs w:val="20"/>
          <w:lang w:val="fr-CA"/>
        </w:rPr>
        <w:t xml:space="preserve"> chaque année</w:t>
      </w:r>
      <w:r w:rsidRPr="00490B7D">
        <w:rPr>
          <w:rFonts w:ascii="Arial" w:hAnsi="Arial" w:cs="Arial"/>
          <w:color w:val="000000" w:themeColor="text1"/>
          <w:sz w:val="20"/>
          <w:szCs w:val="20"/>
          <w:lang w:val="fr-CA"/>
        </w:rPr>
        <w:t>.</w:t>
      </w:r>
    </w:p>
    <w:p w:rsidR="00362EC8" w:rsidRPr="003765A0" w:rsidRDefault="00362EC8" w:rsidP="00362EC8">
      <w:pPr>
        <w:rPr>
          <w:rFonts w:ascii="Arial" w:hAnsi="Arial" w:cs="Arial"/>
          <w:color w:val="000000"/>
          <w:sz w:val="20"/>
          <w:szCs w:val="20"/>
          <w:lang w:val="fr-CA"/>
        </w:rPr>
      </w:pPr>
    </w:p>
    <w:p w:rsidR="00362EC8" w:rsidRPr="003765A0" w:rsidRDefault="003765A0" w:rsidP="00362EC8">
      <w:pPr>
        <w:rPr>
          <w:rFonts w:ascii="Arial" w:hAnsi="Arial" w:cs="Arial"/>
          <w:color w:val="000000"/>
          <w:sz w:val="20"/>
          <w:lang w:val="fr-CA"/>
        </w:rPr>
      </w:pPr>
      <w:r w:rsidRPr="003765A0">
        <w:rPr>
          <w:rFonts w:ascii="Arial" w:hAnsi="Arial" w:cs="Arial"/>
          <w:color w:val="000000" w:themeColor="text1"/>
          <w:sz w:val="20"/>
          <w:szCs w:val="20"/>
          <w:lang w:val="fr-CA"/>
        </w:rPr>
        <w:t>D</w:t>
      </w:r>
      <w:r w:rsidR="00362EC8" w:rsidRPr="003765A0">
        <w:rPr>
          <w:rFonts w:ascii="Arial" w:hAnsi="Arial" w:cs="Arial"/>
          <w:color w:val="000000" w:themeColor="text1"/>
          <w:sz w:val="20"/>
          <w:szCs w:val="20"/>
          <w:lang w:val="fr-CA"/>
        </w:rPr>
        <w:t xml:space="preserve">es ajustements peuvent être entrés par l’entremise du portail et approuvés dans maSGE par le biais du flux de travail ou saisis manuellement dans l’application de bureau (interface utilisateur ou « GUI »), tout dépendant de la nature de l’opération. </w:t>
      </w:r>
      <w:r w:rsidR="00362EC8" w:rsidRPr="003765A0">
        <w:rPr>
          <w:rFonts w:ascii="Arial" w:hAnsi="Arial" w:cs="Arial"/>
          <w:color w:val="000000"/>
          <w:sz w:val="20"/>
          <w:lang w:val="fr-CA"/>
        </w:rPr>
        <w:t>Les SMA, en collaboration avec leurs CGF respectifs, doivent répartir ces fonds au bon codage financier,</w:t>
      </w:r>
      <w:r w:rsidR="00362EC8" w:rsidRPr="003765A0">
        <w:rPr>
          <w:rFonts w:ascii="Arial" w:hAnsi="Arial" w:cs="Arial"/>
          <w:color w:val="000000" w:themeColor="text1"/>
          <w:sz w:val="20"/>
          <w:lang w:val="fr-CA"/>
        </w:rPr>
        <w:t xml:space="preserve"> s’il y a lieu</w:t>
      </w:r>
      <w:r w:rsidR="00362EC8" w:rsidRPr="003765A0">
        <w:rPr>
          <w:rFonts w:ascii="Arial" w:hAnsi="Arial" w:cs="Arial"/>
          <w:color w:val="FF0000"/>
          <w:sz w:val="20"/>
          <w:lang w:val="fr-CA"/>
        </w:rPr>
        <w:t>.</w:t>
      </w:r>
      <w:r w:rsidR="00362EC8" w:rsidRPr="003765A0">
        <w:rPr>
          <w:rFonts w:ascii="Arial" w:hAnsi="Arial" w:cs="Arial"/>
          <w:color w:val="000000"/>
          <w:sz w:val="20"/>
          <w:lang w:val="fr-CA"/>
        </w:rPr>
        <w:t xml:space="preserve"> Le fait de répartir les fonds en temps opportun permet d’effectuer un rapprochement entre les budgets de maSGE et les </w:t>
      </w:r>
      <w:r w:rsidRPr="003765A0">
        <w:rPr>
          <w:rFonts w:ascii="Arial" w:hAnsi="Arial" w:cs="Arial"/>
          <w:color w:val="000000"/>
          <w:sz w:val="20"/>
          <w:lang w:val="fr-CA"/>
        </w:rPr>
        <w:t>C</w:t>
      </w:r>
      <w:r w:rsidR="00362EC8" w:rsidRPr="003765A0">
        <w:rPr>
          <w:rFonts w:ascii="Arial" w:hAnsi="Arial" w:cs="Arial"/>
          <w:color w:val="000000"/>
          <w:sz w:val="20"/>
          <w:lang w:val="fr-CA"/>
        </w:rPr>
        <w:t xml:space="preserve">alculs des budgets de base / le </w:t>
      </w:r>
      <w:r w:rsidRPr="003765A0">
        <w:rPr>
          <w:rFonts w:ascii="Arial" w:hAnsi="Arial" w:cs="Arial"/>
          <w:color w:val="000000"/>
          <w:sz w:val="20"/>
          <w:lang w:val="fr-CA"/>
        </w:rPr>
        <w:t>G</w:t>
      </w:r>
      <w:r w:rsidR="00362EC8" w:rsidRPr="003765A0">
        <w:rPr>
          <w:rFonts w:ascii="Arial" w:hAnsi="Arial" w:cs="Arial"/>
          <w:color w:val="000000"/>
          <w:sz w:val="20"/>
          <w:lang w:val="fr-CA"/>
        </w:rPr>
        <w:t>rand livre des subventions et contributions.</w:t>
      </w:r>
      <w:r w:rsidR="00362EC8" w:rsidRPr="003765A0">
        <w:rPr>
          <w:rFonts w:ascii="Arial" w:hAnsi="Arial" w:cs="Arial"/>
          <w:lang w:val="fr-CA"/>
        </w:rPr>
        <w:t xml:space="preserve"> </w:t>
      </w:r>
      <w:r w:rsidR="00362EC8" w:rsidRPr="003765A0">
        <w:rPr>
          <w:rFonts w:ascii="Arial" w:hAnsi="Arial" w:cs="Arial"/>
          <w:color w:val="000000"/>
          <w:sz w:val="20"/>
          <w:lang w:val="fr-CA"/>
        </w:rPr>
        <w:t>De plus, la distribution des ressources doit s’harmoniser avec la structure d’activités utilisée dans le cadre de la présentation de rapports au Parlement et au CT, en plus de s’y conformer. (</w:t>
      </w:r>
      <w:r w:rsidR="00362EC8" w:rsidRPr="003765A0">
        <w:rPr>
          <w:rFonts w:ascii="Arial" w:hAnsi="Arial" w:cs="Arial"/>
          <w:i/>
          <w:color w:val="000000"/>
          <w:sz w:val="20"/>
          <w:lang w:val="fr-CA"/>
        </w:rPr>
        <w:t>Veuillez également consulter l’</w:t>
      </w:r>
      <w:hyperlink w:anchor="_Annex_F:_" w:history="1">
        <w:r w:rsidR="00362EC8" w:rsidRPr="003765A0">
          <w:rPr>
            <w:rStyle w:val="Hyperlink"/>
            <w:rFonts w:ascii="Arial" w:hAnsi="Arial" w:cs="Arial"/>
            <w:i/>
            <w:sz w:val="20"/>
            <w:lang w:val="fr-CA"/>
          </w:rPr>
          <w:t>annexe F</w:t>
        </w:r>
      </w:hyperlink>
      <w:r w:rsidR="00362EC8" w:rsidRPr="003765A0">
        <w:rPr>
          <w:rFonts w:ascii="Arial" w:hAnsi="Arial" w:cs="Arial"/>
          <w:i/>
          <w:color w:val="000000"/>
          <w:sz w:val="20"/>
          <w:lang w:val="fr-CA"/>
        </w:rPr>
        <w:t xml:space="preserve"> pour obtenir de plus amples renseignements sur le système financier, le codage et les outils de présentation de rapports d’EDSC</w:t>
      </w:r>
      <w:r w:rsidR="00362EC8" w:rsidRPr="003765A0">
        <w:rPr>
          <w:rFonts w:ascii="Arial" w:hAnsi="Arial" w:cs="Arial"/>
          <w:color w:val="000000"/>
          <w:sz w:val="20"/>
          <w:lang w:val="fr-CA"/>
        </w:rPr>
        <w:t>).</w:t>
      </w:r>
    </w:p>
    <w:p w:rsidR="00362EC8" w:rsidRPr="00001E0D" w:rsidRDefault="00362EC8" w:rsidP="00362EC8">
      <w:pPr>
        <w:rPr>
          <w:rFonts w:ascii="Arial" w:hAnsi="Arial"/>
          <w:color w:val="000000"/>
          <w:sz w:val="20"/>
          <w:lang w:val="fr-CA"/>
        </w:rPr>
      </w:pPr>
    </w:p>
    <w:p w:rsidR="00362EC8" w:rsidRDefault="00362EC8" w:rsidP="00362EC8">
      <w:pPr>
        <w:rPr>
          <w:rFonts w:ascii="Arial" w:hAnsi="Arial" w:cs="Arial"/>
          <w:sz w:val="20"/>
          <w:szCs w:val="20"/>
          <w:lang w:val="fr-CA"/>
        </w:rPr>
      </w:pPr>
    </w:p>
    <w:p w:rsidR="00362EC8" w:rsidRDefault="00362EC8" w:rsidP="00362EC8">
      <w:pPr>
        <w:rPr>
          <w:rFonts w:ascii="Arial" w:hAnsi="Arial" w:cs="Arial"/>
          <w:sz w:val="20"/>
          <w:szCs w:val="20"/>
          <w:lang w:val="fr-CA"/>
        </w:rPr>
      </w:pPr>
      <w:r w:rsidRPr="00385C59">
        <w:rPr>
          <w:rFonts w:ascii="Arial" w:hAnsi="Arial" w:cs="Arial"/>
          <w:sz w:val="20"/>
          <w:szCs w:val="20"/>
          <w:lang w:val="fr-CA"/>
        </w:rPr>
        <w:t>De plus, voici des considérations particulières supplémentaires pour certaines catégories de dépenses</w:t>
      </w:r>
      <w:r>
        <w:rPr>
          <w:rFonts w:ascii="Arial" w:hAnsi="Arial" w:cs="Arial"/>
          <w:sz w:val="20"/>
          <w:szCs w:val="20"/>
          <w:lang w:val="fr-CA"/>
        </w:rPr>
        <w:t> </w:t>
      </w:r>
      <w:r w:rsidRPr="00001E0D">
        <w:rPr>
          <w:rFonts w:ascii="Arial" w:hAnsi="Arial" w:cs="Arial"/>
          <w:sz w:val="20"/>
          <w:szCs w:val="20"/>
          <w:lang w:val="fr-CA"/>
        </w:rPr>
        <w:t>:</w:t>
      </w:r>
    </w:p>
    <w:p w:rsidR="00362EC8" w:rsidRPr="00001E0D" w:rsidRDefault="00362EC8" w:rsidP="00362EC8">
      <w:pPr>
        <w:rPr>
          <w:rFonts w:ascii="Arial" w:hAnsi="Arial" w:cs="Arial"/>
          <w:sz w:val="20"/>
          <w:szCs w:val="20"/>
          <w:lang w:val="fr-CA"/>
        </w:rPr>
      </w:pPr>
    </w:p>
    <w:p w:rsidR="00362EC8" w:rsidRPr="00001E0D" w:rsidRDefault="00362EC8" w:rsidP="00362EC8">
      <w:pPr>
        <w:rPr>
          <w:rFonts w:ascii="Arial" w:hAnsi="Arial" w:cs="Arial"/>
          <w:b/>
          <w:sz w:val="20"/>
          <w:szCs w:val="20"/>
          <w:lang w:val="fr-CA"/>
        </w:rPr>
      </w:pPr>
      <w:r>
        <w:rPr>
          <w:rFonts w:ascii="Arial" w:hAnsi="Arial" w:cs="Arial"/>
          <w:b/>
          <w:sz w:val="20"/>
          <w:szCs w:val="20"/>
          <w:lang w:val="fr-CA"/>
        </w:rPr>
        <w:t>Suivi des coûts d’investissement en formation</w:t>
      </w:r>
    </w:p>
    <w:p w:rsidR="00362EC8" w:rsidRDefault="00362EC8" w:rsidP="00362EC8">
      <w:pPr>
        <w:rPr>
          <w:rFonts w:ascii="Arial" w:hAnsi="Arial" w:cs="Arial"/>
          <w:sz w:val="20"/>
          <w:szCs w:val="20"/>
          <w:lang w:val="fr-CA"/>
        </w:rPr>
      </w:pPr>
    </w:p>
    <w:p w:rsidR="00362EC8" w:rsidRPr="00001E0D" w:rsidRDefault="00362EC8" w:rsidP="00362EC8">
      <w:pPr>
        <w:rPr>
          <w:rFonts w:ascii="Arial" w:hAnsi="Arial" w:cs="Arial"/>
          <w:sz w:val="20"/>
          <w:szCs w:val="20"/>
          <w:highlight w:val="yellow"/>
          <w:lang w:val="fr-CA"/>
        </w:rPr>
      </w:pPr>
      <w:r>
        <w:rPr>
          <w:rFonts w:ascii="Arial" w:hAnsi="Arial" w:cs="Arial"/>
          <w:sz w:val="20"/>
          <w:szCs w:val="20"/>
          <w:lang w:val="fr-CA"/>
        </w:rPr>
        <w:t>Tous les investissements de F et E</w:t>
      </w:r>
      <w:r w:rsidRPr="00001E0D">
        <w:rPr>
          <w:rFonts w:ascii="Arial" w:hAnsi="Arial" w:cs="Arial"/>
          <w:sz w:val="20"/>
          <w:szCs w:val="20"/>
          <w:lang w:val="fr-CA"/>
        </w:rPr>
        <w:t xml:space="preserve"> </w:t>
      </w:r>
      <w:r w:rsidRPr="004651DB">
        <w:rPr>
          <w:rFonts w:ascii="Arial" w:hAnsi="Arial" w:cs="Arial"/>
          <w:sz w:val="20"/>
          <w:szCs w:val="20"/>
          <w:lang w:val="fr-CA"/>
        </w:rPr>
        <w:t xml:space="preserve">touchant les activités d’apprentissage, de formation et de perfectionnement devront être </w:t>
      </w:r>
      <w:r>
        <w:rPr>
          <w:rFonts w:ascii="Arial" w:hAnsi="Arial" w:cs="Arial"/>
          <w:sz w:val="20"/>
          <w:szCs w:val="20"/>
          <w:lang w:val="fr-CA"/>
        </w:rPr>
        <w:t>codés au fond</w:t>
      </w:r>
      <w:r w:rsidRPr="004651DB">
        <w:rPr>
          <w:rFonts w:ascii="Arial" w:hAnsi="Arial" w:cs="Arial"/>
          <w:sz w:val="20"/>
          <w:szCs w:val="20"/>
          <w:lang w:val="fr-CA"/>
        </w:rPr>
        <w:t xml:space="preserve"> </w:t>
      </w:r>
      <w:r w:rsidRPr="00001E0D">
        <w:rPr>
          <w:rFonts w:ascii="Arial" w:hAnsi="Arial" w:cs="Arial"/>
          <w:color w:val="000000" w:themeColor="text1"/>
          <w:sz w:val="20"/>
          <w:szCs w:val="20"/>
          <w:lang w:val="fr-CA"/>
        </w:rPr>
        <w:t xml:space="preserve">B011 </w:t>
      </w:r>
      <w:r>
        <w:rPr>
          <w:rFonts w:ascii="Arial" w:hAnsi="Arial" w:cs="Arial"/>
          <w:sz w:val="20"/>
          <w:szCs w:val="20"/>
          <w:lang w:val="fr-CA"/>
        </w:rPr>
        <w:t xml:space="preserve">et être utilisés avec un ordre interne (OI) </w:t>
      </w:r>
      <w:r>
        <w:rPr>
          <w:rFonts w:ascii="Arial" w:hAnsi="Arial" w:cs="Arial"/>
          <w:color w:val="000000" w:themeColor="text1"/>
          <w:sz w:val="20"/>
          <w:szCs w:val="20"/>
          <w:lang w:val="fr-CA"/>
        </w:rPr>
        <w:t>pour besoins particuliers, afin de catégoriser les différents types de formation.</w:t>
      </w:r>
      <w:r w:rsidRPr="00001E0D">
        <w:rPr>
          <w:rFonts w:ascii="Arial" w:hAnsi="Arial" w:cs="Arial"/>
          <w:color w:val="000000" w:themeColor="text1"/>
          <w:sz w:val="20"/>
          <w:szCs w:val="20"/>
          <w:lang w:val="fr-CA"/>
        </w:rPr>
        <w:t xml:space="preserve"> </w:t>
      </w:r>
      <w:r w:rsidRPr="00593712">
        <w:rPr>
          <w:rFonts w:ascii="Arial" w:hAnsi="Arial" w:cs="Arial"/>
          <w:sz w:val="20"/>
          <w:szCs w:val="20"/>
          <w:lang w:val="fr-CA"/>
        </w:rPr>
        <w:t>Les directions générales et les régions continuer</w:t>
      </w:r>
      <w:r>
        <w:rPr>
          <w:rFonts w:ascii="Arial" w:hAnsi="Arial" w:cs="Arial"/>
          <w:sz w:val="20"/>
          <w:szCs w:val="20"/>
          <w:lang w:val="fr-CA"/>
        </w:rPr>
        <w:t>ont</w:t>
      </w:r>
      <w:r w:rsidRPr="00593712">
        <w:rPr>
          <w:rFonts w:ascii="Arial" w:hAnsi="Arial" w:cs="Arial"/>
          <w:sz w:val="20"/>
          <w:szCs w:val="20"/>
          <w:lang w:val="fr-CA"/>
        </w:rPr>
        <w:t xml:space="preserve"> d’assumer </w:t>
      </w:r>
      <w:r>
        <w:rPr>
          <w:rFonts w:ascii="Arial" w:hAnsi="Arial" w:cs="Arial"/>
          <w:sz w:val="20"/>
          <w:szCs w:val="20"/>
          <w:lang w:val="fr-CA"/>
        </w:rPr>
        <w:t>la</w:t>
      </w:r>
      <w:r w:rsidRPr="00593712">
        <w:rPr>
          <w:rFonts w:ascii="Arial" w:hAnsi="Arial" w:cs="Arial"/>
          <w:sz w:val="20"/>
          <w:szCs w:val="20"/>
          <w:lang w:val="fr-CA"/>
        </w:rPr>
        <w:t xml:space="preserve"> responsabilité complète à l’égard du budget, et elles bénéficieront de la flexibilité nécessaire pour</w:t>
      </w:r>
      <w:r w:rsidRPr="00001E0D">
        <w:rPr>
          <w:rFonts w:ascii="Arial" w:hAnsi="Arial" w:cs="Arial"/>
          <w:sz w:val="20"/>
          <w:szCs w:val="20"/>
          <w:lang w:val="fr-CA"/>
        </w:rPr>
        <w:t xml:space="preserve"> </w:t>
      </w:r>
      <w:r>
        <w:rPr>
          <w:rFonts w:ascii="Arial" w:hAnsi="Arial" w:cs="Arial"/>
          <w:color w:val="000000" w:themeColor="text1"/>
          <w:sz w:val="20"/>
          <w:szCs w:val="20"/>
          <w:lang w:val="fr-CA"/>
        </w:rPr>
        <w:t>procéder à des transferts entre le</w:t>
      </w:r>
      <w:r w:rsidRPr="00001E0D">
        <w:rPr>
          <w:rFonts w:ascii="Arial" w:hAnsi="Arial" w:cs="Arial"/>
          <w:color w:val="000000" w:themeColor="text1"/>
          <w:sz w:val="20"/>
          <w:szCs w:val="20"/>
          <w:lang w:val="fr-CA"/>
        </w:rPr>
        <w:t xml:space="preserve"> </w:t>
      </w:r>
      <w:r>
        <w:rPr>
          <w:rFonts w:ascii="Arial" w:hAnsi="Arial" w:cs="Arial"/>
          <w:color w:val="000000" w:themeColor="text1"/>
          <w:sz w:val="20"/>
          <w:szCs w:val="20"/>
          <w:lang w:val="fr-CA"/>
        </w:rPr>
        <w:t>FIA</w:t>
      </w:r>
      <w:r w:rsidRPr="00001E0D">
        <w:rPr>
          <w:rFonts w:ascii="Arial" w:hAnsi="Arial" w:cs="Arial"/>
          <w:color w:val="000000" w:themeColor="text1"/>
          <w:sz w:val="20"/>
          <w:szCs w:val="20"/>
          <w:lang w:val="fr-CA"/>
        </w:rPr>
        <w:t xml:space="preserve"> (B011) </w:t>
      </w:r>
      <w:r>
        <w:rPr>
          <w:rFonts w:ascii="Arial" w:hAnsi="Arial" w:cs="Arial"/>
          <w:color w:val="000000" w:themeColor="text1"/>
          <w:sz w:val="20"/>
          <w:szCs w:val="20"/>
          <w:lang w:val="fr-CA"/>
        </w:rPr>
        <w:t>et</w:t>
      </w:r>
      <w:r w:rsidRPr="00001E0D">
        <w:rPr>
          <w:rFonts w:ascii="Arial" w:hAnsi="Arial" w:cs="Arial"/>
          <w:color w:val="000000" w:themeColor="text1"/>
          <w:sz w:val="20"/>
          <w:szCs w:val="20"/>
          <w:lang w:val="fr-CA"/>
        </w:rPr>
        <w:t xml:space="preserve"> </w:t>
      </w:r>
      <w:r>
        <w:rPr>
          <w:rFonts w:ascii="Arial" w:hAnsi="Arial" w:cs="Arial"/>
          <w:color w:val="000000" w:themeColor="text1"/>
          <w:sz w:val="20"/>
          <w:szCs w:val="20"/>
          <w:lang w:val="fr-CA"/>
        </w:rPr>
        <w:t xml:space="preserve"> leur fond régulier</w:t>
      </w:r>
      <w:r w:rsidRPr="00001E0D">
        <w:rPr>
          <w:rFonts w:ascii="Arial" w:hAnsi="Arial" w:cs="Arial"/>
          <w:color w:val="000000" w:themeColor="text1"/>
          <w:sz w:val="20"/>
          <w:szCs w:val="20"/>
          <w:lang w:val="fr-CA"/>
        </w:rPr>
        <w:t xml:space="preserve"> (B001) </w:t>
      </w:r>
      <w:r>
        <w:rPr>
          <w:rFonts w:ascii="Arial" w:hAnsi="Arial" w:cs="Arial"/>
          <w:sz w:val="20"/>
          <w:szCs w:val="20"/>
          <w:lang w:val="fr-CA"/>
        </w:rPr>
        <w:t>afin de soutenir leurs besoins opérationnels</w:t>
      </w:r>
      <w:r w:rsidRPr="00001E0D">
        <w:rPr>
          <w:rFonts w:ascii="Arial" w:hAnsi="Arial" w:cs="Arial"/>
          <w:sz w:val="20"/>
          <w:szCs w:val="20"/>
          <w:lang w:val="fr-CA"/>
        </w:rPr>
        <w:t xml:space="preserve">. </w:t>
      </w:r>
    </w:p>
    <w:p w:rsidR="00362EC8" w:rsidRPr="00001E0D" w:rsidRDefault="00362EC8" w:rsidP="00362EC8">
      <w:pPr>
        <w:rPr>
          <w:rFonts w:ascii="Arial" w:hAnsi="Arial" w:cs="Arial"/>
          <w:sz w:val="20"/>
          <w:szCs w:val="20"/>
          <w:lang w:val="fr-CA"/>
        </w:rPr>
      </w:pPr>
      <w:r w:rsidRPr="003D3BBD">
        <w:rPr>
          <w:rFonts w:ascii="Arial" w:hAnsi="Arial" w:cs="Arial"/>
          <w:sz w:val="20"/>
          <w:szCs w:val="20"/>
          <w:lang w:val="fr-CA"/>
        </w:rPr>
        <w:t>Nonobstant les lignes directrices ci-dessus, toutes les dépenses liées aux activités d'apprentissage, de formation et de développement pour lesquelles la source de financement est consacrée à des fins spécifiques doivent être codées dans son Fonds spécifique, le cas échéant.</w:t>
      </w:r>
      <w:r w:rsidRPr="003C520C">
        <w:rPr>
          <w:lang w:val="fr-CA"/>
        </w:rPr>
        <w:t xml:space="preserve"> </w:t>
      </w:r>
      <w:r w:rsidRPr="002464EA">
        <w:rPr>
          <w:rFonts w:ascii="Arial" w:hAnsi="Arial" w:cs="Arial"/>
          <w:sz w:val="20"/>
          <w:szCs w:val="20"/>
          <w:lang w:val="fr-CA"/>
        </w:rPr>
        <w:t>Par exemple, le Fonds B005 (passeport) doit être utilisé pour coder toutes les activités de formation et d'apprentissage pour les employés de passeport.</w:t>
      </w:r>
    </w:p>
    <w:p w:rsidR="00362EC8" w:rsidRDefault="00362EC8" w:rsidP="00362EC8">
      <w:pPr>
        <w:rPr>
          <w:rFonts w:ascii="Arial" w:hAnsi="Arial" w:cs="Arial"/>
          <w:sz w:val="20"/>
          <w:szCs w:val="20"/>
          <w:lang w:val="fr-CA"/>
        </w:rPr>
      </w:pPr>
    </w:p>
    <w:p w:rsidR="00B9516F" w:rsidRPr="00001E0D" w:rsidRDefault="00B9516F" w:rsidP="00362EC8">
      <w:pPr>
        <w:rPr>
          <w:rFonts w:ascii="Arial" w:hAnsi="Arial" w:cs="Arial"/>
          <w:sz w:val="20"/>
          <w:szCs w:val="20"/>
          <w:lang w:val="fr-CA"/>
        </w:rPr>
      </w:pPr>
    </w:p>
    <w:p w:rsidR="00362EC8" w:rsidRPr="00001E0D" w:rsidRDefault="00362EC8" w:rsidP="00362EC8">
      <w:pPr>
        <w:rPr>
          <w:rFonts w:ascii="Arial" w:hAnsi="Arial" w:cs="Arial"/>
          <w:b/>
          <w:sz w:val="20"/>
          <w:szCs w:val="20"/>
          <w:lang w:val="fr-CA"/>
        </w:rPr>
      </w:pPr>
      <w:r>
        <w:rPr>
          <w:rFonts w:ascii="Arial" w:hAnsi="Arial" w:cs="Arial"/>
          <w:b/>
          <w:sz w:val="20"/>
          <w:szCs w:val="20"/>
          <w:lang w:val="fr-CA"/>
        </w:rPr>
        <w:lastRenderedPageBreak/>
        <w:t>Dépenses en matière de voyages, d’accueil, de conférences et d’événements</w:t>
      </w:r>
    </w:p>
    <w:p w:rsidR="00362EC8" w:rsidRDefault="00362EC8" w:rsidP="00362EC8">
      <w:pPr>
        <w:rPr>
          <w:rFonts w:ascii="Arial" w:hAnsi="Arial" w:cs="Arial"/>
          <w:sz w:val="20"/>
          <w:szCs w:val="20"/>
          <w:lang w:val="fr-CA"/>
        </w:rPr>
      </w:pPr>
      <w:r>
        <w:rPr>
          <w:rFonts w:ascii="Arial" w:hAnsi="Arial" w:cs="Arial"/>
          <w:sz w:val="20"/>
          <w:szCs w:val="20"/>
          <w:lang w:val="fr-CA"/>
        </w:rPr>
        <w:t>En avril 2017, une directive révisée sur les dépenses de voyages, d’accueil, de conférences et d’événements a été publiée. La nouvelle directive continue d’articuler les attentes  et les responsabilités de la gestion dans ces domaines, mais fournit des flexibilités supplémentaires en comparaison avec l’itération précédente.</w:t>
      </w:r>
    </w:p>
    <w:p w:rsidR="00362EC8" w:rsidRDefault="00362EC8" w:rsidP="00362EC8">
      <w:pPr>
        <w:rPr>
          <w:rFonts w:ascii="Arial" w:hAnsi="Arial" w:cs="Arial"/>
          <w:sz w:val="20"/>
          <w:szCs w:val="20"/>
          <w:lang w:val="fr-CA"/>
        </w:rPr>
      </w:pPr>
    </w:p>
    <w:p w:rsidR="00362EC8" w:rsidRDefault="00B9516F" w:rsidP="00362EC8">
      <w:pPr>
        <w:rPr>
          <w:rFonts w:ascii="Arial" w:hAnsi="Arial" w:cs="Arial"/>
          <w:sz w:val="20"/>
          <w:szCs w:val="20"/>
          <w:lang w:val="fr-CA"/>
        </w:rPr>
      </w:pPr>
      <w:r>
        <w:rPr>
          <w:rFonts w:ascii="Arial" w:hAnsi="Arial" w:cs="Arial"/>
          <w:sz w:val="20"/>
          <w:szCs w:val="20"/>
          <w:lang w:val="fr-CA"/>
        </w:rPr>
        <w:t>En vertu de cette directive, le DPF</w:t>
      </w:r>
      <w:r w:rsidR="00362EC8">
        <w:rPr>
          <w:rFonts w:ascii="Arial" w:hAnsi="Arial" w:cs="Arial"/>
          <w:sz w:val="20"/>
          <w:szCs w:val="20"/>
          <w:lang w:val="fr-CA"/>
        </w:rPr>
        <w:t xml:space="preserve"> doit approuver les budgets ministériels pour les voyages, l’accueil et les conférences dans le cadre de l’approbation du budget annuel du </w:t>
      </w:r>
      <w:r w:rsidR="00A65707">
        <w:rPr>
          <w:rFonts w:ascii="Arial" w:hAnsi="Arial" w:cs="Arial"/>
          <w:sz w:val="20"/>
          <w:szCs w:val="20"/>
          <w:lang w:val="fr-CA"/>
        </w:rPr>
        <w:t>ministère</w:t>
      </w:r>
      <w:r w:rsidR="00362EC8">
        <w:rPr>
          <w:rFonts w:ascii="Arial" w:hAnsi="Arial" w:cs="Arial"/>
          <w:sz w:val="20"/>
          <w:szCs w:val="20"/>
          <w:lang w:val="fr-CA"/>
        </w:rPr>
        <w:t xml:space="preserve">. Il fournit également des directives claires aux gestionnaires pour s’assurer que les propositions de dépenses individuelles sont nécessaires, appropriées et raisonnables afin d’atteindre le mandat et les priorités du </w:t>
      </w:r>
      <w:r w:rsidR="00A65707">
        <w:rPr>
          <w:rFonts w:ascii="Arial" w:hAnsi="Arial" w:cs="Arial"/>
          <w:sz w:val="20"/>
          <w:szCs w:val="20"/>
          <w:lang w:val="fr-CA"/>
        </w:rPr>
        <w:t>ministère</w:t>
      </w:r>
      <w:r w:rsidR="00362EC8">
        <w:rPr>
          <w:rFonts w:ascii="Arial" w:hAnsi="Arial" w:cs="Arial"/>
          <w:sz w:val="20"/>
          <w:szCs w:val="20"/>
          <w:lang w:val="fr-CA"/>
        </w:rPr>
        <w:t xml:space="preserve"> et, que les solutions alternat</w:t>
      </w:r>
      <w:r>
        <w:rPr>
          <w:rFonts w:ascii="Arial" w:hAnsi="Arial" w:cs="Arial"/>
          <w:sz w:val="20"/>
          <w:szCs w:val="20"/>
          <w:lang w:val="fr-CA"/>
        </w:rPr>
        <w:t>ives les plus économiques sont considérés</w:t>
      </w:r>
      <w:r w:rsidR="00362EC8">
        <w:rPr>
          <w:rFonts w:ascii="Arial" w:hAnsi="Arial" w:cs="Arial"/>
          <w:sz w:val="20"/>
          <w:szCs w:val="20"/>
          <w:lang w:val="fr-CA"/>
        </w:rPr>
        <w:t xml:space="preserve"> autant que possible.</w:t>
      </w:r>
    </w:p>
    <w:p w:rsidR="00B9516F" w:rsidRDefault="00B9516F" w:rsidP="00362EC8">
      <w:pPr>
        <w:rPr>
          <w:rFonts w:ascii="Arial" w:hAnsi="Arial" w:cs="Arial"/>
          <w:sz w:val="20"/>
          <w:szCs w:val="20"/>
          <w:lang w:val="fr-CA"/>
        </w:rPr>
      </w:pPr>
    </w:p>
    <w:p w:rsidR="00362EC8" w:rsidRDefault="00362EC8" w:rsidP="00362EC8">
      <w:pPr>
        <w:rPr>
          <w:rFonts w:ascii="Arial" w:hAnsi="Arial" w:cs="Arial"/>
          <w:sz w:val="20"/>
          <w:szCs w:val="20"/>
          <w:lang w:val="fr-CA"/>
        </w:rPr>
      </w:pPr>
      <w:r w:rsidRPr="008F629B">
        <w:rPr>
          <w:rFonts w:ascii="Arial" w:hAnsi="Arial" w:cs="Arial"/>
          <w:sz w:val="20"/>
          <w:szCs w:val="20"/>
          <w:lang w:val="fr-CA"/>
        </w:rPr>
        <w:t xml:space="preserve">La directive exige également que les </w:t>
      </w:r>
      <w:r w:rsidR="00B9516F">
        <w:rPr>
          <w:rFonts w:ascii="Arial" w:hAnsi="Arial" w:cs="Arial"/>
          <w:sz w:val="20"/>
          <w:szCs w:val="20"/>
          <w:lang w:val="fr-CA"/>
        </w:rPr>
        <w:t>ministère</w:t>
      </w:r>
      <w:r w:rsidRPr="008F629B">
        <w:rPr>
          <w:rFonts w:ascii="Arial" w:hAnsi="Arial" w:cs="Arial"/>
          <w:sz w:val="20"/>
          <w:szCs w:val="20"/>
          <w:lang w:val="fr-CA"/>
        </w:rPr>
        <w:t>s rendent compte publiquement de leurs dépenses annuelles totales pour les voyages, l'accueil et les conférences, ainsi que les principales explications de variance par rapport aux totaux de l'année précédente.</w:t>
      </w:r>
    </w:p>
    <w:p w:rsidR="00362EC8" w:rsidRDefault="00362EC8" w:rsidP="00362EC8">
      <w:pPr>
        <w:rPr>
          <w:rFonts w:ascii="Arial" w:hAnsi="Arial" w:cs="Arial"/>
          <w:sz w:val="20"/>
          <w:szCs w:val="20"/>
          <w:lang w:val="fr-CA"/>
        </w:rPr>
      </w:pPr>
    </w:p>
    <w:p w:rsidR="00362EC8" w:rsidRDefault="00B9516F" w:rsidP="00362EC8">
      <w:pPr>
        <w:rPr>
          <w:rFonts w:ascii="Arial" w:hAnsi="Arial" w:cs="Arial"/>
          <w:sz w:val="20"/>
          <w:szCs w:val="20"/>
          <w:lang w:val="fr-CA"/>
        </w:rPr>
      </w:pPr>
      <w:r>
        <w:rPr>
          <w:rFonts w:ascii="Arial" w:hAnsi="Arial" w:cs="Arial"/>
          <w:sz w:val="20"/>
          <w:szCs w:val="20"/>
          <w:lang w:val="fr-CA"/>
        </w:rPr>
        <w:t>À cette fin, à chaque exercice</w:t>
      </w:r>
      <w:r w:rsidR="00362EC8" w:rsidRPr="008F629B">
        <w:rPr>
          <w:rFonts w:ascii="Arial" w:hAnsi="Arial" w:cs="Arial"/>
          <w:sz w:val="20"/>
          <w:szCs w:val="20"/>
          <w:lang w:val="fr-CA"/>
        </w:rPr>
        <w:t xml:space="preserve"> </w:t>
      </w:r>
      <w:r w:rsidRPr="008F629B">
        <w:rPr>
          <w:rFonts w:ascii="Arial" w:hAnsi="Arial" w:cs="Arial"/>
          <w:sz w:val="20"/>
          <w:szCs w:val="20"/>
          <w:lang w:val="fr-CA"/>
        </w:rPr>
        <w:t>financier</w:t>
      </w:r>
      <w:r w:rsidR="00362EC8" w:rsidRPr="008F629B">
        <w:rPr>
          <w:rFonts w:ascii="Arial" w:hAnsi="Arial" w:cs="Arial"/>
          <w:sz w:val="20"/>
          <w:szCs w:val="20"/>
          <w:lang w:val="fr-CA"/>
        </w:rPr>
        <w:t>, un plafond de dépenses unique pour les voyages, l'accueil et les conférences, pour chaque branch</w:t>
      </w:r>
      <w:r>
        <w:rPr>
          <w:rFonts w:ascii="Arial" w:hAnsi="Arial" w:cs="Arial"/>
          <w:sz w:val="20"/>
          <w:szCs w:val="20"/>
          <w:lang w:val="fr-CA"/>
        </w:rPr>
        <w:t>e et région, est</w:t>
      </w:r>
      <w:r w:rsidR="00362EC8">
        <w:rPr>
          <w:rFonts w:ascii="Arial" w:hAnsi="Arial" w:cs="Arial"/>
          <w:sz w:val="20"/>
          <w:szCs w:val="20"/>
          <w:lang w:val="fr-CA"/>
        </w:rPr>
        <w:t xml:space="preserve"> présenté à CGP</w:t>
      </w:r>
      <w:r w:rsidR="00362EC8" w:rsidRPr="008F629B">
        <w:rPr>
          <w:rFonts w:ascii="Arial" w:hAnsi="Arial" w:cs="Arial"/>
          <w:sz w:val="20"/>
          <w:szCs w:val="20"/>
          <w:lang w:val="fr-CA"/>
        </w:rPr>
        <w:t xml:space="preserve"> pour approbation dans le cadre du processus d'allocation budgétaire initiale. À la suite de l'approbation du plafond, les rapports seront communiqués périodiq</w:t>
      </w:r>
      <w:r w:rsidR="00362EC8">
        <w:rPr>
          <w:rFonts w:ascii="Arial" w:hAnsi="Arial" w:cs="Arial"/>
          <w:sz w:val="20"/>
          <w:szCs w:val="20"/>
          <w:lang w:val="fr-CA"/>
        </w:rPr>
        <w:t>uement à la haute direction (SMA</w:t>
      </w:r>
      <w:r w:rsidR="00362EC8" w:rsidRPr="008F629B">
        <w:rPr>
          <w:rFonts w:ascii="Arial" w:hAnsi="Arial" w:cs="Arial"/>
          <w:sz w:val="20"/>
          <w:szCs w:val="20"/>
          <w:lang w:val="fr-CA"/>
        </w:rPr>
        <w:t xml:space="preserve"> et </w:t>
      </w:r>
      <w:r w:rsidR="00362EC8">
        <w:rPr>
          <w:rFonts w:ascii="Arial" w:hAnsi="Arial" w:cs="Arial"/>
          <w:sz w:val="20"/>
          <w:szCs w:val="20"/>
          <w:lang w:val="fr-CA"/>
        </w:rPr>
        <w:t>CDGS</w:t>
      </w:r>
      <w:r w:rsidR="00362EC8" w:rsidRPr="008F629B">
        <w:rPr>
          <w:rFonts w:ascii="Arial" w:hAnsi="Arial" w:cs="Arial"/>
          <w:sz w:val="20"/>
          <w:szCs w:val="20"/>
          <w:lang w:val="fr-CA"/>
        </w:rPr>
        <w:t>) par le directeur financier, à des fins de surveillance et pour s'assurer que les plafonds sont respectés, les problèmes sont identifiés et que les ajustements sont effectués selon le cas.</w:t>
      </w:r>
    </w:p>
    <w:p w:rsidR="00362EC8" w:rsidRPr="00001E0D" w:rsidRDefault="00362EC8" w:rsidP="00362EC8">
      <w:pPr>
        <w:rPr>
          <w:rFonts w:ascii="Arial" w:hAnsi="Arial" w:cs="Arial"/>
          <w:sz w:val="20"/>
          <w:szCs w:val="20"/>
          <w:lang w:val="fr-CA"/>
        </w:rPr>
      </w:pPr>
    </w:p>
    <w:p w:rsidR="00362EC8" w:rsidRPr="00001E0D" w:rsidRDefault="00362EC8" w:rsidP="00362EC8">
      <w:pPr>
        <w:rPr>
          <w:rFonts w:ascii="Arial" w:hAnsi="Arial" w:cs="Arial"/>
          <w:sz w:val="20"/>
          <w:szCs w:val="20"/>
          <w:lang w:val="fr-CA"/>
        </w:rPr>
      </w:pPr>
      <w:bookmarkStart w:id="67" w:name="ciii"/>
      <w:bookmarkEnd w:id="67"/>
    </w:p>
    <w:p w:rsidR="00362EC8" w:rsidRPr="00001E0D" w:rsidRDefault="00362EC8" w:rsidP="00362EC8">
      <w:pPr>
        <w:rPr>
          <w:rFonts w:ascii="Arial" w:hAnsi="Arial" w:cs="Arial"/>
          <w:b/>
          <w:sz w:val="20"/>
          <w:szCs w:val="20"/>
          <w:lang w:val="fr-CA"/>
        </w:rPr>
      </w:pPr>
      <w:r>
        <w:rPr>
          <w:rFonts w:ascii="Arial" w:hAnsi="Arial" w:cs="Arial"/>
          <w:b/>
          <w:sz w:val="20"/>
          <w:szCs w:val="20"/>
          <w:lang w:val="fr-CA"/>
        </w:rPr>
        <w:t>Paiements législatifs</w:t>
      </w:r>
    </w:p>
    <w:p w:rsidR="00362EC8" w:rsidRPr="00001E0D" w:rsidRDefault="00362EC8" w:rsidP="00362EC8">
      <w:pPr>
        <w:rPr>
          <w:rFonts w:ascii="Arial" w:hAnsi="Arial" w:cs="Arial"/>
          <w:sz w:val="20"/>
          <w:szCs w:val="20"/>
          <w:lang w:val="fr-CA"/>
        </w:rPr>
      </w:pPr>
      <w:r>
        <w:rPr>
          <w:rFonts w:ascii="Arial" w:hAnsi="Arial" w:cs="Arial"/>
          <w:color w:val="000000" w:themeColor="text1"/>
          <w:sz w:val="20"/>
          <w:szCs w:val="20"/>
          <w:lang w:val="fr-CA"/>
        </w:rPr>
        <w:t>Le système maSGE</w:t>
      </w:r>
      <w:r w:rsidRPr="00001E0D">
        <w:rPr>
          <w:rFonts w:ascii="Arial" w:hAnsi="Arial" w:cs="Arial"/>
          <w:sz w:val="20"/>
          <w:szCs w:val="20"/>
          <w:lang w:val="fr-CA"/>
        </w:rPr>
        <w:t xml:space="preserve"> </w:t>
      </w:r>
      <w:r w:rsidRPr="002F5885">
        <w:rPr>
          <w:rFonts w:ascii="Arial" w:hAnsi="Arial" w:cs="Arial"/>
          <w:sz w:val="20"/>
          <w:szCs w:val="20"/>
          <w:lang w:val="fr-CA"/>
        </w:rPr>
        <w:t>affiche les montants des dépenses à ce jour pour les diverses catégories de paiements législatifs gérés par EDSC. Ces montants sont saisis au moyen d’une entrée directe, dans certains cas, ou d’une interface provenant du système connexe de prestation de programmes. Ces paiements sont affichés à des fins d’information de gestion, et ils ne font généralement pas l’objet des mêmes mesures de contrôle</w:t>
      </w:r>
      <w:r>
        <w:rPr>
          <w:rFonts w:ascii="Arial" w:hAnsi="Arial" w:cs="Arial"/>
          <w:sz w:val="20"/>
          <w:szCs w:val="20"/>
          <w:lang w:val="fr-CA"/>
        </w:rPr>
        <w:t>s</w:t>
      </w:r>
      <w:r w:rsidRPr="002F5885">
        <w:rPr>
          <w:rFonts w:ascii="Arial" w:hAnsi="Arial" w:cs="Arial"/>
          <w:sz w:val="20"/>
          <w:szCs w:val="20"/>
          <w:lang w:val="fr-CA"/>
        </w:rPr>
        <w:t xml:space="preserve"> budgétaire</w:t>
      </w:r>
      <w:r>
        <w:rPr>
          <w:rFonts w:ascii="Arial" w:hAnsi="Arial" w:cs="Arial"/>
          <w:sz w:val="20"/>
          <w:szCs w:val="20"/>
          <w:lang w:val="fr-CA"/>
        </w:rPr>
        <w:t>s</w:t>
      </w:r>
      <w:r w:rsidRPr="002F5885">
        <w:rPr>
          <w:rFonts w:ascii="Arial" w:hAnsi="Arial" w:cs="Arial"/>
          <w:sz w:val="20"/>
          <w:szCs w:val="20"/>
          <w:lang w:val="fr-CA"/>
        </w:rPr>
        <w:t xml:space="preserve"> et de caisse que les fonds du Trésor</w:t>
      </w:r>
      <w:r>
        <w:rPr>
          <w:rFonts w:ascii="Arial" w:hAnsi="Arial" w:cs="Arial"/>
          <w:sz w:val="20"/>
          <w:szCs w:val="20"/>
          <w:lang w:val="fr-CA"/>
        </w:rPr>
        <w:t>.</w:t>
      </w:r>
    </w:p>
    <w:p w:rsidR="00362EC8" w:rsidRPr="00001E0D" w:rsidRDefault="00362EC8" w:rsidP="00362EC8">
      <w:pPr>
        <w:rPr>
          <w:rFonts w:ascii="Arial" w:hAnsi="Arial" w:cs="Arial"/>
          <w:sz w:val="20"/>
          <w:szCs w:val="20"/>
          <w:lang w:val="fr-CA"/>
        </w:rPr>
      </w:pPr>
    </w:p>
    <w:p w:rsidR="00362EC8" w:rsidRPr="00001E0D" w:rsidRDefault="00362EC8" w:rsidP="00362EC8">
      <w:pPr>
        <w:rPr>
          <w:rFonts w:ascii="Arial" w:hAnsi="Arial" w:cs="Arial"/>
          <w:b/>
          <w:sz w:val="20"/>
          <w:szCs w:val="20"/>
          <w:lang w:val="fr-CA"/>
        </w:rPr>
      </w:pPr>
      <w:bookmarkStart w:id="68" w:name="IIIC4"/>
      <w:bookmarkEnd w:id="68"/>
      <w:r>
        <w:rPr>
          <w:rFonts w:ascii="Arial" w:hAnsi="Arial" w:cs="Arial"/>
          <w:b/>
          <w:sz w:val="20"/>
          <w:szCs w:val="20"/>
          <w:lang w:val="fr-CA"/>
        </w:rPr>
        <w:t>Coûts à gestion centralisée sur CT</w:t>
      </w:r>
    </w:p>
    <w:p w:rsidR="00362EC8" w:rsidRDefault="00362EC8" w:rsidP="00362EC8">
      <w:pPr>
        <w:rPr>
          <w:lang w:val="fr-CA"/>
        </w:rPr>
      </w:pPr>
    </w:p>
    <w:p w:rsidR="00362EC8" w:rsidRPr="00FF628F" w:rsidRDefault="00362EC8" w:rsidP="00362EC8">
      <w:pPr>
        <w:rPr>
          <w:rFonts w:ascii="Arial" w:hAnsi="Arial" w:cs="Arial"/>
          <w:sz w:val="20"/>
          <w:szCs w:val="20"/>
          <w:lang w:val="fr-CA"/>
        </w:rPr>
      </w:pPr>
      <w:r w:rsidRPr="00FF628F">
        <w:rPr>
          <w:rFonts w:ascii="Arial" w:hAnsi="Arial" w:cs="Arial"/>
          <w:sz w:val="20"/>
          <w:szCs w:val="20"/>
          <w:lang w:val="fr-CA"/>
        </w:rPr>
        <w:t>Les coûts à gestion centralisée sont des crédits salariaux qui ne font pas partie des niveaux de référence d’EDSC. Ils comprennent les indemnités de départ, les prestations parentales et de maternité et le paiement intégral des congés annuels lors de la cessation d’emploi. Le CT permet l’accès à un crédit central (crédit 30 du CT) pour payer ces dépenses.</w:t>
      </w:r>
    </w:p>
    <w:p w:rsidR="00362EC8" w:rsidRDefault="00362EC8" w:rsidP="00362EC8">
      <w:pPr>
        <w:rPr>
          <w:lang w:val="fr-CA"/>
        </w:rPr>
      </w:pPr>
    </w:p>
    <w:p w:rsidR="00362EC8" w:rsidRPr="00001E0D" w:rsidRDefault="00362EC8" w:rsidP="00362EC8">
      <w:pPr>
        <w:pStyle w:val="Heading2"/>
        <w:rPr>
          <w:lang w:val="fr-CA"/>
        </w:rPr>
      </w:pPr>
      <w:bookmarkStart w:id="69" w:name="_Toc485812732"/>
      <w:r w:rsidRPr="007B301F">
        <w:rPr>
          <w:lang w:val="fr-CA"/>
        </w:rPr>
        <w:t>3.4. RAPPORT</w:t>
      </w:r>
      <w:r>
        <w:rPr>
          <w:lang w:val="fr-CA"/>
        </w:rPr>
        <w:t xml:space="preserve"> SUR LA GESTION INTERNE</w:t>
      </w:r>
      <w:bookmarkEnd w:id="69"/>
      <w:r w:rsidRPr="00001E0D">
        <w:rPr>
          <w:lang w:val="fr-CA"/>
        </w:rPr>
        <w:t xml:space="preserve"> </w:t>
      </w:r>
    </w:p>
    <w:p w:rsidR="00362EC8" w:rsidRPr="00001E0D" w:rsidRDefault="00362EC8" w:rsidP="00362EC8">
      <w:pPr>
        <w:pStyle w:val="Heading3"/>
        <w:rPr>
          <w:lang w:val="fr-CA"/>
        </w:rPr>
      </w:pPr>
      <w:bookmarkStart w:id="70" w:name="_Toc485812733"/>
      <w:r w:rsidRPr="00001E0D">
        <w:rPr>
          <w:lang w:val="fr-CA"/>
        </w:rPr>
        <w:t xml:space="preserve">3.4.1 </w:t>
      </w:r>
      <w:r>
        <w:rPr>
          <w:lang w:val="fr-CA"/>
        </w:rPr>
        <w:t>Politique prévisionnelle</w:t>
      </w:r>
      <w:bookmarkEnd w:id="70"/>
    </w:p>
    <w:p w:rsidR="00362EC8" w:rsidRPr="00001E0D" w:rsidRDefault="00362EC8" w:rsidP="00362EC8">
      <w:pPr>
        <w:rPr>
          <w:rFonts w:ascii="Arial" w:hAnsi="Arial" w:cs="Arial"/>
          <w:sz w:val="20"/>
          <w:szCs w:val="20"/>
          <w:lang w:val="fr-CA"/>
        </w:rPr>
      </w:pPr>
    </w:p>
    <w:p w:rsidR="00362EC8" w:rsidRPr="00001E0D" w:rsidRDefault="00362EC8" w:rsidP="00362EC8">
      <w:pPr>
        <w:rPr>
          <w:rFonts w:ascii="Arial" w:hAnsi="Arial" w:cs="Arial"/>
          <w:sz w:val="20"/>
          <w:szCs w:val="20"/>
          <w:lang w:val="fr-CA"/>
        </w:rPr>
      </w:pPr>
      <w:r w:rsidRPr="002F5885">
        <w:rPr>
          <w:rFonts w:ascii="Arial" w:hAnsi="Arial" w:cs="Arial"/>
          <w:sz w:val="20"/>
          <w:szCs w:val="20"/>
          <w:lang w:val="fr-CA"/>
        </w:rPr>
        <w:t xml:space="preserve">L’objectif du processus prévisionnel consiste à préparer, de façon périodique au cours de l’année, des prévisions de dépenses annuelles révisées. Ces prévisions révisées facilitent la réaffectation de ressources en fonction des changements apportés aux priorités ainsi que la surveillance de la situation financière du </w:t>
      </w:r>
      <w:r w:rsidR="00A65707">
        <w:rPr>
          <w:rFonts w:ascii="Arial" w:hAnsi="Arial" w:cs="Arial"/>
          <w:sz w:val="20"/>
          <w:szCs w:val="20"/>
          <w:lang w:val="fr-CA"/>
        </w:rPr>
        <w:t>ministère</w:t>
      </w:r>
      <w:r w:rsidRPr="002F5885">
        <w:rPr>
          <w:rFonts w:ascii="Arial" w:hAnsi="Arial" w:cs="Arial"/>
          <w:sz w:val="20"/>
          <w:szCs w:val="20"/>
          <w:lang w:val="fr-CA"/>
        </w:rPr>
        <w:t xml:space="preserve"> de façon à s’assurer que les niveaux de financement ne sont pas dépassés et que le </w:t>
      </w:r>
      <w:r w:rsidR="00A65707">
        <w:rPr>
          <w:rFonts w:ascii="Arial" w:hAnsi="Arial" w:cs="Arial"/>
          <w:sz w:val="20"/>
          <w:szCs w:val="20"/>
          <w:lang w:val="fr-CA"/>
        </w:rPr>
        <w:t>ministère</w:t>
      </w:r>
      <w:r w:rsidRPr="002F5885">
        <w:rPr>
          <w:rFonts w:ascii="Arial" w:hAnsi="Arial" w:cs="Arial"/>
          <w:sz w:val="20"/>
          <w:szCs w:val="20"/>
          <w:lang w:val="fr-CA"/>
        </w:rPr>
        <w:t xml:space="preserve"> utilise au mieux les ressources dont il dispose</w:t>
      </w:r>
      <w:r>
        <w:rPr>
          <w:rFonts w:ascii="Arial" w:hAnsi="Arial" w:cs="Arial"/>
          <w:sz w:val="20"/>
          <w:szCs w:val="20"/>
          <w:lang w:val="fr-CA"/>
        </w:rPr>
        <w:t>.</w:t>
      </w:r>
    </w:p>
    <w:p w:rsidR="00362EC8" w:rsidRPr="00001E0D" w:rsidRDefault="00362EC8" w:rsidP="00362EC8">
      <w:pPr>
        <w:rPr>
          <w:rFonts w:ascii="Arial" w:hAnsi="Arial" w:cs="Arial"/>
          <w:sz w:val="20"/>
          <w:szCs w:val="20"/>
          <w:lang w:val="fr-CA"/>
        </w:rPr>
      </w:pPr>
    </w:p>
    <w:p w:rsidR="00362EC8" w:rsidRPr="00001E0D" w:rsidRDefault="00362EC8" w:rsidP="00362EC8">
      <w:pPr>
        <w:rPr>
          <w:rFonts w:ascii="Arial" w:hAnsi="Arial" w:cs="Arial"/>
          <w:sz w:val="20"/>
          <w:szCs w:val="20"/>
          <w:lang w:val="fr-CA"/>
        </w:rPr>
      </w:pPr>
      <w:r w:rsidRPr="008C0658">
        <w:rPr>
          <w:rFonts w:ascii="Arial" w:hAnsi="Arial" w:cs="Arial"/>
          <w:sz w:val="20"/>
          <w:szCs w:val="20"/>
          <w:lang w:val="fr-CA"/>
        </w:rPr>
        <w:t>Le processus prévisionnel comporte aussi des comptes rendus et des explications des écarts par rapport aux plans et aux budgets à ce jour et de leurs répercussions possibles sur les objectifs de fin d’exercice. Cela favorise une gestion efficace des budgets ainsi que la prise de décisions stratégiques liées aux ressources, y compris la réaffectation de crédits et des prévisions de recouvrement de frais d’administration du Compte d’assurance-emploi et du Compte du RPC</w:t>
      </w:r>
      <w:r w:rsidRPr="00001E0D">
        <w:rPr>
          <w:rFonts w:ascii="Arial" w:hAnsi="Arial" w:cs="Arial"/>
          <w:sz w:val="20"/>
          <w:szCs w:val="20"/>
          <w:lang w:val="fr-CA"/>
        </w:rPr>
        <w:t>.</w:t>
      </w:r>
    </w:p>
    <w:p w:rsidR="00362EC8" w:rsidRPr="00001E0D" w:rsidRDefault="00362EC8" w:rsidP="00362EC8">
      <w:pPr>
        <w:rPr>
          <w:rFonts w:ascii="Arial" w:hAnsi="Arial" w:cs="Arial"/>
          <w:sz w:val="20"/>
          <w:szCs w:val="20"/>
          <w:lang w:val="fr-CA"/>
        </w:rPr>
      </w:pPr>
    </w:p>
    <w:p w:rsidR="00362EC8" w:rsidRPr="00001E0D" w:rsidRDefault="00362EC8" w:rsidP="00362EC8">
      <w:pPr>
        <w:rPr>
          <w:rFonts w:ascii="Arial" w:hAnsi="Arial" w:cs="Arial"/>
          <w:sz w:val="20"/>
          <w:szCs w:val="20"/>
          <w:lang w:val="fr-CA"/>
        </w:rPr>
      </w:pPr>
      <w:r w:rsidRPr="008C0658">
        <w:rPr>
          <w:rFonts w:ascii="Arial" w:hAnsi="Arial" w:cs="Arial"/>
          <w:sz w:val="20"/>
          <w:szCs w:val="20"/>
          <w:lang w:val="fr-CA"/>
        </w:rPr>
        <w:t xml:space="preserve">Le </w:t>
      </w:r>
      <w:r w:rsidR="00A65707">
        <w:rPr>
          <w:rFonts w:ascii="Arial" w:hAnsi="Arial" w:cs="Arial"/>
          <w:sz w:val="20"/>
          <w:szCs w:val="20"/>
          <w:lang w:val="fr-CA"/>
        </w:rPr>
        <w:t>ministère</w:t>
      </w:r>
      <w:r w:rsidRPr="008C0658">
        <w:rPr>
          <w:rFonts w:ascii="Arial" w:hAnsi="Arial" w:cs="Arial"/>
          <w:sz w:val="20"/>
          <w:szCs w:val="20"/>
          <w:lang w:val="fr-CA"/>
        </w:rPr>
        <w:t xml:space="preserve"> procède à des examens financiers périodiques au cours de l’année, aux périodes 3, 6, 8 et 10 et à la fin de l’exercice, afin de surveiller la situation financière et d’assurer une gestion efficace de l’ensemble des ressources. </w:t>
      </w:r>
      <w:r w:rsidRPr="008C0658">
        <w:rPr>
          <w:rFonts w:ascii="Arial" w:hAnsi="Arial" w:cs="Arial"/>
          <w:sz w:val="20"/>
          <w:szCs w:val="20"/>
          <w:lang w:val="fr-CA"/>
        </w:rPr>
        <w:lastRenderedPageBreak/>
        <w:t xml:space="preserve">Ces examens portent sur l’ensemble des activités du </w:t>
      </w:r>
      <w:r w:rsidR="00A65707">
        <w:rPr>
          <w:rFonts w:ascii="Arial" w:hAnsi="Arial" w:cs="Arial"/>
          <w:sz w:val="20"/>
          <w:szCs w:val="20"/>
          <w:lang w:val="fr-CA"/>
        </w:rPr>
        <w:t>ministère</w:t>
      </w:r>
      <w:r w:rsidRPr="008C0658">
        <w:rPr>
          <w:rFonts w:ascii="Arial" w:hAnsi="Arial" w:cs="Arial"/>
          <w:sz w:val="20"/>
          <w:szCs w:val="20"/>
          <w:lang w:val="fr-CA"/>
        </w:rPr>
        <w:t xml:space="preserve"> et de ses sources et mécanismes de financement (p. ex. fonctionnement, S</w:t>
      </w:r>
      <w:r>
        <w:rPr>
          <w:rFonts w:ascii="Arial" w:hAnsi="Arial" w:cs="Arial"/>
          <w:sz w:val="20"/>
          <w:szCs w:val="20"/>
          <w:lang w:val="fr-CA"/>
        </w:rPr>
        <w:t> et </w:t>
      </w:r>
      <w:r w:rsidRPr="008C0658">
        <w:rPr>
          <w:rFonts w:ascii="Arial" w:hAnsi="Arial" w:cs="Arial"/>
          <w:sz w:val="20"/>
          <w:szCs w:val="20"/>
          <w:lang w:val="fr-CA"/>
        </w:rPr>
        <w:t>C votées, partie II de la Loi sur l’assurance-emploi, affectations contrôlées et recouvrements de l’assurance-emploi et du RPC</w:t>
      </w:r>
      <w:r w:rsidRPr="00001E0D">
        <w:rPr>
          <w:rFonts w:ascii="Arial" w:hAnsi="Arial" w:cs="Arial"/>
          <w:sz w:val="20"/>
          <w:szCs w:val="20"/>
          <w:lang w:val="fr-CA"/>
        </w:rPr>
        <w:t>).</w:t>
      </w:r>
    </w:p>
    <w:p w:rsidR="00362EC8" w:rsidRPr="00001E0D" w:rsidRDefault="00362EC8" w:rsidP="00362EC8">
      <w:pPr>
        <w:rPr>
          <w:rFonts w:ascii="Arial" w:hAnsi="Arial" w:cs="Arial"/>
          <w:sz w:val="20"/>
          <w:szCs w:val="20"/>
          <w:lang w:val="fr-CA"/>
        </w:rPr>
      </w:pPr>
    </w:p>
    <w:p w:rsidR="00362EC8" w:rsidRDefault="00362EC8" w:rsidP="00362EC8">
      <w:pPr>
        <w:rPr>
          <w:rFonts w:ascii="Arial" w:hAnsi="Arial" w:cs="Arial"/>
          <w:sz w:val="20"/>
          <w:szCs w:val="20"/>
          <w:lang w:val="fr-CA"/>
        </w:rPr>
      </w:pPr>
      <w:r w:rsidRPr="004E5FE3">
        <w:rPr>
          <w:rFonts w:ascii="Arial" w:hAnsi="Arial" w:cs="Arial"/>
          <w:sz w:val="20"/>
          <w:szCs w:val="20"/>
          <w:lang w:val="fr-CA"/>
        </w:rPr>
        <w:t xml:space="preserve">Toutes les directions générales et les régions doivent préparer et soumettre des prévisions périodiques indiquant leurs besoins financiers </w:t>
      </w:r>
      <w:r w:rsidR="00B9516F">
        <w:rPr>
          <w:rFonts w:ascii="Arial" w:hAnsi="Arial" w:cs="Arial"/>
          <w:sz w:val="20"/>
          <w:szCs w:val="20"/>
          <w:lang w:val="fr-CA"/>
        </w:rPr>
        <w:t>jusqu’à</w:t>
      </w:r>
      <w:r w:rsidRPr="004E5FE3">
        <w:rPr>
          <w:rFonts w:ascii="Arial" w:hAnsi="Arial" w:cs="Arial"/>
          <w:sz w:val="20"/>
          <w:szCs w:val="20"/>
          <w:lang w:val="fr-CA"/>
        </w:rPr>
        <w:t xml:space="preserve"> la fin de l’exercice en cours. Les prévisions devraient être fondées sur les dépenses cumulatives à ce jour, ainsi que sur les engagements non réglés de l’exercice en cours et les dépenses prévues </w:t>
      </w:r>
      <w:r w:rsidR="00B9516F">
        <w:rPr>
          <w:rFonts w:ascii="Arial" w:hAnsi="Arial" w:cs="Arial"/>
          <w:sz w:val="20"/>
          <w:szCs w:val="20"/>
          <w:lang w:val="fr-CA"/>
        </w:rPr>
        <w:t>jusqu’</w:t>
      </w:r>
      <w:r w:rsidRPr="004E5FE3">
        <w:rPr>
          <w:rFonts w:ascii="Arial" w:hAnsi="Arial" w:cs="Arial"/>
          <w:sz w:val="20"/>
          <w:szCs w:val="20"/>
          <w:lang w:val="fr-CA"/>
        </w:rPr>
        <w:t xml:space="preserve"> la fin de l’exercice</w:t>
      </w:r>
      <w:r w:rsidRPr="00001E0D">
        <w:rPr>
          <w:rFonts w:ascii="Arial" w:hAnsi="Arial" w:cs="Arial"/>
          <w:sz w:val="20"/>
          <w:szCs w:val="20"/>
          <w:lang w:val="fr-CA"/>
        </w:rPr>
        <w:t>.</w:t>
      </w:r>
    </w:p>
    <w:p w:rsidR="00362EC8" w:rsidRDefault="00362EC8" w:rsidP="00362EC8">
      <w:pPr>
        <w:rPr>
          <w:rFonts w:ascii="Arial" w:hAnsi="Arial" w:cs="Arial"/>
          <w:sz w:val="20"/>
          <w:szCs w:val="20"/>
          <w:lang w:val="fr-CA"/>
        </w:rPr>
      </w:pPr>
    </w:p>
    <w:p w:rsidR="00362EC8" w:rsidRDefault="00362EC8" w:rsidP="00362EC8">
      <w:pPr>
        <w:rPr>
          <w:rFonts w:ascii="Arial" w:hAnsi="Arial" w:cs="Arial"/>
          <w:sz w:val="20"/>
          <w:szCs w:val="20"/>
          <w:lang w:val="fr-CA"/>
        </w:rPr>
      </w:pPr>
      <w:r w:rsidRPr="00F16174">
        <w:rPr>
          <w:rFonts w:ascii="Arial" w:hAnsi="Arial" w:cs="Arial"/>
          <w:sz w:val="20"/>
          <w:szCs w:val="20"/>
          <w:lang w:val="fr-CA"/>
        </w:rPr>
        <w:t>Après chaque exerc</w:t>
      </w:r>
      <w:r>
        <w:rPr>
          <w:rFonts w:ascii="Arial" w:hAnsi="Arial" w:cs="Arial"/>
          <w:sz w:val="20"/>
          <w:szCs w:val="20"/>
          <w:lang w:val="fr-CA"/>
        </w:rPr>
        <w:t xml:space="preserve">ice, la situation financière du </w:t>
      </w:r>
      <w:r w:rsidR="00A65707">
        <w:rPr>
          <w:rFonts w:ascii="Arial" w:hAnsi="Arial" w:cs="Arial"/>
          <w:sz w:val="20"/>
          <w:szCs w:val="20"/>
          <w:lang w:val="fr-CA"/>
        </w:rPr>
        <w:t>ministère</w:t>
      </w:r>
      <w:r w:rsidRPr="00F16174">
        <w:rPr>
          <w:rFonts w:ascii="Arial" w:hAnsi="Arial" w:cs="Arial"/>
          <w:sz w:val="20"/>
          <w:szCs w:val="20"/>
          <w:lang w:val="fr-CA"/>
        </w:rPr>
        <w:t xml:space="preserve"> est examinée et des recommandations sont faites sur les réaffectations éventuelles. Ces réaffectations sont discutées dans le contexte des priorités du portefeuille, des opportunités d'investissement stratégiques et des pressions de financement auxquelles le </w:t>
      </w:r>
      <w:r w:rsidR="00B9516F">
        <w:rPr>
          <w:rFonts w:ascii="Arial" w:hAnsi="Arial" w:cs="Arial"/>
          <w:sz w:val="20"/>
          <w:szCs w:val="20"/>
          <w:lang w:val="fr-CA"/>
        </w:rPr>
        <w:t>ministère</w:t>
      </w:r>
      <w:r w:rsidRPr="00F16174">
        <w:rPr>
          <w:rFonts w:ascii="Arial" w:hAnsi="Arial" w:cs="Arial"/>
          <w:sz w:val="20"/>
          <w:szCs w:val="20"/>
          <w:lang w:val="fr-CA"/>
        </w:rPr>
        <w:t xml:space="preserve"> est confronté</w:t>
      </w:r>
      <w:r>
        <w:rPr>
          <w:rFonts w:ascii="Arial" w:hAnsi="Arial" w:cs="Arial"/>
          <w:sz w:val="20"/>
          <w:szCs w:val="20"/>
          <w:lang w:val="fr-CA"/>
        </w:rPr>
        <w:t>.</w:t>
      </w:r>
    </w:p>
    <w:p w:rsidR="00362EC8" w:rsidRDefault="00362EC8" w:rsidP="00362EC8">
      <w:pPr>
        <w:rPr>
          <w:rFonts w:ascii="Arial" w:hAnsi="Arial" w:cs="Arial"/>
          <w:sz w:val="20"/>
          <w:szCs w:val="20"/>
          <w:lang w:val="fr-CA"/>
        </w:rPr>
      </w:pPr>
    </w:p>
    <w:p w:rsidR="00362EC8" w:rsidRDefault="00362EC8" w:rsidP="00362EC8">
      <w:pPr>
        <w:rPr>
          <w:rFonts w:ascii="Arial" w:hAnsi="Arial" w:cs="Arial"/>
          <w:sz w:val="20"/>
          <w:szCs w:val="20"/>
          <w:lang w:val="fr-CA"/>
        </w:rPr>
      </w:pPr>
      <w:r w:rsidRPr="00F16174">
        <w:rPr>
          <w:rFonts w:ascii="Arial" w:hAnsi="Arial" w:cs="Arial"/>
          <w:sz w:val="20"/>
          <w:szCs w:val="20"/>
          <w:lang w:val="fr-CA"/>
        </w:rPr>
        <w:t>Les opportunités d'investissement stratégiques identifiées ont généralement les caractéristiques suivantes:</w:t>
      </w:r>
    </w:p>
    <w:p w:rsidR="00362EC8" w:rsidRDefault="00362EC8" w:rsidP="00362EC8">
      <w:pPr>
        <w:pStyle w:val="ListParagraph"/>
        <w:numPr>
          <w:ilvl w:val="0"/>
          <w:numId w:val="12"/>
        </w:numPr>
        <w:rPr>
          <w:rFonts w:ascii="Arial" w:hAnsi="Arial" w:cs="Arial"/>
          <w:sz w:val="20"/>
          <w:szCs w:val="20"/>
          <w:lang w:val="fr-CA"/>
        </w:rPr>
      </w:pPr>
      <w:r>
        <w:rPr>
          <w:rFonts w:ascii="Arial" w:hAnsi="Arial" w:cs="Arial"/>
          <w:sz w:val="20"/>
          <w:szCs w:val="20"/>
          <w:lang w:val="fr-CA"/>
        </w:rPr>
        <w:t xml:space="preserve">peut être réalisée avant la fin de l’exercice financier – les marchandises livrées et/ou les services rendus avant le 31 mars; </w:t>
      </w:r>
    </w:p>
    <w:p w:rsidR="00362EC8" w:rsidRDefault="00362EC8" w:rsidP="00362EC8">
      <w:pPr>
        <w:pStyle w:val="ListParagraph"/>
        <w:numPr>
          <w:ilvl w:val="0"/>
          <w:numId w:val="12"/>
        </w:numPr>
        <w:rPr>
          <w:rFonts w:ascii="Arial" w:hAnsi="Arial" w:cs="Arial"/>
          <w:sz w:val="20"/>
          <w:szCs w:val="20"/>
          <w:lang w:val="fr-CA"/>
        </w:rPr>
      </w:pPr>
      <w:r>
        <w:rPr>
          <w:rFonts w:ascii="Arial" w:hAnsi="Arial" w:cs="Arial"/>
          <w:sz w:val="20"/>
          <w:szCs w:val="20"/>
          <w:lang w:val="fr-CA"/>
        </w:rPr>
        <w:t xml:space="preserve">fournit une bonne utilisation des ressources du </w:t>
      </w:r>
      <w:r w:rsidR="00A65707">
        <w:rPr>
          <w:rFonts w:ascii="Arial" w:hAnsi="Arial" w:cs="Arial"/>
          <w:sz w:val="20"/>
          <w:szCs w:val="20"/>
          <w:lang w:val="fr-CA"/>
        </w:rPr>
        <w:t>ministère</w:t>
      </w:r>
      <w:r>
        <w:rPr>
          <w:rFonts w:ascii="Arial" w:hAnsi="Arial" w:cs="Arial"/>
          <w:sz w:val="20"/>
          <w:szCs w:val="20"/>
          <w:lang w:val="fr-CA"/>
        </w:rPr>
        <w:t>; et</w:t>
      </w:r>
    </w:p>
    <w:p w:rsidR="00362EC8" w:rsidRPr="003C520C" w:rsidRDefault="00362EC8" w:rsidP="00362EC8">
      <w:pPr>
        <w:pStyle w:val="ListParagraph"/>
        <w:numPr>
          <w:ilvl w:val="0"/>
          <w:numId w:val="12"/>
        </w:numPr>
        <w:rPr>
          <w:rFonts w:ascii="Arial" w:hAnsi="Arial" w:cs="Arial"/>
          <w:sz w:val="20"/>
          <w:szCs w:val="20"/>
          <w:lang w:val="fr-CA"/>
        </w:rPr>
      </w:pPr>
      <w:r>
        <w:rPr>
          <w:rFonts w:ascii="Arial" w:hAnsi="Arial" w:cs="Arial"/>
          <w:sz w:val="20"/>
          <w:szCs w:val="20"/>
          <w:lang w:val="fr-CA"/>
        </w:rPr>
        <w:t>ne se traduit pas par un besoin de financement continu à moins qu’il y ait des circonstances extraordinaires.</w:t>
      </w:r>
    </w:p>
    <w:p w:rsidR="00362EC8" w:rsidRPr="00001E0D" w:rsidRDefault="00362EC8" w:rsidP="00362EC8">
      <w:pPr>
        <w:rPr>
          <w:rFonts w:ascii="Arial" w:hAnsi="Arial" w:cs="Arial"/>
          <w:sz w:val="20"/>
          <w:szCs w:val="20"/>
          <w:lang w:val="fr-CA"/>
        </w:rPr>
      </w:pPr>
    </w:p>
    <w:p w:rsidR="00362EC8" w:rsidRPr="00001E0D" w:rsidRDefault="00362EC8" w:rsidP="00362EC8">
      <w:pPr>
        <w:rPr>
          <w:rFonts w:ascii="Arial" w:hAnsi="Arial" w:cs="Arial"/>
          <w:sz w:val="20"/>
          <w:szCs w:val="20"/>
          <w:lang w:val="fr-CA"/>
        </w:rPr>
      </w:pPr>
      <w:r w:rsidRPr="004E5FE3">
        <w:rPr>
          <w:rFonts w:ascii="Arial" w:hAnsi="Arial" w:cs="Arial"/>
          <w:sz w:val="20"/>
          <w:szCs w:val="20"/>
          <w:lang w:val="fr-CA"/>
        </w:rPr>
        <w:t xml:space="preserve">À l’appui de ces examens périodiques, des </w:t>
      </w:r>
      <w:hyperlink r:id="rId43" w:history="1">
        <w:r w:rsidRPr="005E0B89">
          <w:rPr>
            <w:rStyle w:val="Hyperlink"/>
            <w:rFonts w:ascii="Arial" w:hAnsi="Arial" w:cs="Arial"/>
            <w:sz w:val="20"/>
            <w:szCs w:val="20"/>
            <w:lang w:val="fr-CA"/>
          </w:rPr>
          <w:t>lignes directrices</w:t>
        </w:r>
      </w:hyperlink>
      <w:r w:rsidRPr="004E5FE3">
        <w:rPr>
          <w:rFonts w:ascii="Arial" w:hAnsi="Arial" w:cs="Arial"/>
          <w:sz w:val="20"/>
          <w:szCs w:val="20"/>
          <w:lang w:val="fr-CA"/>
        </w:rPr>
        <w:t xml:space="preserve"> expliquant les exigences interne</w:t>
      </w:r>
      <w:r>
        <w:rPr>
          <w:rFonts w:ascii="Arial" w:hAnsi="Arial" w:cs="Arial"/>
          <w:sz w:val="20"/>
          <w:szCs w:val="20"/>
          <w:lang w:val="fr-CA"/>
        </w:rPr>
        <w:t>s</w:t>
      </w:r>
      <w:r w:rsidRPr="004E5FE3">
        <w:rPr>
          <w:rFonts w:ascii="Arial" w:hAnsi="Arial" w:cs="Arial"/>
          <w:sz w:val="20"/>
          <w:szCs w:val="20"/>
          <w:lang w:val="fr-CA"/>
        </w:rPr>
        <w:t xml:space="preserve"> en matière de compte rendu et les processus administratifs pour les prévisions financières ainsi que la présentation de l’information financière au sein du </w:t>
      </w:r>
      <w:r w:rsidR="00A65707">
        <w:rPr>
          <w:rFonts w:ascii="Arial" w:hAnsi="Arial" w:cs="Arial"/>
          <w:sz w:val="20"/>
          <w:szCs w:val="20"/>
          <w:lang w:val="fr-CA"/>
        </w:rPr>
        <w:t>ministère</w:t>
      </w:r>
      <w:r w:rsidRPr="004E5FE3">
        <w:rPr>
          <w:rFonts w:ascii="Arial" w:hAnsi="Arial" w:cs="Arial"/>
          <w:sz w:val="20"/>
          <w:szCs w:val="20"/>
          <w:lang w:val="fr-CA"/>
        </w:rPr>
        <w:t xml:space="preserve"> sont mises en place. Elles aident les directions générales et les régions à élaborer leurs prévisions et décrivent la marche à suivre, les responsabilités et les attentes de la direction à cet égard. Des outils normalisés de soutien et des </w:t>
      </w:r>
      <w:r>
        <w:rPr>
          <w:rFonts w:ascii="Arial" w:hAnsi="Arial" w:cs="Arial"/>
          <w:sz w:val="20"/>
          <w:szCs w:val="20"/>
          <w:lang w:val="fr-CA"/>
        </w:rPr>
        <w:t>gabarits</w:t>
      </w:r>
      <w:r w:rsidRPr="004E5FE3">
        <w:rPr>
          <w:rFonts w:ascii="Arial" w:hAnsi="Arial" w:cs="Arial"/>
          <w:sz w:val="20"/>
          <w:szCs w:val="20"/>
          <w:lang w:val="fr-CA"/>
        </w:rPr>
        <w:t xml:space="preserve"> assurent une approche uniforme et cohérente dans l’ensemble du </w:t>
      </w:r>
      <w:r w:rsidR="00A65707">
        <w:rPr>
          <w:rFonts w:ascii="Arial" w:hAnsi="Arial" w:cs="Arial"/>
          <w:sz w:val="20"/>
          <w:szCs w:val="20"/>
          <w:lang w:val="fr-CA"/>
        </w:rPr>
        <w:t>ministère</w:t>
      </w:r>
      <w:r w:rsidRPr="004E5FE3">
        <w:rPr>
          <w:rFonts w:ascii="Arial" w:hAnsi="Arial" w:cs="Arial"/>
          <w:sz w:val="20"/>
          <w:szCs w:val="20"/>
          <w:lang w:val="fr-CA"/>
        </w:rPr>
        <w:t xml:space="preserve"> et garantissent des prévisions fondées sur des renseignements financiers fiables, logiques et exacts</w:t>
      </w:r>
      <w:r w:rsidRPr="00001E0D">
        <w:rPr>
          <w:rFonts w:ascii="Arial" w:hAnsi="Arial" w:cs="Arial"/>
          <w:sz w:val="20"/>
          <w:szCs w:val="20"/>
          <w:lang w:val="fr-CA"/>
        </w:rPr>
        <w:t>.</w:t>
      </w:r>
    </w:p>
    <w:p w:rsidR="00362EC8" w:rsidRPr="00001E0D" w:rsidRDefault="00362EC8" w:rsidP="00362EC8">
      <w:pPr>
        <w:rPr>
          <w:rFonts w:ascii="Arial" w:hAnsi="Arial" w:cs="Arial"/>
          <w:sz w:val="20"/>
          <w:szCs w:val="20"/>
          <w:lang w:val="fr-CA"/>
        </w:rPr>
      </w:pPr>
    </w:p>
    <w:p w:rsidR="00362EC8" w:rsidRPr="00890265" w:rsidRDefault="00362EC8" w:rsidP="00362EC8">
      <w:pPr>
        <w:rPr>
          <w:rFonts w:ascii="Arial" w:hAnsi="Arial" w:cs="Arial"/>
          <w:color w:val="000000" w:themeColor="text1"/>
          <w:sz w:val="20"/>
          <w:szCs w:val="20"/>
          <w:lang w:val="fr-CA"/>
        </w:rPr>
      </w:pPr>
      <w:r>
        <w:rPr>
          <w:rFonts w:ascii="Arial" w:hAnsi="Arial" w:cs="Arial"/>
          <w:color w:val="000000" w:themeColor="text1"/>
          <w:sz w:val="20"/>
          <w:szCs w:val="20"/>
          <w:lang w:val="fr-CA"/>
        </w:rPr>
        <w:t xml:space="preserve">Le système maSGE et l’Outil de prévisions salariales </w:t>
      </w:r>
      <w:r w:rsidRPr="00001E0D">
        <w:rPr>
          <w:rFonts w:ascii="Arial" w:hAnsi="Arial" w:cs="Arial"/>
          <w:color w:val="000000" w:themeColor="text1"/>
          <w:sz w:val="20"/>
          <w:szCs w:val="20"/>
          <w:lang w:val="fr-CA"/>
        </w:rPr>
        <w:t>(</w:t>
      </w:r>
      <w:r>
        <w:rPr>
          <w:rFonts w:ascii="Arial" w:hAnsi="Arial" w:cs="Arial"/>
          <w:color w:val="000000" w:themeColor="text1"/>
          <w:sz w:val="20"/>
          <w:szCs w:val="20"/>
          <w:lang w:val="fr-CA"/>
        </w:rPr>
        <w:t>OPS</w:t>
      </w:r>
      <w:r w:rsidRPr="00001E0D">
        <w:rPr>
          <w:rFonts w:ascii="Arial" w:hAnsi="Arial" w:cs="Arial"/>
          <w:color w:val="000000" w:themeColor="text1"/>
          <w:sz w:val="20"/>
          <w:szCs w:val="20"/>
          <w:lang w:val="fr-CA"/>
        </w:rPr>
        <w:t xml:space="preserve">) </w:t>
      </w:r>
      <w:r>
        <w:rPr>
          <w:rFonts w:ascii="Arial" w:hAnsi="Arial" w:cs="Arial"/>
          <w:color w:val="000000" w:themeColor="text1"/>
          <w:sz w:val="20"/>
          <w:szCs w:val="20"/>
          <w:lang w:val="fr-CA"/>
        </w:rPr>
        <w:t xml:space="preserve">permettent au </w:t>
      </w:r>
      <w:r w:rsidR="00B9516F">
        <w:rPr>
          <w:rFonts w:ascii="Arial" w:hAnsi="Arial" w:cs="Arial"/>
          <w:color w:val="000000" w:themeColor="text1"/>
          <w:sz w:val="20"/>
          <w:szCs w:val="20"/>
          <w:lang w:val="fr-CA"/>
        </w:rPr>
        <w:t>ministère</w:t>
      </w:r>
      <w:r>
        <w:rPr>
          <w:rFonts w:ascii="Arial" w:hAnsi="Arial" w:cs="Arial"/>
          <w:color w:val="000000" w:themeColor="text1"/>
          <w:sz w:val="20"/>
          <w:szCs w:val="20"/>
          <w:lang w:val="fr-CA"/>
        </w:rPr>
        <w:t xml:space="preserve"> de mieux</w:t>
      </w:r>
      <w:r w:rsidRPr="00001E0D">
        <w:rPr>
          <w:rFonts w:ascii="Arial" w:hAnsi="Arial" w:cs="Arial"/>
          <w:color w:val="000000" w:themeColor="text1"/>
          <w:sz w:val="20"/>
          <w:szCs w:val="20"/>
          <w:lang w:val="fr-CA"/>
        </w:rPr>
        <w:t xml:space="preserve"> </w:t>
      </w:r>
      <w:r>
        <w:rPr>
          <w:rFonts w:ascii="Arial" w:hAnsi="Arial" w:cs="Arial"/>
          <w:color w:val="000000" w:themeColor="text1"/>
          <w:sz w:val="20"/>
          <w:szCs w:val="20"/>
          <w:lang w:val="fr-CA"/>
        </w:rPr>
        <w:t>comprendre comment est utilisée l’enveloppe salariale</w:t>
      </w:r>
      <w:r w:rsidRPr="00001E0D">
        <w:rPr>
          <w:rFonts w:ascii="Arial" w:hAnsi="Arial" w:cs="Arial"/>
          <w:color w:val="000000" w:themeColor="text1"/>
          <w:sz w:val="20"/>
          <w:szCs w:val="20"/>
          <w:lang w:val="fr-CA"/>
        </w:rPr>
        <w:t xml:space="preserve">. </w:t>
      </w:r>
      <w:r>
        <w:rPr>
          <w:rFonts w:ascii="Arial" w:hAnsi="Arial" w:cs="Arial"/>
          <w:color w:val="000000" w:themeColor="text1"/>
          <w:sz w:val="20"/>
          <w:szCs w:val="20"/>
          <w:lang w:val="fr-CA"/>
        </w:rPr>
        <w:t>L’OPS</w:t>
      </w:r>
      <w:r w:rsidRPr="00001E0D">
        <w:rPr>
          <w:rFonts w:ascii="Arial" w:hAnsi="Arial" w:cs="Arial"/>
          <w:color w:val="000000" w:themeColor="text1"/>
          <w:sz w:val="20"/>
          <w:szCs w:val="20"/>
          <w:lang w:val="fr-CA"/>
        </w:rPr>
        <w:t xml:space="preserve"> </w:t>
      </w:r>
      <w:r>
        <w:rPr>
          <w:rFonts w:ascii="Arial" w:hAnsi="Arial" w:cs="Arial"/>
          <w:color w:val="000000" w:themeColor="text1"/>
          <w:sz w:val="20"/>
          <w:szCs w:val="20"/>
          <w:lang w:val="fr-CA"/>
        </w:rPr>
        <w:t>doit être tenu à jour et faire l’objet d’un suivi</w:t>
      </w:r>
      <w:r w:rsidRPr="00001E0D">
        <w:rPr>
          <w:rFonts w:ascii="Arial" w:hAnsi="Arial" w:cs="Arial"/>
          <w:color w:val="000000" w:themeColor="text1"/>
          <w:sz w:val="20"/>
          <w:szCs w:val="20"/>
          <w:lang w:val="fr-CA"/>
        </w:rPr>
        <w:t xml:space="preserve"> </w:t>
      </w:r>
      <w:r w:rsidR="00B9516F">
        <w:rPr>
          <w:rFonts w:ascii="Arial" w:hAnsi="Arial" w:cs="Arial"/>
          <w:color w:val="000000" w:themeColor="text1"/>
          <w:sz w:val="20"/>
          <w:szCs w:val="20"/>
          <w:lang w:val="fr-CA"/>
        </w:rPr>
        <w:t>régulièr</w:t>
      </w:r>
      <w:r w:rsidRPr="00001E0D">
        <w:rPr>
          <w:rFonts w:ascii="Arial" w:hAnsi="Arial" w:cs="Arial"/>
          <w:color w:val="000000" w:themeColor="text1"/>
          <w:sz w:val="20"/>
          <w:szCs w:val="20"/>
          <w:lang w:val="fr-CA"/>
        </w:rPr>
        <w:t xml:space="preserve"> </w:t>
      </w:r>
      <w:r>
        <w:rPr>
          <w:rFonts w:ascii="Arial" w:hAnsi="Arial" w:cs="Arial"/>
          <w:color w:val="000000" w:themeColor="text1"/>
          <w:sz w:val="20"/>
          <w:szCs w:val="20"/>
          <w:lang w:val="fr-CA"/>
        </w:rPr>
        <w:t>par le CGF approprié et/ou</w:t>
      </w:r>
      <w:r w:rsidRPr="00001E0D">
        <w:rPr>
          <w:rFonts w:ascii="Arial" w:hAnsi="Arial" w:cs="Arial"/>
          <w:color w:val="000000" w:themeColor="text1"/>
          <w:sz w:val="20"/>
          <w:szCs w:val="20"/>
          <w:lang w:val="fr-CA"/>
        </w:rPr>
        <w:t xml:space="preserve"> </w:t>
      </w:r>
      <w:r>
        <w:rPr>
          <w:rFonts w:ascii="Arial" w:hAnsi="Arial" w:cs="Arial"/>
          <w:color w:val="000000" w:themeColor="text1"/>
          <w:sz w:val="20"/>
          <w:szCs w:val="20"/>
          <w:lang w:val="fr-CA"/>
        </w:rPr>
        <w:t>le groupe des Services de gestion de la direction générale/</w:t>
      </w:r>
      <w:r w:rsidRPr="00890265">
        <w:rPr>
          <w:lang w:val="fr-FR"/>
        </w:rPr>
        <w:t xml:space="preserve"> </w:t>
      </w:r>
      <w:r w:rsidRPr="00890265">
        <w:rPr>
          <w:rFonts w:ascii="Arial" w:hAnsi="Arial" w:cs="Arial"/>
          <w:color w:val="000000" w:themeColor="text1"/>
          <w:sz w:val="20"/>
          <w:szCs w:val="20"/>
          <w:lang w:val="fr-CA"/>
        </w:rPr>
        <w:t>Ser</w:t>
      </w:r>
      <w:r>
        <w:rPr>
          <w:rFonts w:ascii="Arial" w:hAnsi="Arial" w:cs="Arial"/>
          <w:color w:val="000000" w:themeColor="text1"/>
          <w:sz w:val="20"/>
          <w:szCs w:val="20"/>
          <w:lang w:val="fr-CA"/>
        </w:rPr>
        <w:t xml:space="preserve">vices de gestion régionaux. </w:t>
      </w:r>
    </w:p>
    <w:p w:rsidR="00362EC8" w:rsidRDefault="00362EC8" w:rsidP="00362EC8">
      <w:pPr>
        <w:rPr>
          <w:rFonts w:ascii="Arial" w:hAnsi="Arial" w:cs="Arial"/>
          <w:sz w:val="20"/>
          <w:szCs w:val="20"/>
          <w:lang w:val="fr-CA"/>
        </w:rPr>
      </w:pPr>
      <w:r w:rsidRPr="00001E0D">
        <w:rPr>
          <w:rFonts w:ascii="Arial" w:hAnsi="Arial" w:cs="Arial"/>
          <w:color w:val="FF0000"/>
          <w:sz w:val="20"/>
          <w:szCs w:val="20"/>
          <w:lang w:val="fr-CA"/>
        </w:rPr>
        <w:br/>
      </w:r>
      <w:hyperlink r:id="rId44" w:history="1">
        <w:r w:rsidRPr="00445241">
          <w:rPr>
            <w:rStyle w:val="Hyperlink"/>
            <w:rFonts w:ascii="Arial" w:hAnsi="Arial" w:cs="Arial"/>
            <w:sz w:val="20"/>
            <w:szCs w:val="20"/>
            <w:lang w:val="fr-CA"/>
          </w:rPr>
          <w:t>L’outil de prévisions salariales (OPS)</w:t>
        </w:r>
      </w:hyperlink>
      <w:r>
        <w:rPr>
          <w:rFonts w:ascii="Arial" w:hAnsi="Arial" w:cs="Arial"/>
          <w:sz w:val="20"/>
          <w:szCs w:val="20"/>
          <w:lang w:val="fr-CA"/>
        </w:rPr>
        <w:t xml:space="preserve"> permet au </w:t>
      </w:r>
      <w:r w:rsidR="00A65707">
        <w:rPr>
          <w:rFonts w:ascii="Arial" w:hAnsi="Arial" w:cs="Arial"/>
          <w:sz w:val="20"/>
          <w:szCs w:val="20"/>
          <w:lang w:val="fr-CA"/>
        </w:rPr>
        <w:t>ministère</w:t>
      </w:r>
      <w:r>
        <w:rPr>
          <w:rFonts w:ascii="Arial" w:hAnsi="Arial" w:cs="Arial"/>
          <w:sz w:val="20"/>
          <w:szCs w:val="20"/>
          <w:lang w:val="fr-CA"/>
        </w:rPr>
        <w:t xml:space="preserve"> une meilleure compréhension de l’utilisation de son enveloppe salariale et de prévoir contre elle. L’OPS doit être maintenu/mise à jour et surveillé de façon régulière par le groupe de CGF et/ou le </w:t>
      </w:r>
      <w:r w:rsidRPr="00445241">
        <w:rPr>
          <w:rFonts w:ascii="Arial" w:hAnsi="Arial" w:cs="Arial"/>
          <w:sz w:val="20"/>
          <w:szCs w:val="20"/>
          <w:lang w:val="fr-CA"/>
        </w:rPr>
        <w:t>Services de gestion des directions générales (SGDG)</w:t>
      </w:r>
      <w:r>
        <w:rPr>
          <w:rFonts w:ascii="Arial" w:hAnsi="Arial" w:cs="Arial"/>
          <w:sz w:val="20"/>
          <w:szCs w:val="20"/>
          <w:lang w:val="fr-CA"/>
        </w:rPr>
        <w:t>/</w:t>
      </w:r>
      <w:r w:rsidRPr="003C520C">
        <w:rPr>
          <w:lang w:val="fr-CA"/>
        </w:rPr>
        <w:t xml:space="preserve"> </w:t>
      </w:r>
      <w:r w:rsidRPr="00445241">
        <w:rPr>
          <w:rFonts w:ascii="Arial" w:hAnsi="Arial" w:cs="Arial"/>
          <w:sz w:val="20"/>
          <w:szCs w:val="20"/>
          <w:lang w:val="fr-CA"/>
        </w:rPr>
        <w:t>Services de gestion régionaux (SGR)</w:t>
      </w:r>
      <w:r>
        <w:rPr>
          <w:rFonts w:ascii="Arial" w:hAnsi="Arial" w:cs="Arial"/>
          <w:sz w:val="20"/>
          <w:szCs w:val="20"/>
          <w:lang w:val="fr-CA"/>
        </w:rPr>
        <w:t xml:space="preserve"> approprié.</w:t>
      </w:r>
    </w:p>
    <w:p w:rsidR="00362EC8" w:rsidRDefault="00362EC8" w:rsidP="00362EC8">
      <w:pPr>
        <w:rPr>
          <w:rFonts w:ascii="Arial" w:hAnsi="Arial" w:cs="Arial"/>
          <w:sz w:val="20"/>
          <w:szCs w:val="20"/>
          <w:lang w:val="fr-CA"/>
        </w:rPr>
      </w:pPr>
    </w:p>
    <w:p w:rsidR="00362EC8" w:rsidRPr="00B90BFC" w:rsidRDefault="0041316D" w:rsidP="00362EC8">
      <w:pPr>
        <w:rPr>
          <w:rFonts w:ascii="Arial" w:hAnsi="Arial" w:cs="Arial"/>
          <w:sz w:val="20"/>
          <w:szCs w:val="20"/>
          <w:lang w:val="fr-CA"/>
        </w:rPr>
      </w:pPr>
      <w:hyperlink r:id="rId45" w:history="1">
        <w:r w:rsidR="00362EC8" w:rsidRPr="00B90BFC">
          <w:rPr>
            <w:rStyle w:val="Hyperlink"/>
            <w:rFonts w:ascii="Arial" w:hAnsi="Arial" w:cs="Arial"/>
            <w:sz w:val="20"/>
            <w:szCs w:val="20"/>
            <w:lang w:val="fr-CA"/>
          </w:rPr>
          <w:t>L’outil de prévisions non-salariales</w:t>
        </w:r>
      </w:hyperlink>
      <w:r w:rsidR="00362EC8">
        <w:rPr>
          <w:rFonts w:ascii="Arial" w:hAnsi="Arial" w:cs="Arial"/>
          <w:sz w:val="20"/>
          <w:szCs w:val="20"/>
          <w:lang w:val="fr-CA"/>
        </w:rPr>
        <w:t xml:space="preserve"> </w:t>
      </w:r>
      <w:r w:rsidR="00362EC8" w:rsidRPr="00B90BFC">
        <w:rPr>
          <w:rFonts w:ascii="Arial" w:hAnsi="Arial" w:cs="Arial"/>
          <w:sz w:val="20"/>
          <w:szCs w:val="20"/>
          <w:lang w:val="fr-CA"/>
        </w:rPr>
        <w:t xml:space="preserve">permet au </w:t>
      </w:r>
      <w:r w:rsidR="00B9516F">
        <w:rPr>
          <w:rFonts w:ascii="Arial" w:hAnsi="Arial" w:cs="Arial"/>
          <w:sz w:val="20"/>
          <w:szCs w:val="20"/>
          <w:lang w:val="fr-CA"/>
        </w:rPr>
        <w:t>ministère</w:t>
      </w:r>
      <w:r w:rsidR="00362EC8" w:rsidRPr="00B90BFC">
        <w:rPr>
          <w:rFonts w:ascii="Arial" w:hAnsi="Arial" w:cs="Arial"/>
          <w:sz w:val="20"/>
          <w:szCs w:val="20"/>
          <w:lang w:val="fr-CA"/>
        </w:rPr>
        <w:t xml:space="preserve"> de prévoir</w:t>
      </w:r>
      <w:r w:rsidR="00362EC8">
        <w:rPr>
          <w:rFonts w:ascii="Arial" w:hAnsi="Arial" w:cs="Arial"/>
          <w:sz w:val="20"/>
          <w:szCs w:val="20"/>
          <w:lang w:val="fr-CA"/>
        </w:rPr>
        <w:t xml:space="preserve"> son enveloppe non-</w:t>
      </w:r>
      <w:r w:rsidR="00362EC8" w:rsidRPr="00B90BFC">
        <w:rPr>
          <w:rFonts w:ascii="Arial" w:hAnsi="Arial" w:cs="Arial"/>
          <w:sz w:val="20"/>
          <w:szCs w:val="20"/>
          <w:lang w:val="fr-CA"/>
        </w:rPr>
        <w:t xml:space="preserve">salariale. Il doit être rempli à chaque période de prévision par le responsable approprié ou </w:t>
      </w:r>
      <w:r w:rsidR="00362EC8">
        <w:rPr>
          <w:rFonts w:ascii="Arial" w:hAnsi="Arial" w:cs="Arial"/>
          <w:sz w:val="20"/>
          <w:szCs w:val="20"/>
          <w:lang w:val="fr-CA"/>
        </w:rPr>
        <w:t xml:space="preserve">son </w:t>
      </w:r>
      <w:r w:rsidR="00362EC8" w:rsidRPr="00B90BFC">
        <w:rPr>
          <w:rFonts w:ascii="Arial" w:hAnsi="Arial" w:cs="Arial"/>
          <w:sz w:val="20"/>
          <w:szCs w:val="20"/>
          <w:lang w:val="fr-CA"/>
        </w:rPr>
        <w:t>désigné.</w:t>
      </w:r>
    </w:p>
    <w:p w:rsidR="00362EC8" w:rsidRPr="00B90BFC" w:rsidRDefault="00362EC8" w:rsidP="00362EC8">
      <w:pPr>
        <w:rPr>
          <w:rFonts w:ascii="Arial" w:hAnsi="Arial" w:cs="Arial"/>
          <w:sz w:val="20"/>
          <w:szCs w:val="20"/>
          <w:lang w:val="fr-CA"/>
        </w:rPr>
      </w:pPr>
    </w:p>
    <w:p w:rsidR="00362EC8" w:rsidRDefault="0041316D" w:rsidP="00362EC8">
      <w:pPr>
        <w:rPr>
          <w:rFonts w:ascii="Arial" w:hAnsi="Arial" w:cs="Arial"/>
          <w:sz w:val="20"/>
          <w:szCs w:val="20"/>
          <w:lang w:val="fr-CA"/>
        </w:rPr>
      </w:pPr>
      <w:hyperlink r:id="rId46" w:history="1">
        <w:r w:rsidR="00362EC8" w:rsidRPr="00B90BFC">
          <w:rPr>
            <w:rStyle w:val="Hyperlink"/>
            <w:rFonts w:ascii="Arial" w:hAnsi="Arial" w:cs="Arial"/>
            <w:sz w:val="20"/>
            <w:szCs w:val="20"/>
            <w:lang w:val="fr-CA"/>
          </w:rPr>
          <w:t>La feuille de route ministérielle en matière de prévision</w:t>
        </w:r>
      </w:hyperlink>
      <w:r w:rsidR="00362EC8" w:rsidRPr="00B90BFC">
        <w:rPr>
          <w:rFonts w:ascii="Arial" w:hAnsi="Arial" w:cs="Arial"/>
          <w:sz w:val="20"/>
          <w:szCs w:val="20"/>
          <w:lang w:val="fr-CA"/>
        </w:rPr>
        <w:t xml:space="preserve"> fournit un aperçu détaillé du processus de prévision du point de vue d'un gestionnaire et des liens vers des outils utiles conçus spécifiquement pour eux.</w:t>
      </w:r>
    </w:p>
    <w:p w:rsidR="00362EC8" w:rsidRPr="00001E0D" w:rsidRDefault="00362EC8" w:rsidP="00362EC8">
      <w:pPr>
        <w:rPr>
          <w:rFonts w:ascii="Arial" w:hAnsi="Arial" w:cs="Arial"/>
          <w:sz w:val="20"/>
          <w:szCs w:val="20"/>
          <w:lang w:val="fr-CA"/>
        </w:rPr>
      </w:pPr>
    </w:p>
    <w:p w:rsidR="00362EC8" w:rsidRPr="00001E0D" w:rsidRDefault="00362EC8" w:rsidP="00362EC8">
      <w:pPr>
        <w:rPr>
          <w:rFonts w:ascii="Arial" w:hAnsi="Arial" w:cs="Arial"/>
          <w:sz w:val="20"/>
          <w:szCs w:val="20"/>
          <w:lang w:val="fr-CA"/>
        </w:rPr>
      </w:pPr>
      <w:r w:rsidRPr="00BB292E">
        <w:rPr>
          <w:rFonts w:ascii="Arial" w:hAnsi="Arial" w:cs="Arial"/>
          <w:sz w:val="20"/>
          <w:szCs w:val="20"/>
          <w:lang w:val="fr-CA"/>
        </w:rPr>
        <w:t xml:space="preserve">Le SMA ou le CDGS de la direction générale ou de la région est responsable de ses prévisions et doit attester </w:t>
      </w:r>
      <w:r w:rsidR="00B9516F">
        <w:rPr>
          <w:rFonts w:ascii="Arial" w:hAnsi="Arial" w:cs="Arial"/>
          <w:sz w:val="20"/>
          <w:szCs w:val="20"/>
          <w:lang w:val="fr-CA"/>
        </w:rPr>
        <w:t xml:space="preserve">de </w:t>
      </w:r>
      <w:r w:rsidRPr="00BB292E">
        <w:rPr>
          <w:rFonts w:ascii="Arial" w:hAnsi="Arial" w:cs="Arial"/>
          <w:sz w:val="20"/>
          <w:szCs w:val="20"/>
          <w:lang w:val="fr-CA"/>
        </w:rPr>
        <w:t>l’exactitude de l’information en signant. Cependant, le CGF et le DRF jouent un rôle important dans ces examens en</w:t>
      </w:r>
      <w:r>
        <w:rPr>
          <w:rFonts w:ascii="Arial" w:hAnsi="Arial" w:cs="Arial"/>
          <w:sz w:val="20"/>
          <w:szCs w:val="20"/>
          <w:lang w:val="fr-CA"/>
        </w:rPr>
        <w:t> </w:t>
      </w:r>
      <w:r w:rsidRPr="00001E0D">
        <w:rPr>
          <w:rFonts w:ascii="Arial" w:hAnsi="Arial" w:cs="Arial"/>
          <w:sz w:val="20"/>
          <w:szCs w:val="20"/>
          <w:lang w:val="fr-CA"/>
        </w:rPr>
        <w:t>:</w:t>
      </w:r>
    </w:p>
    <w:p w:rsidR="00362EC8" w:rsidRPr="00001E0D" w:rsidRDefault="00362EC8" w:rsidP="00362EC8">
      <w:pPr>
        <w:rPr>
          <w:rFonts w:ascii="Arial" w:hAnsi="Arial" w:cs="Arial"/>
          <w:sz w:val="20"/>
          <w:szCs w:val="20"/>
          <w:lang w:val="fr-CA"/>
        </w:rPr>
      </w:pPr>
    </w:p>
    <w:p w:rsidR="00362EC8" w:rsidRPr="00001E0D" w:rsidRDefault="00362EC8" w:rsidP="00362EC8">
      <w:pPr>
        <w:pStyle w:val="NormalArial"/>
        <w:numPr>
          <w:ilvl w:val="0"/>
          <w:numId w:val="9"/>
        </w:numPr>
        <w:tabs>
          <w:tab w:val="clear" w:pos="1219"/>
        </w:tabs>
        <w:ind w:left="540" w:hanging="270"/>
        <w:rPr>
          <w:rFonts w:ascii="Arial" w:hAnsi="Arial" w:cs="Arial"/>
          <w:sz w:val="20"/>
          <w:szCs w:val="20"/>
          <w:lang w:val="fr-CA"/>
        </w:rPr>
      </w:pPr>
      <w:r w:rsidRPr="00BB292E">
        <w:rPr>
          <w:rFonts w:ascii="Arial" w:hAnsi="Arial" w:cs="Arial"/>
          <w:sz w:val="20"/>
          <w:szCs w:val="20"/>
          <w:lang w:val="fr-CA"/>
        </w:rPr>
        <w:t>coordonnant l’examen de la situation financière de la direction générale ou de la région cliente, ce qui comprend une analyse des dépenses, le rapprochement des engagements non réglés, l’explication des variations et la détermination des écarts et des risques qui y sont associés</w:t>
      </w:r>
      <w:r w:rsidRPr="00001E0D">
        <w:rPr>
          <w:rFonts w:ascii="Arial" w:hAnsi="Arial" w:cs="Arial"/>
          <w:sz w:val="20"/>
          <w:szCs w:val="20"/>
          <w:lang w:val="fr-CA"/>
        </w:rPr>
        <w:t>;</w:t>
      </w:r>
    </w:p>
    <w:p w:rsidR="00362EC8" w:rsidRPr="00001E0D" w:rsidRDefault="00362EC8" w:rsidP="00362EC8">
      <w:pPr>
        <w:pStyle w:val="NormalArial"/>
        <w:tabs>
          <w:tab w:val="left" w:pos="561"/>
        </w:tabs>
        <w:ind w:left="277"/>
        <w:rPr>
          <w:rFonts w:ascii="Arial" w:hAnsi="Arial" w:cs="Arial"/>
          <w:sz w:val="20"/>
          <w:szCs w:val="20"/>
          <w:lang w:val="fr-CA"/>
        </w:rPr>
      </w:pPr>
    </w:p>
    <w:p w:rsidR="00362EC8" w:rsidRPr="00001E0D" w:rsidRDefault="00362EC8" w:rsidP="00362EC8">
      <w:pPr>
        <w:pStyle w:val="NormalArial"/>
        <w:numPr>
          <w:ilvl w:val="0"/>
          <w:numId w:val="9"/>
        </w:numPr>
        <w:tabs>
          <w:tab w:val="clear" w:pos="1219"/>
        </w:tabs>
        <w:ind w:left="540" w:hanging="270"/>
        <w:rPr>
          <w:rFonts w:ascii="Arial" w:hAnsi="Arial" w:cs="Arial"/>
          <w:sz w:val="20"/>
          <w:szCs w:val="20"/>
          <w:lang w:val="fr-CA"/>
        </w:rPr>
      </w:pPr>
      <w:r w:rsidRPr="00DF69AD">
        <w:rPr>
          <w:rFonts w:ascii="Arial" w:hAnsi="Arial" w:cs="Arial"/>
          <w:sz w:val="20"/>
          <w:szCs w:val="20"/>
          <w:lang w:val="fr-CA"/>
        </w:rPr>
        <w:t>exerçant une fonction appropriée d’analyse critique et de consultation, c.-à-d. une surveillance appropriée et une diligence raisonnable afin de s’assurer que les prévisions sont fondées sur une évaluation juste et réaliste des plans actuels et futurs</w:t>
      </w:r>
      <w:r w:rsidRPr="00001E0D">
        <w:rPr>
          <w:rFonts w:ascii="Arial" w:hAnsi="Arial" w:cs="Arial"/>
          <w:sz w:val="20"/>
          <w:szCs w:val="20"/>
          <w:lang w:val="fr-CA"/>
        </w:rPr>
        <w:t>;</w:t>
      </w:r>
    </w:p>
    <w:p w:rsidR="00362EC8" w:rsidRPr="00001E0D" w:rsidRDefault="00362EC8" w:rsidP="00362EC8">
      <w:pPr>
        <w:pStyle w:val="NormalArial"/>
        <w:tabs>
          <w:tab w:val="left" w:pos="561"/>
        </w:tabs>
        <w:ind w:left="0"/>
        <w:rPr>
          <w:rFonts w:ascii="Arial" w:hAnsi="Arial" w:cs="Arial"/>
          <w:sz w:val="20"/>
          <w:szCs w:val="20"/>
          <w:lang w:val="fr-CA"/>
        </w:rPr>
      </w:pPr>
    </w:p>
    <w:p w:rsidR="00362EC8" w:rsidRPr="00001E0D" w:rsidRDefault="00362EC8" w:rsidP="00362EC8">
      <w:pPr>
        <w:pStyle w:val="NormalArial"/>
        <w:numPr>
          <w:ilvl w:val="0"/>
          <w:numId w:val="9"/>
        </w:numPr>
        <w:tabs>
          <w:tab w:val="clear" w:pos="1219"/>
          <w:tab w:val="left" w:pos="561"/>
        </w:tabs>
        <w:ind w:left="561"/>
        <w:rPr>
          <w:rFonts w:ascii="Arial" w:hAnsi="Arial" w:cs="Arial"/>
          <w:color w:val="000000" w:themeColor="text1"/>
          <w:sz w:val="20"/>
          <w:szCs w:val="20"/>
          <w:lang w:val="fr-CA"/>
        </w:rPr>
      </w:pPr>
      <w:r>
        <w:rPr>
          <w:rFonts w:ascii="Arial" w:hAnsi="Arial" w:cs="Arial"/>
          <w:color w:val="000000" w:themeColor="text1"/>
          <w:sz w:val="20"/>
          <w:szCs w:val="20"/>
          <w:lang w:val="fr-CA"/>
        </w:rPr>
        <w:t>s’assurant que</w:t>
      </w:r>
      <w:r w:rsidRPr="00001E0D">
        <w:rPr>
          <w:rFonts w:ascii="Arial" w:hAnsi="Arial" w:cs="Arial"/>
          <w:color w:val="000000" w:themeColor="text1"/>
          <w:sz w:val="20"/>
          <w:szCs w:val="20"/>
          <w:lang w:val="fr-CA"/>
        </w:rPr>
        <w:t xml:space="preserve"> </w:t>
      </w:r>
      <w:r>
        <w:rPr>
          <w:rFonts w:ascii="Arial" w:hAnsi="Arial" w:cs="Arial"/>
          <w:color w:val="000000" w:themeColor="text1"/>
          <w:sz w:val="20"/>
          <w:szCs w:val="20"/>
          <w:lang w:val="fr-CA"/>
        </w:rPr>
        <w:t>les données sur la dotation prévue dans l’Outil de prévisions salariales (OPS)</w:t>
      </w:r>
      <w:r w:rsidRPr="00001E0D">
        <w:rPr>
          <w:rFonts w:ascii="Arial" w:hAnsi="Arial" w:cs="Arial"/>
          <w:color w:val="000000" w:themeColor="text1"/>
          <w:sz w:val="20"/>
          <w:szCs w:val="20"/>
          <w:lang w:val="fr-CA"/>
        </w:rPr>
        <w:t xml:space="preserve"> </w:t>
      </w:r>
      <w:r>
        <w:rPr>
          <w:rFonts w:ascii="Arial" w:hAnsi="Arial" w:cs="Arial"/>
          <w:color w:val="000000" w:themeColor="text1"/>
          <w:sz w:val="20"/>
          <w:szCs w:val="20"/>
          <w:lang w:val="fr-CA"/>
        </w:rPr>
        <w:t>sont exactes</w:t>
      </w:r>
      <w:r w:rsidRPr="00001E0D">
        <w:rPr>
          <w:rFonts w:ascii="Arial" w:hAnsi="Arial" w:cs="Arial"/>
          <w:color w:val="000000" w:themeColor="text1"/>
          <w:sz w:val="20"/>
          <w:szCs w:val="20"/>
          <w:lang w:val="fr-CA"/>
        </w:rPr>
        <w:t>, compl</w:t>
      </w:r>
      <w:r>
        <w:rPr>
          <w:rFonts w:ascii="Arial" w:hAnsi="Arial" w:cs="Arial"/>
          <w:color w:val="000000" w:themeColor="text1"/>
          <w:sz w:val="20"/>
          <w:szCs w:val="20"/>
          <w:lang w:val="fr-CA"/>
        </w:rPr>
        <w:t>è</w:t>
      </w:r>
      <w:r w:rsidRPr="00001E0D">
        <w:rPr>
          <w:rFonts w:ascii="Arial" w:hAnsi="Arial" w:cs="Arial"/>
          <w:color w:val="000000" w:themeColor="text1"/>
          <w:sz w:val="20"/>
          <w:szCs w:val="20"/>
          <w:lang w:val="fr-CA"/>
        </w:rPr>
        <w:t>te</w:t>
      </w:r>
      <w:r>
        <w:rPr>
          <w:rFonts w:ascii="Arial" w:hAnsi="Arial" w:cs="Arial"/>
          <w:color w:val="000000" w:themeColor="text1"/>
          <w:sz w:val="20"/>
          <w:szCs w:val="20"/>
          <w:lang w:val="fr-CA"/>
        </w:rPr>
        <w:t>s</w:t>
      </w:r>
      <w:r w:rsidRPr="00001E0D">
        <w:rPr>
          <w:rFonts w:ascii="Arial" w:hAnsi="Arial" w:cs="Arial"/>
          <w:color w:val="000000" w:themeColor="text1"/>
          <w:sz w:val="20"/>
          <w:szCs w:val="20"/>
          <w:lang w:val="fr-CA"/>
        </w:rPr>
        <w:t xml:space="preserve">, </w:t>
      </w:r>
      <w:r>
        <w:rPr>
          <w:rFonts w:ascii="Arial" w:hAnsi="Arial" w:cs="Arial"/>
          <w:color w:val="000000" w:themeColor="text1"/>
          <w:sz w:val="20"/>
          <w:szCs w:val="20"/>
          <w:lang w:val="fr-CA"/>
        </w:rPr>
        <w:t>réalisables et conformes au plan de ressources humaines (RH) de la direction générale/région;</w:t>
      </w:r>
    </w:p>
    <w:p w:rsidR="00362EC8" w:rsidRPr="00001E0D" w:rsidRDefault="00362EC8" w:rsidP="00362EC8">
      <w:pPr>
        <w:pStyle w:val="NormalArial"/>
        <w:ind w:left="277"/>
        <w:rPr>
          <w:rFonts w:ascii="Arial" w:hAnsi="Arial" w:cs="Arial"/>
          <w:sz w:val="20"/>
          <w:szCs w:val="20"/>
          <w:lang w:val="fr-CA"/>
        </w:rPr>
      </w:pPr>
    </w:p>
    <w:p w:rsidR="00362EC8" w:rsidRPr="00001E0D" w:rsidRDefault="00362EC8" w:rsidP="00362EC8">
      <w:pPr>
        <w:pStyle w:val="NormalArial"/>
        <w:numPr>
          <w:ilvl w:val="0"/>
          <w:numId w:val="9"/>
        </w:numPr>
        <w:tabs>
          <w:tab w:val="clear" w:pos="1219"/>
        </w:tabs>
        <w:ind w:left="540" w:hanging="270"/>
        <w:rPr>
          <w:rFonts w:ascii="Arial" w:hAnsi="Arial" w:cs="Arial"/>
          <w:sz w:val="20"/>
          <w:szCs w:val="20"/>
          <w:lang w:val="fr-CA"/>
        </w:rPr>
      </w:pPr>
      <w:r w:rsidRPr="00DF69AD">
        <w:rPr>
          <w:rFonts w:ascii="Arial" w:hAnsi="Arial" w:cs="Arial"/>
          <w:sz w:val="20"/>
          <w:szCs w:val="20"/>
          <w:lang w:val="fr-CA"/>
        </w:rPr>
        <w:lastRenderedPageBreak/>
        <w:t>attestant (avec les SMA et les CDGS clients) l’exactitude et l’exhaustivité des renseignements présentés (aucune modification des documents à effectuer ou de passifs éventuels</w:t>
      </w:r>
      <w:r w:rsidRPr="00001E0D">
        <w:rPr>
          <w:rFonts w:ascii="Arial" w:hAnsi="Arial" w:cs="Arial"/>
          <w:sz w:val="20"/>
          <w:szCs w:val="20"/>
          <w:lang w:val="fr-CA"/>
        </w:rPr>
        <w:t>).</w:t>
      </w:r>
    </w:p>
    <w:p w:rsidR="00362EC8" w:rsidRPr="00001E0D" w:rsidRDefault="00362EC8" w:rsidP="00362EC8">
      <w:pPr>
        <w:rPr>
          <w:rFonts w:ascii="Arial" w:hAnsi="Arial" w:cs="Arial"/>
          <w:sz w:val="20"/>
          <w:szCs w:val="20"/>
          <w:lang w:val="fr-CA"/>
        </w:rPr>
      </w:pPr>
    </w:p>
    <w:p w:rsidR="00362EC8" w:rsidRPr="00001E0D" w:rsidRDefault="00362EC8" w:rsidP="00362EC8">
      <w:pPr>
        <w:pStyle w:val="Heading3"/>
        <w:rPr>
          <w:lang w:val="fr-CA"/>
        </w:rPr>
      </w:pPr>
      <w:bookmarkStart w:id="71" w:name="_Toc485812734"/>
      <w:r w:rsidRPr="00001E0D">
        <w:rPr>
          <w:lang w:val="fr-CA"/>
        </w:rPr>
        <w:t>3.4.</w:t>
      </w:r>
      <w:r>
        <w:rPr>
          <w:lang w:val="fr-CA"/>
        </w:rPr>
        <w:t>2</w:t>
      </w:r>
      <w:r w:rsidRPr="00001E0D">
        <w:rPr>
          <w:lang w:val="fr-CA"/>
        </w:rPr>
        <w:t xml:space="preserve">. </w:t>
      </w:r>
      <w:r>
        <w:rPr>
          <w:lang w:val="fr-CA"/>
        </w:rPr>
        <w:t>Rapport financier ministériel</w:t>
      </w:r>
      <w:r w:rsidRPr="00001E0D">
        <w:rPr>
          <w:lang w:val="fr-CA"/>
        </w:rPr>
        <w:t xml:space="preserve"> (</w:t>
      </w:r>
      <w:r>
        <w:rPr>
          <w:lang w:val="fr-CA"/>
        </w:rPr>
        <w:t>RFM</w:t>
      </w:r>
      <w:r w:rsidRPr="00001E0D">
        <w:rPr>
          <w:lang w:val="fr-CA"/>
        </w:rPr>
        <w:t>)</w:t>
      </w:r>
      <w:bookmarkEnd w:id="71"/>
    </w:p>
    <w:p w:rsidR="00362EC8" w:rsidRPr="00001E0D" w:rsidRDefault="00362EC8" w:rsidP="00362EC8">
      <w:pPr>
        <w:tabs>
          <w:tab w:val="left" w:pos="2244"/>
        </w:tabs>
        <w:rPr>
          <w:rFonts w:ascii="Arial" w:hAnsi="Arial" w:cs="Arial"/>
          <w:sz w:val="20"/>
          <w:szCs w:val="20"/>
          <w:lang w:val="fr-CA"/>
        </w:rPr>
      </w:pPr>
      <w:r>
        <w:rPr>
          <w:rFonts w:ascii="Arial" w:hAnsi="Arial" w:cs="Arial"/>
          <w:sz w:val="20"/>
          <w:szCs w:val="20"/>
          <w:lang w:val="fr-CA"/>
        </w:rPr>
        <w:tab/>
      </w:r>
    </w:p>
    <w:p w:rsidR="00362EC8" w:rsidRPr="00001E0D" w:rsidRDefault="00362EC8" w:rsidP="00362EC8">
      <w:pPr>
        <w:rPr>
          <w:rFonts w:ascii="Arial" w:hAnsi="Arial" w:cs="Arial"/>
          <w:sz w:val="20"/>
          <w:szCs w:val="20"/>
          <w:lang w:val="fr-CA"/>
        </w:rPr>
      </w:pPr>
      <w:r w:rsidRPr="00107E5A">
        <w:rPr>
          <w:rFonts w:ascii="Arial" w:hAnsi="Arial" w:cs="Arial"/>
          <w:sz w:val="20"/>
          <w:szCs w:val="20"/>
          <w:lang w:val="fr-CA"/>
        </w:rPr>
        <w:t>Le Rapport financier ministériel (RFM) est le mécanisme interne principal de compte rendu et de surveillance de l’information financière pour la haute direction et, à intervalles réguliers, il fait l’objet de discussions au CGP. Il présente les budgets, les prévisions, les engagements et les dépenses pour les ress</w:t>
      </w:r>
      <w:r>
        <w:rPr>
          <w:rFonts w:ascii="Arial" w:hAnsi="Arial" w:cs="Arial"/>
          <w:sz w:val="20"/>
          <w:szCs w:val="20"/>
          <w:lang w:val="fr-CA"/>
        </w:rPr>
        <w:t>ources, dont le personnel, le F et </w:t>
      </w:r>
      <w:r w:rsidRPr="00107E5A">
        <w:rPr>
          <w:rFonts w:ascii="Arial" w:hAnsi="Arial" w:cs="Arial"/>
          <w:sz w:val="20"/>
          <w:szCs w:val="20"/>
          <w:lang w:val="fr-CA"/>
        </w:rPr>
        <w:t>E, les S</w:t>
      </w:r>
      <w:r>
        <w:rPr>
          <w:rFonts w:ascii="Arial" w:hAnsi="Arial" w:cs="Arial"/>
          <w:sz w:val="20"/>
          <w:szCs w:val="20"/>
          <w:lang w:val="fr-CA"/>
        </w:rPr>
        <w:t> et </w:t>
      </w:r>
      <w:r w:rsidRPr="00107E5A">
        <w:rPr>
          <w:rFonts w:ascii="Arial" w:hAnsi="Arial" w:cs="Arial"/>
          <w:sz w:val="20"/>
          <w:szCs w:val="20"/>
          <w:lang w:val="fr-CA"/>
        </w:rPr>
        <w:t xml:space="preserve">C et les paiements législatifs. </w:t>
      </w:r>
      <w:r w:rsidR="00B9516F">
        <w:rPr>
          <w:rFonts w:ascii="Arial" w:hAnsi="Arial" w:cs="Arial"/>
          <w:sz w:val="20"/>
          <w:szCs w:val="20"/>
          <w:lang w:val="fr-CA"/>
        </w:rPr>
        <w:t xml:space="preserve">Pendant les exercices d’examen financier de périodes 3, 6, 8 et 10, ainsi qu’en fin d’exercice, il présente et explique aussi les principaux écarts budgétaires. </w:t>
      </w:r>
      <w:r w:rsidRPr="00107E5A">
        <w:rPr>
          <w:rFonts w:ascii="Arial" w:hAnsi="Arial" w:cs="Arial"/>
          <w:sz w:val="20"/>
          <w:szCs w:val="20"/>
          <w:lang w:val="fr-CA"/>
        </w:rPr>
        <w:t xml:space="preserve">Au cours des périodes (5, 7, 9 et 11) où il n’y a pas d’examen, des rapports financiers sont </w:t>
      </w:r>
      <w:r>
        <w:rPr>
          <w:rFonts w:ascii="Arial" w:hAnsi="Arial" w:cs="Arial"/>
          <w:sz w:val="20"/>
          <w:szCs w:val="20"/>
          <w:lang w:val="fr-CA"/>
        </w:rPr>
        <w:t>aussi</w:t>
      </w:r>
      <w:r w:rsidRPr="00107E5A">
        <w:rPr>
          <w:rFonts w:ascii="Arial" w:hAnsi="Arial" w:cs="Arial"/>
          <w:sz w:val="20"/>
          <w:szCs w:val="20"/>
          <w:lang w:val="fr-CA"/>
        </w:rPr>
        <w:t xml:space="preserve"> produits afin d’évaluer la situation financière du </w:t>
      </w:r>
      <w:r w:rsidR="00A65707">
        <w:rPr>
          <w:rFonts w:ascii="Arial" w:hAnsi="Arial" w:cs="Arial"/>
          <w:sz w:val="20"/>
          <w:szCs w:val="20"/>
          <w:lang w:val="fr-CA"/>
        </w:rPr>
        <w:t>m</w:t>
      </w:r>
      <w:r w:rsidR="00B9516F">
        <w:rPr>
          <w:rFonts w:ascii="Arial" w:hAnsi="Arial" w:cs="Arial"/>
          <w:sz w:val="20"/>
          <w:szCs w:val="20"/>
          <w:lang w:val="fr-CA"/>
        </w:rPr>
        <w:t>inistère</w:t>
      </w:r>
      <w:r w:rsidRPr="00107E5A">
        <w:rPr>
          <w:rFonts w:ascii="Arial" w:hAnsi="Arial" w:cs="Arial"/>
          <w:sz w:val="20"/>
          <w:szCs w:val="20"/>
          <w:lang w:val="fr-CA"/>
        </w:rPr>
        <w:t>. Ces rapports mettent au premier plan les dépenses et les engagements par rapport au budget, indiquent les tendances qui se développent, fournissent des comparaisons avec les autres années et soulèvent les sujets de préoccupation qui doivent être abordés</w:t>
      </w:r>
      <w:r w:rsidRPr="00001E0D">
        <w:rPr>
          <w:rFonts w:ascii="Arial" w:hAnsi="Arial" w:cs="Arial"/>
          <w:sz w:val="20"/>
          <w:szCs w:val="20"/>
          <w:lang w:val="fr-CA"/>
        </w:rPr>
        <w:t>.</w:t>
      </w:r>
    </w:p>
    <w:p w:rsidR="00362EC8" w:rsidRPr="00001E0D" w:rsidRDefault="00362EC8" w:rsidP="00362EC8">
      <w:pPr>
        <w:rPr>
          <w:rFonts w:ascii="Arial" w:hAnsi="Arial" w:cs="Arial"/>
          <w:sz w:val="20"/>
          <w:szCs w:val="20"/>
          <w:lang w:val="fr-CA"/>
        </w:rPr>
      </w:pPr>
    </w:p>
    <w:p w:rsidR="00362EC8" w:rsidRPr="00001E0D" w:rsidRDefault="00362EC8" w:rsidP="00362EC8">
      <w:pPr>
        <w:rPr>
          <w:rFonts w:ascii="Arial" w:hAnsi="Arial" w:cs="Arial"/>
          <w:sz w:val="20"/>
          <w:szCs w:val="20"/>
          <w:lang w:val="fr-CA"/>
        </w:rPr>
      </w:pPr>
      <w:r w:rsidRPr="00107E5A">
        <w:rPr>
          <w:rFonts w:ascii="Arial" w:hAnsi="Arial" w:cs="Arial"/>
          <w:sz w:val="20"/>
          <w:szCs w:val="20"/>
          <w:lang w:val="fr-CA"/>
        </w:rPr>
        <w:t xml:space="preserve">À la suite de la période d’examen, les RFM et d’autres documents justificatifs sont préparés en temps utile afin de permettre à la haute direction de discuter de la situation financière et des résultats des activités du </w:t>
      </w:r>
      <w:r w:rsidR="00A65707">
        <w:rPr>
          <w:rFonts w:ascii="Arial" w:hAnsi="Arial" w:cs="Arial"/>
          <w:sz w:val="20"/>
          <w:szCs w:val="20"/>
          <w:lang w:val="fr-CA"/>
        </w:rPr>
        <w:t>m</w:t>
      </w:r>
      <w:r w:rsidR="00B9516F">
        <w:rPr>
          <w:rFonts w:ascii="Arial" w:hAnsi="Arial" w:cs="Arial"/>
          <w:sz w:val="20"/>
          <w:szCs w:val="20"/>
          <w:lang w:val="fr-CA"/>
        </w:rPr>
        <w:t>inistère</w:t>
      </w:r>
      <w:r w:rsidRPr="00107E5A">
        <w:rPr>
          <w:rFonts w:ascii="Arial" w:hAnsi="Arial" w:cs="Arial"/>
          <w:sz w:val="20"/>
          <w:szCs w:val="20"/>
          <w:lang w:val="fr-CA"/>
        </w:rPr>
        <w:t xml:space="preserve"> au CGP. Des discussions ont lieu de façon régulière au niveau de la haute direction, et il est question de réaffectations de fonds dans le contexte des priorités de l’ensemble du portefeuille, des possibilités d’investissement stratégique et des contraintes de financement que subit le </w:t>
      </w:r>
      <w:r w:rsidR="00A65707">
        <w:rPr>
          <w:rFonts w:ascii="Arial" w:hAnsi="Arial" w:cs="Arial"/>
          <w:sz w:val="20"/>
          <w:szCs w:val="20"/>
          <w:lang w:val="fr-CA"/>
        </w:rPr>
        <w:t>ministère</w:t>
      </w:r>
      <w:r w:rsidRPr="00107E5A">
        <w:rPr>
          <w:rFonts w:ascii="Arial" w:hAnsi="Arial" w:cs="Arial"/>
          <w:sz w:val="20"/>
          <w:szCs w:val="20"/>
          <w:lang w:val="fr-CA"/>
        </w:rPr>
        <w:t>. Les rapports à l’intention de la haute direction sont examinés et rajustés au besoin en cours d’exercice, en fonction du type et des particularités des renseignements nécessaires, et sont utilisés pour formuler des recommandations, de façon à assurer la meilleure utilisation possible des ressources existantes</w:t>
      </w:r>
      <w:r w:rsidRPr="00001E0D">
        <w:rPr>
          <w:rFonts w:ascii="Arial" w:hAnsi="Arial" w:cs="Arial"/>
          <w:sz w:val="20"/>
          <w:szCs w:val="20"/>
          <w:lang w:val="fr-CA"/>
        </w:rPr>
        <w:t>.</w:t>
      </w:r>
    </w:p>
    <w:p w:rsidR="00362EC8" w:rsidRDefault="00362EC8" w:rsidP="00362EC8">
      <w:pPr>
        <w:rPr>
          <w:rFonts w:ascii="Arial" w:hAnsi="Arial" w:cs="Arial"/>
          <w:sz w:val="20"/>
          <w:szCs w:val="20"/>
          <w:lang w:val="fr-CA"/>
        </w:rPr>
      </w:pPr>
      <w:bookmarkStart w:id="72" w:name="IVB"/>
      <w:bookmarkEnd w:id="72"/>
    </w:p>
    <w:p w:rsidR="00807E0F" w:rsidRPr="0054070D" w:rsidRDefault="00807E0F" w:rsidP="00807E0F">
      <w:pPr>
        <w:pStyle w:val="Heading2"/>
        <w:rPr>
          <w:lang w:val="fr-CA"/>
        </w:rPr>
      </w:pPr>
      <w:bookmarkStart w:id="73" w:name="_Toc485812735"/>
      <w:r w:rsidRPr="00001E0D">
        <w:rPr>
          <w:lang w:val="fr-CA"/>
        </w:rPr>
        <w:t xml:space="preserve">3.5. </w:t>
      </w:r>
      <w:r>
        <w:rPr>
          <w:lang w:val="fr-CA"/>
        </w:rPr>
        <w:t>AUTRES PRINCIPES DE GESTION DES RESSOURCES</w:t>
      </w:r>
      <w:bookmarkEnd w:id="73"/>
    </w:p>
    <w:p w:rsidR="00807E0F" w:rsidRPr="00001E0D" w:rsidRDefault="00807E0F" w:rsidP="00807E0F">
      <w:pPr>
        <w:rPr>
          <w:rFonts w:ascii="Arial" w:hAnsi="Arial" w:cs="Arial"/>
          <w:sz w:val="20"/>
          <w:szCs w:val="20"/>
          <w:lang w:val="fr-CA"/>
        </w:rPr>
      </w:pPr>
    </w:p>
    <w:p w:rsidR="00807E0F" w:rsidRPr="00001E0D" w:rsidRDefault="00807E0F" w:rsidP="00807E0F">
      <w:pPr>
        <w:pStyle w:val="Heading3"/>
        <w:rPr>
          <w:lang w:val="fr-CA"/>
        </w:rPr>
      </w:pPr>
      <w:bookmarkStart w:id="74" w:name="IIIC5"/>
      <w:bookmarkStart w:id="75" w:name="IIIC6"/>
      <w:bookmarkStart w:id="76" w:name="IIID"/>
      <w:bookmarkStart w:id="77" w:name="IIID2"/>
      <w:bookmarkStart w:id="78" w:name="IIID3"/>
      <w:bookmarkStart w:id="79" w:name="IIID4"/>
      <w:bookmarkStart w:id="80" w:name="IIID6"/>
      <w:bookmarkStart w:id="81" w:name="_Toc485812736"/>
      <w:bookmarkEnd w:id="74"/>
      <w:bookmarkEnd w:id="75"/>
      <w:bookmarkEnd w:id="76"/>
      <w:bookmarkEnd w:id="77"/>
      <w:bookmarkEnd w:id="78"/>
      <w:bookmarkEnd w:id="79"/>
      <w:bookmarkEnd w:id="80"/>
      <w:r w:rsidRPr="00001E0D">
        <w:rPr>
          <w:lang w:val="fr-CA"/>
        </w:rPr>
        <w:t>3.5.</w:t>
      </w:r>
      <w:r>
        <w:rPr>
          <w:lang w:val="fr-CA"/>
        </w:rPr>
        <w:t>1</w:t>
      </w:r>
      <w:r w:rsidRPr="00001E0D">
        <w:rPr>
          <w:lang w:val="fr-CA"/>
        </w:rPr>
        <w:t xml:space="preserve">. </w:t>
      </w:r>
      <w:r>
        <w:rPr>
          <w:lang w:val="fr-CA"/>
        </w:rPr>
        <w:t>Politique de report</w:t>
      </w:r>
      <w:bookmarkEnd w:id="81"/>
    </w:p>
    <w:p w:rsidR="00807E0F" w:rsidRPr="00001E0D" w:rsidRDefault="00807E0F" w:rsidP="00807E0F">
      <w:pPr>
        <w:rPr>
          <w:rFonts w:ascii="Arial" w:hAnsi="Arial" w:cs="Arial"/>
          <w:sz w:val="20"/>
          <w:szCs w:val="20"/>
          <w:lang w:val="fr-CA"/>
        </w:rPr>
      </w:pPr>
    </w:p>
    <w:p w:rsidR="00807E0F" w:rsidRPr="00001E0D" w:rsidRDefault="00807E0F" w:rsidP="00807E0F">
      <w:pPr>
        <w:rPr>
          <w:rFonts w:ascii="Arial" w:hAnsi="Arial" w:cs="Arial"/>
          <w:sz w:val="20"/>
          <w:szCs w:val="20"/>
          <w:lang w:val="fr-CA"/>
        </w:rPr>
      </w:pPr>
      <w:r w:rsidRPr="0012212E">
        <w:rPr>
          <w:rFonts w:ascii="Arial" w:hAnsi="Arial" w:cs="Arial"/>
          <w:sz w:val="20"/>
          <w:szCs w:val="20"/>
          <w:lang w:val="fr-CA"/>
        </w:rPr>
        <w:t xml:space="preserve">En vertu de l’approche du CT relative aux budgets de fonctionnement, il est permis pour le </w:t>
      </w:r>
      <w:r w:rsidR="00A65707">
        <w:rPr>
          <w:rFonts w:ascii="Arial" w:hAnsi="Arial" w:cs="Arial"/>
          <w:sz w:val="20"/>
          <w:szCs w:val="20"/>
          <w:lang w:val="fr-CA"/>
        </w:rPr>
        <w:t>ministère</w:t>
      </w:r>
      <w:r w:rsidRPr="0012212E">
        <w:rPr>
          <w:rFonts w:ascii="Arial" w:hAnsi="Arial" w:cs="Arial"/>
          <w:sz w:val="20"/>
          <w:szCs w:val="20"/>
          <w:lang w:val="fr-CA"/>
        </w:rPr>
        <w:t xml:space="preserve"> de reporter à l’exercice suivant 5</w:t>
      </w:r>
      <w:r>
        <w:rPr>
          <w:rFonts w:ascii="Arial" w:hAnsi="Arial" w:cs="Arial"/>
          <w:sz w:val="20"/>
          <w:szCs w:val="20"/>
          <w:lang w:val="fr-CA"/>
        </w:rPr>
        <w:t> </w:t>
      </w:r>
      <w:r w:rsidRPr="0012212E">
        <w:rPr>
          <w:rFonts w:ascii="Arial" w:hAnsi="Arial" w:cs="Arial"/>
          <w:sz w:val="20"/>
          <w:szCs w:val="20"/>
          <w:lang w:val="fr-CA"/>
        </w:rPr>
        <w:t>% au maximum de son budget de fonctionnement issu du Trésor et de celui du RPC (en se fondant sur le Budget principal des dépenses) et jusqu’à 20 millions de dollars du budget de fonctionnement de base de l’assurance-emploi. Il est à noter que l’affectation de ressources report</w:t>
      </w:r>
      <w:r w:rsidR="00A65707">
        <w:rPr>
          <w:rFonts w:ascii="Arial" w:hAnsi="Arial" w:cs="Arial"/>
          <w:sz w:val="20"/>
          <w:szCs w:val="20"/>
          <w:lang w:val="fr-CA"/>
        </w:rPr>
        <w:t>ées doit être approuvée par le S</w:t>
      </w:r>
      <w:r w:rsidRPr="0012212E">
        <w:rPr>
          <w:rFonts w:ascii="Arial" w:hAnsi="Arial" w:cs="Arial"/>
          <w:sz w:val="20"/>
          <w:szCs w:val="20"/>
          <w:lang w:val="fr-CA"/>
        </w:rPr>
        <w:t>ous-ministre</w:t>
      </w:r>
      <w:r w:rsidRPr="00001E0D">
        <w:rPr>
          <w:rFonts w:ascii="Arial" w:hAnsi="Arial" w:cs="Arial"/>
          <w:sz w:val="20"/>
          <w:szCs w:val="20"/>
          <w:lang w:val="fr-CA"/>
        </w:rPr>
        <w:t>.</w:t>
      </w:r>
    </w:p>
    <w:p w:rsidR="00807E0F" w:rsidRPr="00001E0D" w:rsidRDefault="00807E0F" w:rsidP="00807E0F">
      <w:pPr>
        <w:rPr>
          <w:rFonts w:ascii="Arial" w:hAnsi="Arial" w:cs="Arial"/>
          <w:sz w:val="20"/>
          <w:szCs w:val="20"/>
          <w:lang w:val="fr-CA"/>
        </w:rPr>
      </w:pPr>
    </w:p>
    <w:p w:rsidR="00807E0F" w:rsidRDefault="00807E0F" w:rsidP="00807E0F">
      <w:pPr>
        <w:rPr>
          <w:rFonts w:ascii="Arial" w:hAnsi="Arial" w:cs="Arial"/>
          <w:sz w:val="20"/>
          <w:szCs w:val="20"/>
          <w:lang w:val="fr-CA"/>
        </w:rPr>
      </w:pPr>
      <w:r w:rsidRPr="0012212E">
        <w:rPr>
          <w:rFonts w:ascii="Arial" w:hAnsi="Arial" w:cs="Arial"/>
          <w:sz w:val="20"/>
          <w:szCs w:val="20"/>
          <w:lang w:val="fr-CA"/>
        </w:rPr>
        <w:t xml:space="preserve">Depuis quelques années, EDSC n’a pas obtenu </w:t>
      </w:r>
      <w:r>
        <w:rPr>
          <w:rFonts w:ascii="Arial" w:hAnsi="Arial" w:cs="Arial"/>
          <w:sz w:val="20"/>
          <w:szCs w:val="20"/>
          <w:lang w:val="fr-CA"/>
        </w:rPr>
        <w:t>l’autorisation</w:t>
      </w:r>
      <w:r w:rsidRPr="0012212E">
        <w:rPr>
          <w:rFonts w:ascii="Arial" w:hAnsi="Arial" w:cs="Arial"/>
          <w:sz w:val="20"/>
          <w:szCs w:val="20"/>
          <w:lang w:val="fr-CA"/>
        </w:rPr>
        <w:t xml:space="preserve"> de reporter de surplus de fonds en lien avec le RPC, comme le </w:t>
      </w:r>
      <w:r w:rsidR="00B9516F">
        <w:rPr>
          <w:rFonts w:ascii="Arial" w:hAnsi="Arial" w:cs="Arial"/>
          <w:sz w:val="20"/>
          <w:szCs w:val="20"/>
          <w:lang w:val="fr-CA"/>
        </w:rPr>
        <w:t>ministère</w:t>
      </w:r>
      <w:r w:rsidRPr="0012212E">
        <w:rPr>
          <w:rFonts w:ascii="Arial" w:hAnsi="Arial" w:cs="Arial"/>
          <w:sz w:val="20"/>
          <w:szCs w:val="20"/>
          <w:lang w:val="fr-CA"/>
        </w:rPr>
        <w:t xml:space="preserve"> avait reçu des fonds additionnels pour compenser l’augmentation de la charge de travail</w:t>
      </w:r>
      <w:r w:rsidRPr="00001E0D">
        <w:rPr>
          <w:rFonts w:ascii="Arial" w:hAnsi="Arial" w:cs="Arial"/>
          <w:sz w:val="20"/>
          <w:szCs w:val="20"/>
          <w:lang w:val="fr-CA"/>
        </w:rPr>
        <w:t>.</w:t>
      </w:r>
    </w:p>
    <w:p w:rsidR="00807E0F" w:rsidRPr="00001E0D" w:rsidRDefault="00807E0F" w:rsidP="00807E0F">
      <w:pPr>
        <w:rPr>
          <w:lang w:val="fr-CA"/>
        </w:rPr>
      </w:pPr>
    </w:p>
    <w:p w:rsidR="00807E0F" w:rsidRDefault="00807E0F" w:rsidP="00807E0F">
      <w:pPr>
        <w:pStyle w:val="Heading3"/>
        <w:rPr>
          <w:lang w:val="fr-CA"/>
        </w:rPr>
      </w:pPr>
      <w:bookmarkStart w:id="82" w:name="_Toc485812737"/>
      <w:r w:rsidRPr="00001E0D">
        <w:rPr>
          <w:lang w:val="fr-CA"/>
        </w:rPr>
        <w:t>3.5.</w:t>
      </w:r>
      <w:r>
        <w:rPr>
          <w:lang w:val="fr-CA"/>
        </w:rPr>
        <w:t>2</w:t>
      </w:r>
      <w:r w:rsidRPr="00001E0D">
        <w:rPr>
          <w:lang w:val="fr-CA"/>
        </w:rPr>
        <w:t xml:space="preserve">. </w:t>
      </w:r>
      <w:r>
        <w:rPr>
          <w:lang w:val="fr-CA"/>
        </w:rPr>
        <w:t>Demandes de report</w:t>
      </w:r>
      <w:bookmarkEnd w:id="82"/>
    </w:p>
    <w:p w:rsidR="00807E0F" w:rsidRPr="00001E0D" w:rsidRDefault="00807E0F" w:rsidP="00807E0F">
      <w:pPr>
        <w:rPr>
          <w:lang w:val="fr-CA"/>
        </w:rPr>
      </w:pPr>
    </w:p>
    <w:p w:rsidR="00807E0F" w:rsidRPr="00001E0D" w:rsidRDefault="00807E0F" w:rsidP="00807E0F">
      <w:pPr>
        <w:rPr>
          <w:rFonts w:ascii="Arial" w:hAnsi="Arial" w:cs="Arial"/>
          <w:sz w:val="20"/>
          <w:szCs w:val="20"/>
          <w:lang w:val="fr-CA"/>
        </w:rPr>
      </w:pPr>
      <w:r w:rsidRPr="0012212E">
        <w:rPr>
          <w:rFonts w:ascii="Arial" w:hAnsi="Arial" w:cs="Arial"/>
          <w:sz w:val="20"/>
          <w:szCs w:val="20"/>
          <w:lang w:val="fr-CA"/>
        </w:rPr>
        <w:t>Le CT offre une certaine souplesse pour le report de ressources de l’exercice en cours à des exercices ultérieurs, à condition qu’il satisfasse aux critères suivants</w:t>
      </w:r>
      <w:r>
        <w:rPr>
          <w:rFonts w:ascii="Arial" w:hAnsi="Arial" w:cs="Arial"/>
          <w:sz w:val="20"/>
          <w:szCs w:val="20"/>
          <w:lang w:val="fr-CA"/>
        </w:rPr>
        <w:t> </w:t>
      </w:r>
      <w:r w:rsidRPr="00001E0D">
        <w:rPr>
          <w:rFonts w:ascii="Arial" w:hAnsi="Arial" w:cs="Arial"/>
          <w:sz w:val="20"/>
          <w:szCs w:val="20"/>
          <w:lang w:val="fr-CA"/>
        </w:rPr>
        <w:t>:</w:t>
      </w:r>
    </w:p>
    <w:p w:rsidR="00807E0F" w:rsidRPr="00001E0D" w:rsidRDefault="00807E0F" w:rsidP="00807E0F">
      <w:pPr>
        <w:rPr>
          <w:rFonts w:ascii="Arial" w:hAnsi="Arial" w:cs="Arial"/>
          <w:sz w:val="20"/>
          <w:szCs w:val="20"/>
          <w:lang w:val="fr-CA"/>
        </w:rPr>
      </w:pPr>
    </w:p>
    <w:p w:rsidR="00807E0F" w:rsidRPr="00001E0D" w:rsidRDefault="00807E0F" w:rsidP="00807E0F">
      <w:pPr>
        <w:numPr>
          <w:ilvl w:val="0"/>
          <w:numId w:val="17"/>
        </w:numPr>
        <w:tabs>
          <w:tab w:val="clear" w:pos="1202"/>
          <w:tab w:val="num" w:pos="900"/>
        </w:tabs>
        <w:ind w:left="900" w:hanging="270"/>
        <w:rPr>
          <w:rFonts w:ascii="Arial" w:hAnsi="Arial" w:cs="Arial"/>
          <w:sz w:val="20"/>
          <w:szCs w:val="20"/>
          <w:lang w:val="fr-CA"/>
        </w:rPr>
      </w:pPr>
      <w:r w:rsidRPr="0012212E">
        <w:rPr>
          <w:rFonts w:ascii="Arial" w:hAnsi="Arial" w:cs="Arial"/>
          <w:sz w:val="20"/>
          <w:szCs w:val="20"/>
          <w:lang w:val="fr-CA"/>
        </w:rPr>
        <w:t>les montants à reporter ne sont pas admissibles au report du budget d’immobilisations ou de fonctionnement</w:t>
      </w:r>
      <w:r>
        <w:rPr>
          <w:rFonts w:ascii="Arial" w:hAnsi="Arial" w:cs="Arial"/>
          <w:sz w:val="20"/>
          <w:szCs w:val="20"/>
          <w:lang w:val="fr-CA"/>
        </w:rPr>
        <w:t>;</w:t>
      </w:r>
    </w:p>
    <w:p w:rsidR="00807E0F" w:rsidRPr="00001E0D" w:rsidRDefault="00807E0F" w:rsidP="00807E0F">
      <w:pPr>
        <w:numPr>
          <w:ilvl w:val="0"/>
          <w:numId w:val="17"/>
        </w:numPr>
        <w:tabs>
          <w:tab w:val="clear" w:pos="1202"/>
          <w:tab w:val="num" w:pos="900"/>
        </w:tabs>
        <w:ind w:left="900" w:hanging="270"/>
        <w:rPr>
          <w:rFonts w:ascii="Arial" w:hAnsi="Arial" w:cs="Arial"/>
          <w:sz w:val="20"/>
          <w:szCs w:val="20"/>
          <w:lang w:val="fr-CA"/>
        </w:rPr>
      </w:pPr>
      <w:r w:rsidRPr="0012212E">
        <w:rPr>
          <w:rFonts w:ascii="Arial" w:hAnsi="Arial" w:cs="Arial"/>
          <w:sz w:val="20"/>
          <w:szCs w:val="20"/>
          <w:lang w:val="fr-CA"/>
        </w:rPr>
        <w:t>le report est demandé afin de satisfaire à des obligations juridiques ou à d’autres obligations non discrétionnaires</w:t>
      </w:r>
      <w:r w:rsidRPr="00001E0D">
        <w:rPr>
          <w:rFonts w:ascii="Arial" w:hAnsi="Arial" w:cs="Arial"/>
          <w:sz w:val="20"/>
          <w:szCs w:val="20"/>
          <w:lang w:val="fr-CA"/>
        </w:rPr>
        <w:t>.</w:t>
      </w:r>
    </w:p>
    <w:p w:rsidR="00807E0F" w:rsidRPr="00001E0D" w:rsidRDefault="00807E0F" w:rsidP="00807E0F">
      <w:pPr>
        <w:rPr>
          <w:rFonts w:ascii="Arial" w:hAnsi="Arial" w:cs="Arial"/>
          <w:sz w:val="20"/>
          <w:szCs w:val="20"/>
          <w:lang w:val="fr-CA"/>
        </w:rPr>
      </w:pPr>
    </w:p>
    <w:p w:rsidR="00807E0F" w:rsidRPr="00001E0D" w:rsidRDefault="00807E0F" w:rsidP="00807E0F">
      <w:pPr>
        <w:rPr>
          <w:rFonts w:ascii="Arial" w:hAnsi="Arial" w:cs="Arial"/>
          <w:sz w:val="20"/>
          <w:szCs w:val="20"/>
          <w:lang w:val="fr-CA"/>
        </w:rPr>
      </w:pPr>
      <w:r w:rsidRPr="0012212E">
        <w:rPr>
          <w:rFonts w:ascii="Arial" w:hAnsi="Arial" w:cs="Arial"/>
          <w:sz w:val="20"/>
          <w:szCs w:val="20"/>
          <w:lang w:val="fr-CA"/>
        </w:rPr>
        <w:t xml:space="preserve">Les justifications de demandes de report doivent se trouver dans la MJANR qui est présentée au SCT au début du mois d’octobre de chaque année. Si les demandes sont approuvées par le </w:t>
      </w:r>
      <w:r w:rsidR="00B9516F">
        <w:rPr>
          <w:rFonts w:ascii="Arial" w:hAnsi="Arial" w:cs="Arial"/>
          <w:sz w:val="20"/>
          <w:szCs w:val="20"/>
          <w:lang w:val="fr-CA"/>
        </w:rPr>
        <w:t>ministère</w:t>
      </w:r>
      <w:r w:rsidRPr="0012212E">
        <w:rPr>
          <w:rFonts w:ascii="Arial" w:hAnsi="Arial" w:cs="Arial"/>
          <w:sz w:val="20"/>
          <w:szCs w:val="20"/>
          <w:lang w:val="fr-CA"/>
        </w:rPr>
        <w:t xml:space="preserve"> des Finances, les montants à reporter sont placés dans des affectations bloquées non reportables </w:t>
      </w:r>
      <w:r>
        <w:rPr>
          <w:rFonts w:ascii="Arial" w:hAnsi="Arial" w:cs="Arial"/>
          <w:sz w:val="20"/>
          <w:szCs w:val="20"/>
          <w:lang w:val="fr-CA"/>
        </w:rPr>
        <w:t xml:space="preserve">(fond B199) </w:t>
      </w:r>
      <w:r w:rsidRPr="0012212E">
        <w:rPr>
          <w:rFonts w:ascii="Arial" w:hAnsi="Arial" w:cs="Arial"/>
          <w:sz w:val="20"/>
          <w:szCs w:val="20"/>
          <w:lang w:val="fr-CA"/>
        </w:rPr>
        <w:t xml:space="preserve">pour l’exercice en cours, et le </w:t>
      </w:r>
      <w:r w:rsidR="00A65707">
        <w:rPr>
          <w:rFonts w:ascii="Arial" w:hAnsi="Arial" w:cs="Arial"/>
          <w:sz w:val="20"/>
          <w:szCs w:val="20"/>
          <w:lang w:val="fr-CA"/>
        </w:rPr>
        <w:t>ministère</w:t>
      </w:r>
      <w:r w:rsidRPr="0012212E">
        <w:rPr>
          <w:rFonts w:ascii="Arial" w:hAnsi="Arial" w:cs="Arial"/>
          <w:sz w:val="20"/>
          <w:szCs w:val="20"/>
          <w:lang w:val="fr-CA"/>
        </w:rPr>
        <w:t xml:space="preserve"> en est avisé en conséquence. À la suite de l’approbation, le </w:t>
      </w:r>
      <w:r w:rsidR="00A65707">
        <w:rPr>
          <w:rFonts w:ascii="Arial" w:hAnsi="Arial" w:cs="Arial"/>
          <w:sz w:val="20"/>
          <w:szCs w:val="20"/>
          <w:lang w:val="fr-CA"/>
        </w:rPr>
        <w:t>ministère</w:t>
      </w:r>
      <w:r w:rsidRPr="0012212E">
        <w:rPr>
          <w:rFonts w:ascii="Arial" w:hAnsi="Arial" w:cs="Arial"/>
          <w:sz w:val="20"/>
          <w:szCs w:val="20"/>
          <w:lang w:val="fr-CA"/>
        </w:rPr>
        <w:t xml:space="preserve"> est autorisé à inclure ces montants dans le Budget principal des dépenses pour l’année suivante</w:t>
      </w:r>
      <w:r w:rsidRPr="00001E0D">
        <w:rPr>
          <w:rFonts w:ascii="Arial" w:hAnsi="Arial" w:cs="Arial"/>
          <w:sz w:val="20"/>
          <w:szCs w:val="20"/>
          <w:lang w:val="fr-CA"/>
        </w:rPr>
        <w:t>.</w:t>
      </w:r>
    </w:p>
    <w:p w:rsidR="00807E0F" w:rsidRPr="00001E0D" w:rsidRDefault="00807E0F" w:rsidP="00807E0F">
      <w:pPr>
        <w:rPr>
          <w:rFonts w:ascii="Arial" w:hAnsi="Arial" w:cs="Arial"/>
          <w:sz w:val="20"/>
          <w:szCs w:val="20"/>
          <w:lang w:val="fr-CA"/>
        </w:rPr>
      </w:pPr>
    </w:p>
    <w:p w:rsidR="00807E0F" w:rsidRPr="00001E0D" w:rsidRDefault="00807E0F" w:rsidP="00807E0F">
      <w:pPr>
        <w:pStyle w:val="Heading1"/>
        <w:rPr>
          <w:lang w:val="fr-CA"/>
        </w:rPr>
      </w:pPr>
      <w:bookmarkStart w:id="83" w:name="IV"/>
      <w:bookmarkStart w:id="84" w:name="_Toc485812738"/>
      <w:bookmarkEnd w:id="83"/>
      <w:r w:rsidRPr="00001E0D">
        <w:rPr>
          <w:lang w:val="fr-CA"/>
        </w:rPr>
        <w:lastRenderedPageBreak/>
        <w:t xml:space="preserve">4. </w:t>
      </w:r>
      <w:r>
        <w:rPr>
          <w:lang w:val="fr-CA"/>
        </w:rPr>
        <w:t>RAPPORTS ET SUIVI MINISTÉRIELS</w:t>
      </w:r>
      <w:bookmarkEnd w:id="84"/>
    </w:p>
    <w:p w:rsidR="00807E0F" w:rsidRPr="00001E0D" w:rsidRDefault="00807E0F" w:rsidP="00807E0F">
      <w:pPr>
        <w:pStyle w:val="Heading2"/>
        <w:rPr>
          <w:lang w:val="fr-CA"/>
        </w:rPr>
      </w:pPr>
      <w:bookmarkStart w:id="85" w:name="_Toc485812739"/>
      <w:r w:rsidRPr="00001E0D">
        <w:rPr>
          <w:lang w:val="fr-CA"/>
        </w:rPr>
        <w:t xml:space="preserve">4.1. </w:t>
      </w:r>
      <w:r>
        <w:rPr>
          <w:lang w:val="fr-CA"/>
        </w:rPr>
        <w:t>RAPPORTS EXTERNES SUR LE RENDEMENT</w:t>
      </w:r>
      <w:bookmarkEnd w:id="85"/>
    </w:p>
    <w:p w:rsidR="00807E0F" w:rsidRPr="00001E0D" w:rsidRDefault="00807E0F" w:rsidP="00807E0F">
      <w:pPr>
        <w:rPr>
          <w:rFonts w:ascii="Arial" w:hAnsi="Arial" w:cs="Arial"/>
          <w:sz w:val="20"/>
          <w:szCs w:val="20"/>
          <w:lang w:val="fr-CA"/>
        </w:rPr>
      </w:pPr>
    </w:p>
    <w:p w:rsidR="00807E0F" w:rsidRPr="00001E0D" w:rsidRDefault="00807E0F" w:rsidP="00807E0F">
      <w:pPr>
        <w:rPr>
          <w:rFonts w:ascii="Arial" w:hAnsi="Arial" w:cs="Arial"/>
          <w:sz w:val="20"/>
          <w:szCs w:val="20"/>
          <w:lang w:val="fr-CA"/>
        </w:rPr>
      </w:pPr>
      <w:r w:rsidRPr="006F18A1">
        <w:rPr>
          <w:rFonts w:ascii="Arial" w:hAnsi="Arial" w:cs="Arial"/>
          <w:sz w:val="20"/>
          <w:szCs w:val="20"/>
          <w:lang w:val="fr-CA"/>
        </w:rPr>
        <w:t>Dans un cadre de gestion axée sur les résultats, le rendement est mesuré et évalué, fait l’objet de rapports et sert de fondement pour la prise de décisions de la part des gestionnaires. La présentation de l’information sur le rendement est le processus permettant de transmettre de l’information sur le rendement en se fondant sur des preuves. Elle soutient la prise de décisions, sert à s’acquitter des responsabilités ministérielles et assure un fondement pour la mobilisation des citoyens et la tenue d’un dialogue avec les parlementaires</w:t>
      </w:r>
      <w:r w:rsidRPr="00001E0D">
        <w:rPr>
          <w:rFonts w:ascii="Arial" w:hAnsi="Arial" w:cs="Arial"/>
          <w:sz w:val="20"/>
          <w:szCs w:val="20"/>
          <w:lang w:val="fr-CA"/>
        </w:rPr>
        <w:t>.</w:t>
      </w:r>
    </w:p>
    <w:p w:rsidR="00807E0F" w:rsidRPr="00001E0D" w:rsidRDefault="00807E0F" w:rsidP="00807E0F">
      <w:pPr>
        <w:pStyle w:val="Heading3"/>
        <w:rPr>
          <w:lang w:val="fr-CA"/>
        </w:rPr>
      </w:pPr>
      <w:bookmarkStart w:id="86" w:name="IVB1"/>
      <w:bookmarkStart w:id="87" w:name="appA"/>
      <w:bookmarkStart w:id="88" w:name="_Toc485812740"/>
      <w:bookmarkEnd w:id="86"/>
      <w:bookmarkEnd w:id="87"/>
      <w:r w:rsidRPr="00001E0D">
        <w:rPr>
          <w:lang w:val="fr-CA"/>
        </w:rPr>
        <w:t xml:space="preserve">4.1.1. </w:t>
      </w:r>
      <w:r>
        <w:rPr>
          <w:lang w:val="fr-CA"/>
        </w:rPr>
        <w:t>Cadre de responsabilisation de gestion</w:t>
      </w:r>
      <w:r w:rsidRPr="00001E0D">
        <w:rPr>
          <w:lang w:val="fr-CA"/>
        </w:rPr>
        <w:t xml:space="preserve"> (</w:t>
      </w:r>
      <w:r>
        <w:rPr>
          <w:lang w:val="fr-CA"/>
        </w:rPr>
        <w:t>CRG</w:t>
      </w:r>
      <w:r w:rsidRPr="00001E0D">
        <w:rPr>
          <w:lang w:val="fr-CA"/>
        </w:rPr>
        <w:t>)</w:t>
      </w:r>
      <w:bookmarkEnd w:id="88"/>
    </w:p>
    <w:p w:rsidR="00807E0F" w:rsidRPr="00001E0D" w:rsidRDefault="00807E0F" w:rsidP="00807E0F">
      <w:pPr>
        <w:rPr>
          <w:rFonts w:ascii="Arial" w:hAnsi="Arial" w:cs="Arial"/>
          <w:sz w:val="20"/>
          <w:szCs w:val="20"/>
          <w:lang w:val="fr-CA"/>
        </w:rPr>
      </w:pPr>
    </w:p>
    <w:p w:rsidR="00807E0F" w:rsidRPr="00001E0D" w:rsidRDefault="00807E0F" w:rsidP="00807E0F">
      <w:pPr>
        <w:rPr>
          <w:rFonts w:ascii="Arial" w:hAnsi="Arial" w:cs="Arial"/>
          <w:sz w:val="20"/>
          <w:szCs w:val="20"/>
          <w:lang w:val="fr-CA"/>
        </w:rPr>
      </w:pPr>
      <w:r>
        <w:rPr>
          <w:rFonts w:ascii="Arial" w:hAnsi="Arial" w:cs="Arial"/>
          <w:sz w:val="20"/>
          <w:szCs w:val="20"/>
          <w:lang w:val="fr-CA"/>
        </w:rPr>
        <w:t>Le</w:t>
      </w:r>
      <w:r w:rsidRPr="00001E0D">
        <w:rPr>
          <w:rFonts w:ascii="Arial" w:hAnsi="Arial" w:cs="Arial"/>
          <w:sz w:val="20"/>
          <w:szCs w:val="20"/>
          <w:lang w:val="fr-CA"/>
        </w:rPr>
        <w:t xml:space="preserve"> </w:t>
      </w:r>
      <w:hyperlink r:id="rId47" w:history="1">
        <w:r>
          <w:rPr>
            <w:rStyle w:val="Hyperlink"/>
            <w:rFonts w:ascii="Arial" w:hAnsi="Arial" w:cs="Arial"/>
            <w:sz w:val="20"/>
            <w:szCs w:val="20"/>
            <w:lang w:val="fr-CA"/>
          </w:rPr>
          <w:t>CRG</w:t>
        </w:r>
      </w:hyperlink>
      <w:r w:rsidRPr="00001E0D">
        <w:rPr>
          <w:rFonts w:ascii="Arial" w:hAnsi="Arial" w:cs="Arial"/>
          <w:sz w:val="20"/>
          <w:szCs w:val="20"/>
          <w:lang w:val="fr-CA"/>
        </w:rPr>
        <w:t xml:space="preserve"> </w:t>
      </w:r>
      <w:r w:rsidRPr="006F18A1">
        <w:rPr>
          <w:rFonts w:ascii="Arial" w:hAnsi="Arial" w:cs="Arial"/>
          <w:sz w:val="20"/>
          <w:szCs w:val="20"/>
          <w:lang w:val="fr-CA"/>
        </w:rPr>
        <w:t xml:space="preserve">présente les attentes </w:t>
      </w:r>
      <w:r>
        <w:rPr>
          <w:rFonts w:ascii="Arial" w:hAnsi="Arial" w:cs="Arial"/>
          <w:sz w:val="20"/>
          <w:szCs w:val="20"/>
          <w:lang w:val="fr-CA"/>
        </w:rPr>
        <w:t xml:space="preserve">du CT à l’égard </w:t>
      </w:r>
      <w:r w:rsidRPr="006F18A1">
        <w:rPr>
          <w:rFonts w:ascii="Arial" w:hAnsi="Arial" w:cs="Arial"/>
          <w:sz w:val="20"/>
          <w:szCs w:val="20"/>
          <w:lang w:val="fr-CA"/>
        </w:rPr>
        <w:t>des cadres supérieurs pour une gestion efficace de la fonction publique. Il renferme les dix éléments essentiels suivants qui définissent et établissent collectivement les attentes en matière de gestion efficace</w:t>
      </w:r>
      <w:r>
        <w:rPr>
          <w:rFonts w:ascii="Arial" w:hAnsi="Arial" w:cs="Arial"/>
          <w:sz w:val="20"/>
          <w:szCs w:val="20"/>
          <w:lang w:val="fr-CA"/>
        </w:rPr>
        <w:t> </w:t>
      </w:r>
      <w:r w:rsidRPr="00001E0D">
        <w:rPr>
          <w:rFonts w:ascii="Arial" w:hAnsi="Arial" w:cs="Arial"/>
          <w:sz w:val="20"/>
          <w:szCs w:val="20"/>
          <w:lang w:val="fr-CA"/>
        </w:rPr>
        <w:t>:</w:t>
      </w:r>
    </w:p>
    <w:p w:rsidR="00807E0F" w:rsidRPr="00001E0D" w:rsidRDefault="00807E0F" w:rsidP="00807E0F">
      <w:pPr>
        <w:rPr>
          <w:rFonts w:ascii="Arial" w:hAnsi="Arial" w:cs="Arial"/>
          <w:sz w:val="20"/>
          <w:szCs w:val="20"/>
          <w:lang w:val="fr-CA"/>
        </w:rPr>
      </w:pPr>
    </w:p>
    <w:p w:rsidR="00807E0F" w:rsidRPr="00001E0D" w:rsidRDefault="00807E0F" w:rsidP="00807E0F">
      <w:pPr>
        <w:numPr>
          <w:ilvl w:val="0"/>
          <w:numId w:val="13"/>
        </w:numPr>
        <w:tabs>
          <w:tab w:val="clear" w:pos="720"/>
          <w:tab w:val="num" w:pos="935"/>
        </w:tabs>
        <w:ind w:left="935" w:hanging="575"/>
        <w:rPr>
          <w:rFonts w:ascii="Arial" w:hAnsi="Arial" w:cs="Arial"/>
          <w:sz w:val="20"/>
          <w:szCs w:val="20"/>
          <w:lang w:val="fr-CA"/>
        </w:rPr>
      </w:pPr>
      <w:r>
        <w:rPr>
          <w:rFonts w:ascii="Arial" w:hAnsi="Arial" w:cs="Arial"/>
          <w:sz w:val="20"/>
          <w:szCs w:val="20"/>
          <w:lang w:val="fr-CA"/>
        </w:rPr>
        <w:t>leadership et orientation stratégique</w:t>
      </w:r>
      <w:r w:rsidRPr="00001E0D">
        <w:rPr>
          <w:rFonts w:ascii="Arial" w:hAnsi="Arial" w:cs="Arial"/>
          <w:sz w:val="20"/>
          <w:szCs w:val="20"/>
          <w:lang w:val="fr-CA"/>
        </w:rPr>
        <w:t>;</w:t>
      </w:r>
    </w:p>
    <w:p w:rsidR="00807E0F" w:rsidRPr="00001E0D" w:rsidRDefault="00807E0F" w:rsidP="00807E0F">
      <w:pPr>
        <w:numPr>
          <w:ilvl w:val="0"/>
          <w:numId w:val="13"/>
        </w:numPr>
        <w:tabs>
          <w:tab w:val="clear" w:pos="720"/>
          <w:tab w:val="num" w:pos="935"/>
        </w:tabs>
        <w:ind w:left="935" w:hanging="575"/>
        <w:rPr>
          <w:rFonts w:ascii="Arial" w:hAnsi="Arial" w:cs="Arial"/>
          <w:sz w:val="20"/>
          <w:szCs w:val="20"/>
          <w:lang w:val="fr-CA"/>
        </w:rPr>
      </w:pPr>
      <w:r>
        <w:rPr>
          <w:rFonts w:ascii="Arial" w:hAnsi="Arial" w:cs="Arial"/>
          <w:sz w:val="20"/>
          <w:szCs w:val="20"/>
          <w:lang w:val="fr-CA"/>
        </w:rPr>
        <w:t>résultats et responsabilisation</w:t>
      </w:r>
      <w:r w:rsidRPr="00001E0D">
        <w:rPr>
          <w:rFonts w:ascii="Arial" w:hAnsi="Arial" w:cs="Arial"/>
          <w:sz w:val="20"/>
          <w:szCs w:val="20"/>
          <w:lang w:val="fr-CA"/>
        </w:rPr>
        <w:t>;</w:t>
      </w:r>
    </w:p>
    <w:p w:rsidR="00807E0F" w:rsidRPr="00001E0D" w:rsidRDefault="00807E0F" w:rsidP="00807E0F">
      <w:pPr>
        <w:numPr>
          <w:ilvl w:val="0"/>
          <w:numId w:val="13"/>
        </w:numPr>
        <w:tabs>
          <w:tab w:val="clear" w:pos="720"/>
          <w:tab w:val="num" w:pos="935"/>
        </w:tabs>
        <w:ind w:left="935" w:hanging="575"/>
        <w:rPr>
          <w:rFonts w:ascii="Arial" w:hAnsi="Arial" w:cs="Arial"/>
          <w:sz w:val="20"/>
          <w:szCs w:val="20"/>
          <w:lang w:val="fr-CA"/>
        </w:rPr>
      </w:pPr>
      <w:r>
        <w:rPr>
          <w:rFonts w:ascii="Arial" w:hAnsi="Arial" w:cs="Arial"/>
          <w:sz w:val="20"/>
          <w:szCs w:val="20"/>
          <w:lang w:val="fr-CA"/>
        </w:rPr>
        <w:t>valeurs du secteur public</w:t>
      </w:r>
    </w:p>
    <w:p w:rsidR="00807E0F" w:rsidRPr="00001E0D" w:rsidRDefault="00807E0F" w:rsidP="00807E0F">
      <w:pPr>
        <w:numPr>
          <w:ilvl w:val="0"/>
          <w:numId w:val="13"/>
        </w:numPr>
        <w:tabs>
          <w:tab w:val="clear" w:pos="720"/>
          <w:tab w:val="num" w:pos="935"/>
        </w:tabs>
        <w:ind w:left="935" w:hanging="575"/>
        <w:rPr>
          <w:rFonts w:ascii="Arial" w:hAnsi="Arial" w:cs="Arial"/>
          <w:sz w:val="20"/>
          <w:szCs w:val="20"/>
          <w:lang w:val="fr-CA"/>
        </w:rPr>
      </w:pPr>
      <w:r>
        <w:rPr>
          <w:rFonts w:ascii="Arial" w:hAnsi="Arial" w:cs="Arial"/>
          <w:sz w:val="20"/>
          <w:szCs w:val="20"/>
          <w:lang w:val="fr-CA"/>
        </w:rPr>
        <w:t>apprentissage continu et innovation</w:t>
      </w:r>
      <w:r w:rsidRPr="00001E0D">
        <w:rPr>
          <w:rFonts w:ascii="Arial" w:hAnsi="Arial" w:cs="Arial"/>
          <w:sz w:val="20"/>
          <w:szCs w:val="20"/>
          <w:lang w:val="fr-CA"/>
        </w:rPr>
        <w:t>;</w:t>
      </w:r>
    </w:p>
    <w:p w:rsidR="00807E0F" w:rsidRPr="00001E0D" w:rsidRDefault="00807E0F" w:rsidP="00807E0F">
      <w:pPr>
        <w:numPr>
          <w:ilvl w:val="0"/>
          <w:numId w:val="13"/>
        </w:numPr>
        <w:tabs>
          <w:tab w:val="clear" w:pos="720"/>
          <w:tab w:val="num" w:pos="935"/>
        </w:tabs>
        <w:ind w:left="935" w:hanging="575"/>
        <w:rPr>
          <w:rFonts w:ascii="Arial" w:hAnsi="Arial" w:cs="Arial"/>
          <w:sz w:val="20"/>
          <w:szCs w:val="20"/>
          <w:lang w:val="fr-CA"/>
        </w:rPr>
      </w:pPr>
      <w:r>
        <w:rPr>
          <w:rFonts w:ascii="Arial" w:hAnsi="Arial" w:cs="Arial"/>
          <w:sz w:val="20"/>
          <w:szCs w:val="20"/>
          <w:lang w:val="fr-CA"/>
        </w:rPr>
        <w:t>gouvernance et gestion stratégique</w:t>
      </w:r>
      <w:r w:rsidRPr="00001E0D">
        <w:rPr>
          <w:rFonts w:ascii="Arial" w:hAnsi="Arial" w:cs="Arial"/>
          <w:sz w:val="20"/>
          <w:szCs w:val="20"/>
          <w:lang w:val="fr-CA"/>
        </w:rPr>
        <w:t>;</w:t>
      </w:r>
    </w:p>
    <w:p w:rsidR="00807E0F" w:rsidRPr="00001E0D" w:rsidRDefault="00807E0F" w:rsidP="00807E0F">
      <w:pPr>
        <w:numPr>
          <w:ilvl w:val="0"/>
          <w:numId w:val="13"/>
        </w:numPr>
        <w:tabs>
          <w:tab w:val="clear" w:pos="720"/>
          <w:tab w:val="num" w:pos="935"/>
        </w:tabs>
        <w:ind w:left="935" w:hanging="575"/>
        <w:rPr>
          <w:rFonts w:ascii="Arial" w:hAnsi="Arial" w:cs="Arial"/>
          <w:sz w:val="20"/>
          <w:szCs w:val="20"/>
          <w:lang w:val="fr-CA"/>
        </w:rPr>
      </w:pPr>
      <w:r>
        <w:rPr>
          <w:rFonts w:ascii="Arial" w:hAnsi="Arial" w:cs="Arial"/>
          <w:sz w:val="20"/>
          <w:szCs w:val="20"/>
          <w:lang w:val="fr-CA"/>
        </w:rPr>
        <w:t>gestion des personnes</w:t>
      </w:r>
      <w:r w:rsidRPr="00001E0D">
        <w:rPr>
          <w:rFonts w:ascii="Arial" w:hAnsi="Arial" w:cs="Arial"/>
          <w:sz w:val="20"/>
          <w:szCs w:val="20"/>
          <w:lang w:val="fr-CA"/>
        </w:rPr>
        <w:t>;</w:t>
      </w:r>
    </w:p>
    <w:p w:rsidR="00807E0F" w:rsidRPr="00001E0D" w:rsidRDefault="00807E0F" w:rsidP="00807E0F">
      <w:pPr>
        <w:numPr>
          <w:ilvl w:val="0"/>
          <w:numId w:val="13"/>
        </w:numPr>
        <w:tabs>
          <w:tab w:val="clear" w:pos="720"/>
          <w:tab w:val="num" w:pos="935"/>
        </w:tabs>
        <w:ind w:left="935" w:hanging="575"/>
        <w:rPr>
          <w:rFonts w:ascii="Arial" w:hAnsi="Arial" w:cs="Arial"/>
          <w:sz w:val="20"/>
          <w:szCs w:val="20"/>
          <w:lang w:val="fr-CA"/>
        </w:rPr>
      </w:pPr>
      <w:r>
        <w:rPr>
          <w:rFonts w:ascii="Arial" w:hAnsi="Arial" w:cs="Arial"/>
          <w:sz w:val="20"/>
          <w:szCs w:val="20"/>
          <w:lang w:val="fr-CA"/>
        </w:rPr>
        <w:t>gestion des finances et gestion des biens</w:t>
      </w:r>
      <w:r w:rsidRPr="00001E0D">
        <w:rPr>
          <w:rFonts w:ascii="Arial" w:hAnsi="Arial" w:cs="Arial"/>
          <w:sz w:val="20"/>
          <w:szCs w:val="20"/>
          <w:lang w:val="fr-CA"/>
        </w:rPr>
        <w:t>;</w:t>
      </w:r>
    </w:p>
    <w:p w:rsidR="00807E0F" w:rsidRPr="00001E0D" w:rsidRDefault="00807E0F" w:rsidP="00807E0F">
      <w:pPr>
        <w:numPr>
          <w:ilvl w:val="0"/>
          <w:numId w:val="13"/>
        </w:numPr>
        <w:tabs>
          <w:tab w:val="clear" w:pos="720"/>
          <w:tab w:val="num" w:pos="935"/>
        </w:tabs>
        <w:ind w:left="935" w:hanging="575"/>
        <w:rPr>
          <w:rFonts w:ascii="Arial" w:hAnsi="Arial" w:cs="Arial"/>
          <w:sz w:val="20"/>
          <w:szCs w:val="20"/>
          <w:lang w:val="fr-CA"/>
        </w:rPr>
      </w:pPr>
      <w:r>
        <w:rPr>
          <w:rFonts w:ascii="Arial" w:hAnsi="Arial" w:cs="Arial"/>
          <w:sz w:val="20"/>
          <w:szCs w:val="20"/>
          <w:lang w:val="fr-CA"/>
        </w:rPr>
        <w:t>gestion de l’information</w:t>
      </w:r>
      <w:r w:rsidRPr="00001E0D">
        <w:rPr>
          <w:rFonts w:ascii="Arial" w:hAnsi="Arial" w:cs="Arial"/>
          <w:sz w:val="20"/>
          <w:szCs w:val="20"/>
          <w:lang w:val="fr-CA"/>
        </w:rPr>
        <w:t>;</w:t>
      </w:r>
    </w:p>
    <w:p w:rsidR="00807E0F" w:rsidRPr="00001E0D" w:rsidRDefault="00807E0F" w:rsidP="00807E0F">
      <w:pPr>
        <w:numPr>
          <w:ilvl w:val="0"/>
          <w:numId w:val="13"/>
        </w:numPr>
        <w:tabs>
          <w:tab w:val="clear" w:pos="720"/>
          <w:tab w:val="num" w:pos="935"/>
        </w:tabs>
        <w:ind w:left="935" w:hanging="575"/>
        <w:rPr>
          <w:rFonts w:ascii="Arial" w:hAnsi="Arial" w:cs="Arial"/>
          <w:sz w:val="20"/>
          <w:szCs w:val="20"/>
          <w:lang w:val="fr-CA"/>
        </w:rPr>
      </w:pPr>
      <w:r>
        <w:rPr>
          <w:rFonts w:ascii="Arial" w:hAnsi="Arial" w:cs="Arial"/>
          <w:sz w:val="20"/>
          <w:szCs w:val="20"/>
          <w:lang w:val="fr-CA"/>
        </w:rPr>
        <w:t>gestion des politiques et des programmes</w:t>
      </w:r>
      <w:r w:rsidRPr="00001E0D">
        <w:rPr>
          <w:rFonts w:ascii="Arial" w:hAnsi="Arial" w:cs="Arial"/>
          <w:sz w:val="20"/>
          <w:szCs w:val="20"/>
          <w:lang w:val="fr-CA"/>
        </w:rPr>
        <w:t>;</w:t>
      </w:r>
    </w:p>
    <w:p w:rsidR="00807E0F" w:rsidRPr="00001E0D" w:rsidRDefault="00807E0F" w:rsidP="00807E0F">
      <w:pPr>
        <w:numPr>
          <w:ilvl w:val="0"/>
          <w:numId w:val="13"/>
        </w:numPr>
        <w:tabs>
          <w:tab w:val="clear" w:pos="720"/>
          <w:tab w:val="num" w:pos="935"/>
        </w:tabs>
        <w:ind w:left="935" w:hanging="575"/>
        <w:rPr>
          <w:rFonts w:ascii="Arial" w:hAnsi="Arial" w:cs="Arial"/>
          <w:sz w:val="20"/>
          <w:szCs w:val="20"/>
          <w:lang w:val="fr-CA"/>
        </w:rPr>
      </w:pPr>
      <w:r>
        <w:rPr>
          <w:rFonts w:ascii="Arial" w:hAnsi="Arial" w:cs="Arial"/>
          <w:sz w:val="20"/>
          <w:szCs w:val="20"/>
          <w:lang w:val="fr-CA"/>
        </w:rPr>
        <w:t>gestion de la prestation des services</w:t>
      </w:r>
      <w:r w:rsidRPr="00001E0D">
        <w:rPr>
          <w:rFonts w:ascii="Arial" w:hAnsi="Arial" w:cs="Arial"/>
          <w:sz w:val="20"/>
          <w:szCs w:val="20"/>
          <w:lang w:val="fr-CA"/>
        </w:rPr>
        <w:t>.</w:t>
      </w:r>
    </w:p>
    <w:p w:rsidR="00807E0F" w:rsidRPr="00001E0D" w:rsidRDefault="00807E0F" w:rsidP="00807E0F">
      <w:pPr>
        <w:ind w:left="935"/>
        <w:rPr>
          <w:rFonts w:ascii="Arial" w:hAnsi="Arial" w:cs="Arial"/>
          <w:sz w:val="20"/>
          <w:szCs w:val="20"/>
          <w:lang w:val="fr-CA"/>
        </w:rPr>
      </w:pPr>
    </w:p>
    <w:p w:rsidR="00807E0F" w:rsidRDefault="00807E0F" w:rsidP="00807E0F">
      <w:pPr>
        <w:rPr>
          <w:rFonts w:ascii="Arial" w:hAnsi="Arial" w:cs="Arial"/>
          <w:sz w:val="20"/>
          <w:szCs w:val="20"/>
          <w:lang w:val="fr-CA"/>
        </w:rPr>
      </w:pPr>
      <w:r>
        <w:rPr>
          <w:rFonts w:ascii="Arial" w:hAnsi="Arial" w:cs="Arial"/>
          <w:sz w:val="20"/>
          <w:szCs w:val="20"/>
          <w:lang w:val="fr-CA"/>
        </w:rPr>
        <w:t>Essentiellement</w:t>
      </w:r>
      <w:r w:rsidRPr="00760839">
        <w:rPr>
          <w:rFonts w:ascii="Arial" w:hAnsi="Arial" w:cs="Arial"/>
          <w:sz w:val="20"/>
          <w:szCs w:val="20"/>
          <w:lang w:val="fr-CA"/>
        </w:rPr>
        <w:t xml:space="preserve">, le CRG définit les conditions qui doivent être mises en place pour s’assurer que le gouvernement est géré efficacement et </w:t>
      </w:r>
      <w:r w:rsidR="00A65707">
        <w:rPr>
          <w:rFonts w:ascii="Arial" w:hAnsi="Arial" w:cs="Arial"/>
          <w:sz w:val="20"/>
          <w:szCs w:val="20"/>
          <w:lang w:val="fr-CA"/>
        </w:rPr>
        <w:t xml:space="preserve">pour </w:t>
      </w:r>
      <w:r w:rsidRPr="00760839">
        <w:rPr>
          <w:rFonts w:ascii="Arial" w:hAnsi="Arial" w:cs="Arial"/>
          <w:sz w:val="20"/>
          <w:szCs w:val="20"/>
          <w:lang w:val="fr-CA"/>
        </w:rPr>
        <w:t xml:space="preserve">promouvoir l’excellence en matière de gestion. Le processus comprend une évaluation annuelle du CRG qui est utilisé comme outil d’analyse pour cerner les forces et les faiblesses en gestion et enfin, les résultats en lien avec un plan d’action particulier touchant l’amélioration de la gestion et la présentation de rapports au public sur l’état de la gestion au sein du </w:t>
      </w:r>
      <w:r w:rsidR="00A65707">
        <w:rPr>
          <w:rFonts w:ascii="Arial" w:hAnsi="Arial" w:cs="Arial"/>
          <w:sz w:val="20"/>
          <w:szCs w:val="20"/>
          <w:lang w:val="fr-CA"/>
        </w:rPr>
        <w:t>ministère</w:t>
      </w:r>
      <w:r w:rsidRPr="00001E0D">
        <w:rPr>
          <w:rFonts w:ascii="Arial" w:hAnsi="Arial" w:cs="Arial"/>
          <w:sz w:val="20"/>
          <w:szCs w:val="20"/>
          <w:lang w:val="fr-CA"/>
        </w:rPr>
        <w:t>.</w:t>
      </w:r>
    </w:p>
    <w:p w:rsidR="00807E0F" w:rsidRPr="00001E0D" w:rsidRDefault="00807E0F" w:rsidP="00807E0F">
      <w:pPr>
        <w:rPr>
          <w:rFonts w:ascii="Arial" w:hAnsi="Arial" w:cs="Arial"/>
          <w:sz w:val="20"/>
          <w:szCs w:val="20"/>
          <w:lang w:val="fr-CA"/>
        </w:rPr>
      </w:pPr>
    </w:p>
    <w:p w:rsidR="00807E0F" w:rsidRPr="00001E0D" w:rsidRDefault="00807E0F" w:rsidP="00807E0F">
      <w:pPr>
        <w:pStyle w:val="Heading3"/>
        <w:rPr>
          <w:lang w:val="fr-CA"/>
        </w:rPr>
      </w:pPr>
      <w:bookmarkStart w:id="89" w:name="_Toc485812741"/>
      <w:r w:rsidRPr="00001E0D">
        <w:rPr>
          <w:lang w:val="fr-CA"/>
        </w:rPr>
        <w:t xml:space="preserve">4.1.2. </w:t>
      </w:r>
      <w:r>
        <w:rPr>
          <w:lang w:val="fr-CA"/>
        </w:rPr>
        <w:t>Rapport financier ministériel trimestriel</w:t>
      </w:r>
      <w:bookmarkEnd w:id="89"/>
    </w:p>
    <w:p w:rsidR="00807E0F" w:rsidRPr="00001E0D" w:rsidRDefault="00807E0F" w:rsidP="00807E0F">
      <w:pPr>
        <w:rPr>
          <w:rFonts w:ascii="Arial" w:hAnsi="Arial" w:cs="Arial"/>
          <w:sz w:val="20"/>
          <w:szCs w:val="20"/>
          <w:lang w:val="fr-CA"/>
        </w:rPr>
      </w:pPr>
    </w:p>
    <w:p w:rsidR="00807E0F" w:rsidRPr="00001E0D" w:rsidRDefault="00807E0F" w:rsidP="00807E0F">
      <w:pPr>
        <w:rPr>
          <w:rFonts w:ascii="Arial" w:hAnsi="Arial" w:cs="Arial"/>
          <w:sz w:val="20"/>
          <w:szCs w:val="20"/>
          <w:lang w:val="fr-CA"/>
        </w:rPr>
      </w:pPr>
      <w:r w:rsidRPr="00E75DB2">
        <w:rPr>
          <w:rFonts w:ascii="Arial" w:hAnsi="Arial" w:cs="Arial"/>
          <w:sz w:val="20"/>
          <w:szCs w:val="20"/>
          <w:lang w:val="fr-CA"/>
        </w:rPr>
        <w:t xml:space="preserve">Le Parlement et les Canadiens </w:t>
      </w:r>
      <w:r>
        <w:rPr>
          <w:rFonts w:ascii="Arial" w:hAnsi="Arial" w:cs="Arial"/>
          <w:sz w:val="20"/>
          <w:szCs w:val="20"/>
          <w:lang w:val="fr-CA"/>
        </w:rPr>
        <w:t>s’</w:t>
      </w:r>
      <w:r w:rsidRPr="00E75DB2">
        <w:rPr>
          <w:rFonts w:ascii="Arial" w:hAnsi="Arial" w:cs="Arial"/>
          <w:sz w:val="20"/>
          <w:szCs w:val="20"/>
          <w:lang w:val="fr-CA"/>
        </w:rPr>
        <w:t xml:space="preserve">attendent </w:t>
      </w:r>
      <w:r>
        <w:rPr>
          <w:rFonts w:ascii="Arial" w:hAnsi="Arial" w:cs="Arial"/>
          <w:sz w:val="20"/>
          <w:szCs w:val="20"/>
          <w:lang w:val="fr-CA"/>
        </w:rPr>
        <w:t xml:space="preserve">à </w:t>
      </w:r>
      <w:r w:rsidRPr="00E75DB2">
        <w:rPr>
          <w:rFonts w:ascii="Arial" w:hAnsi="Arial" w:cs="Arial"/>
          <w:sz w:val="20"/>
          <w:szCs w:val="20"/>
          <w:lang w:val="fr-CA"/>
        </w:rPr>
        <w:t xml:space="preserve">des rapports rapides et fiables qui assurent une transparence et une responsabilité en ce qui a trait à la façon dont le gouvernement dépense les fonds publics afin d’obtenir des résultats pour les Canadiens. À cette fin, les </w:t>
      </w:r>
      <w:r w:rsidR="00B9516F">
        <w:rPr>
          <w:rFonts w:ascii="Arial" w:hAnsi="Arial" w:cs="Arial"/>
          <w:sz w:val="20"/>
          <w:szCs w:val="20"/>
          <w:lang w:val="fr-CA"/>
        </w:rPr>
        <w:t>ministère</w:t>
      </w:r>
      <w:r w:rsidRPr="00E75DB2">
        <w:rPr>
          <w:rFonts w:ascii="Arial" w:hAnsi="Arial" w:cs="Arial"/>
          <w:sz w:val="20"/>
          <w:szCs w:val="20"/>
          <w:lang w:val="fr-CA"/>
        </w:rPr>
        <w:t>s doivent élaborer et rendre public un</w:t>
      </w:r>
      <w:r w:rsidRPr="00001E0D">
        <w:rPr>
          <w:rFonts w:ascii="Arial" w:hAnsi="Arial" w:cs="Arial"/>
          <w:sz w:val="20"/>
          <w:szCs w:val="20"/>
          <w:lang w:val="fr-CA"/>
        </w:rPr>
        <w:t xml:space="preserve"> </w:t>
      </w:r>
      <w:hyperlink r:id="rId48" w:history="1">
        <w:r w:rsidR="00A65707">
          <w:rPr>
            <w:rStyle w:val="Hyperlink"/>
            <w:rFonts w:ascii="Arial" w:hAnsi="Arial" w:cs="Arial"/>
            <w:sz w:val="20"/>
            <w:szCs w:val="20"/>
            <w:lang w:val="fr-CA"/>
          </w:rPr>
          <w:t>Rapport financier trimestriel</w:t>
        </w:r>
      </w:hyperlink>
      <w:r w:rsidRPr="00001E0D">
        <w:rPr>
          <w:rFonts w:ascii="Arial" w:hAnsi="Arial" w:cs="Arial"/>
          <w:sz w:val="20"/>
          <w:szCs w:val="20"/>
          <w:lang w:val="fr-CA"/>
        </w:rPr>
        <w:t xml:space="preserve"> </w:t>
      </w:r>
      <w:r w:rsidRPr="00E75DB2">
        <w:rPr>
          <w:rFonts w:ascii="Arial" w:hAnsi="Arial" w:cs="Arial"/>
          <w:sz w:val="20"/>
          <w:szCs w:val="20"/>
          <w:lang w:val="fr-CA"/>
        </w:rPr>
        <w:t>pour chacun des trois premiers trimestres de chaque exercice, en faisant état des résultats, des risques et des changements importants en lien avec les opérations, le personnel et les programmes</w:t>
      </w:r>
      <w:r w:rsidRPr="00001E0D">
        <w:rPr>
          <w:rFonts w:ascii="Arial" w:hAnsi="Arial" w:cs="Arial"/>
          <w:sz w:val="20"/>
          <w:szCs w:val="20"/>
          <w:lang w:val="fr-CA"/>
        </w:rPr>
        <w:t>.</w:t>
      </w:r>
    </w:p>
    <w:p w:rsidR="00807E0F" w:rsidRPr="00001E0D" w:rsidRDefault="00807E0F" w:rsidP="00807E0F">
      <w:pPr>
        <w:rPr>
          <w:rFonts w:ascii="Arial" w:hAnsi="Arial" w:cs="Arial"/>
          <w:sz w:val="20"/>
          <w:szCs w:val="20"/>
          <w:lang w:val="fr-CA"/>
        </w:rPr>
      </w:pPr>
    </w:p>
    <w:p w:rsidR="00807E0F" w:rsidRPr="00001E0D" w:rsidRDefault="00807E0F" w:rsidP="00807E0F">
      <w:pPr>
        <w:pStyle w:val="Heading3"/>
        <w:rPr>
          <w:lang w:val="fr-CA"/>
        </w:rPr>
      </w:pPr>
      <w:bookmarkStart w:id="90" w:name="_Toc485812742"/>
      <w:r w:rsidRPr="00001E0D">
        <w:rPr>
          <w:lang w:val="fr-CA"/>
        </w:rPr>
        <w:t xml:space="preserve">4.1.3. </w:t>
      </w:r>
      <w:r>
        <w:rPr>
          <w:lang w:val="fr-CA"/>
        </w:rPr>
        <w:t>Comptes publics du</w:t>
      </w:r>
      <w:r w:rsidRPr="00001E0D">
        <w:rPr>
          <w:lang w:val="fr-CA"/>
        </w:rPr>
        <w:t xml:space="preserve"> Canada</w:t>
      </w:r>
      <w:bookmarkEnd w:id="90"/>
    </w:p>
    <w:p w:rsidR="00807E0F" w:rsidRPr="00001E0D" w:rsidRDefault="00807E0F" w:rsidP="00807E0F">
      <w:pPr>
        <w:rPr>
          <w:rFonts w:ascii="Arial" w:hAnsi="Arial" w:cs="Arial"/>
          <w:sz w:val="20"/>
          <w:szCs w:val="20"/>
          <w:lang w:val="fr-CA"/>
        </w:rPr>
      </w:pPr>
    </w:p>
    <w:p w:rsidR="00807E0F" w:rsidRPr="00001E0D" w:rsidRDefault="00807E0F" w:rsidP="00807E0F">
      <w:pPr>
        <w:rPr>
          <w:rFonts w:ascii="Arial" w:hAnsi="Arial" w:cs="Arial"/>
          <w:sz w:val="20"/>
          <w:szCs w:val="20"/>
          <w:lang w:val="fr-CA"/>
        </w:rPr>
      </w:pPr>
      <w:r>
        <w:rPr>
          <w:rFonts w:ascii="Arial" w:hAnsi="Arial" w:cs="Arial"/>
          <w:sz w:val="20"/>
          <w:szCs w:val="20"/>
          <w:lang w:val="fr-CA"/>
        </w:rPr>
        <w:t xml:space="preserve">Les </w:t>
      </w:r>
      <w:hyperlink r:id="rId49" w:history="1">
        <w:r w:rsidR="00A65707">
          <w:rPr>
            <w:rStyle w:val="Hyperlink"/>
            <w:rFonts w:ascii="Arial" w:hAnsi="Arial" w:cs="Arial"/>
            <w:sz w:val="20"/>
            <w:szCs w:val="20"/>
            <w:lang w:val="fr-CA"/>
          </w:rPr>
          <w:t>Comptes publics du Canada</w:t>
        </w:r>
      </w:hyperlink>
      <w:r>
        <w:rPr>
          <w:rFonts w:ascii="Arial" w:hAnsi="Arial" w:cs="Arial"/>
          <w:sz w:val="20"/>
          <w:szCs w:val="20"/>
          <w:lang w:val="fr-CA"/>
        </w:rPr>
        <w:t xml:space="preserve"> est un</w:t>
      </w:r>
      <w:r w:rsidRPr="00E75DB2">
        <w:rPr>
          <w:rFonts w:ascii="Arial" w:hAnsi="Arial" w:cs="Arial"/>
          <w:sz w:val="20"/>
          <w:szCs w:val="20"/>
          <w:lang w:val="fr-CA"/>
        </w:rPr>
        <w:t xml:space="preserve"> rapport du gouvernement du Canada préparé chaque année par le </w:t>
      </w:r>
      <w:hyperlink r:id="rId50" w:history="1">
        <w:r w:rsidR="00A65707">
          <w:rPr>
            <w:rStyle w:val="Hyperlink"/>
            <w:rFonts w:ascii="Arial" w:hAnsi="Arial" w:cs="Arial"/>
            <w:sz w:val="20"/>
            <w:szCs w:val="20"/>
            <w:lang w:val="fr-CA"/>
          </w:rPr>
          <w:t>Receveur général</w:t>
        </w:r>
      </w:hyperlink>
      <w:r w:rsidRPr="00001E0D">
        <w:rPr>
          <w:rFonts w:ascii="Arial" w:hAnsi="Arial" w:cs="Arial"/>
          <w:sz w:val="20"/>
          <w:szCs w:val="20"/>
          <w:lang w:val="fr-CA"/>
        </w:rPr>
        <w:t xml:space="preserve">. </w:t>
      </w:r>
      <w:r w:rsidRPr="00E171F3">
        <w:rPr>
          <w:rFonts w:ascii="Arial" w:hAnsi="Arial" w:cs="Arial"/>
          <w:sz w:val="20"/>
          <w:szCs w:val="20"/>
          <w:lang w:val="fr-CA"/>
        </w:rPr>
        <w:t xml:space="preserve">Il porte sur l’exercice financier du gouvernement, qui se termine le 31 mars, et il est préparé à partir de données que renferment les comptes du Canada ainsi qu’à partir de dossiers plus détaillés que tiennent les </w:t>
      </w:r>
      <w:r w:rsidR="00B9516F">
        <w:rPr>
          <w:rFonts w:ascii="Arial" w:hAnsi="Arial" w:cs="Arial"/>
          <w:sz w:val="20"/>
          <w:szCs w:val="20"/>
          <w:lang w:val="fr-CA"/>
        </w:rPr>
        <w:t>ministère</w:t>
      </w:r>
      <w:r w:rsidRPr="00E171F3">
        <w:rPr>
          <w:rFonts w:ascii="Arial" w:hAnsi="Arial" w:cs="Arial"/>
          <w:sz w:val="20"/>
          <w:szCs w:val="20"/>
          <w:lang w:val="fr-CA"/>
        </w:rPr>
        <w:t xml:space="preserve">s et les organismes. Les comptes du Canada </w:t>
      </w:r>
      <w:r>
        <w:rPr>
          <w:rFonts w:ascii="Arial" w:hAnsi="Arial" w:cs="Arial"/>
          <w:sz w:val="20"/>
          <w:szCs w:val="20"/>
          <w:lang w:val="fr-CA"/>
        </w:rPr>
        <w:t>sont</w:t>
      </w:r>
      <w:r w:rsidRPr="00E171F3">
        <w:rPr>
          <w:rFonts w:ascii="Arial" w:hAnsi="Arial" w:cs="Arial"/>
          <w:sz w:val="20"/>
          <w:szCs w:val="20"/>
          <w:lang w:val="fr-CA"/>
        </w:rPr>
        <w:t xml:space="preserve"> le re</w:t>
      </w:r>
      <w:r w:rsidR="00A65707">
        <w:rPr>
          <w:rFonts w:ascii="Arial" w:hAnsi="Arial" w:cs="Arial"/>
          <w:sz w:val="20"/>
          <w:szCs w:val="20"/>
          <w:lang w:val="fr-CA"/>
        </w:rPr>
        <w:t>gistre centralisé que tient le R</w:t>
      </w:r>
      <w:r w:rsidRPr="00E171F3">
        <w:rPr>
          <w:rFonts w:ascii="Arial" w:hAnsi="Arial" w:cs="Arial"/>
          <w:sz w:val="20"/>
          <w:szCs w:val="20"/>
          <w:lang w:val="fr-CA"/>
        </w:rPr>
        <w:t xml:space="preserve">eceveur général au sujet des opérations financières du gouvernement et dans lequel sont résumées les opérations de tous les </w:t>
      </w:r>
      <w:r w:rsidR="00B9516F">
        <w:rPr>
          <w:rFonts w:ascii="Arial" w:hAnsi="Arial" w:cs="Arial"/>
          <w:sz w:val="20"/>
          <w:szCs w:val="20"/>
          <w:lang w:val="fr-CA"/>
        </w:rPr>
        <w:t>ministère</w:t>
      </w:r>
      <w:r w:rsidRPr="00E171F3">
        <w:rPr>
          <w:rFonts w:ascii="Arial" w:hAnsi="Arial" w:cs="Arial"/>
          <w:sz w:val="20"/>
          <w:szCs w:val="20"/>
          <w:lang w:val="fr-CA"/>
        </w:rPr>
        <w:t xml:space="preserve">s et organismes. Chaque </w:t>
      </w:r>
      <w:r w:rsidR="00B9516F">
        <w:rPr>
          <w:rFonts w:ascii="Arial" w:hAnsi="Arial" w:cs="Arial"/>
          <w:sz w:val="20"/>
          <w:szCs w:val="20"/>
          <w:lang w:val="fr-CA"/>
        </w:rPr>
        <w:t>ministère</w:t>
      </w:r>
      <w:r w:rsidRPr="00E171F3">
        <w:rPr>
          <w:rFonts w:ascii="Arial" w:hAnsi="Arial" w:cs="Arial"/>
          <w:sz w:val="20"/>
          <w:szCs w:val="20"/>
          <w:lang w:val="fr-CA"/>
        </w:rPr>
        <w:t xml:space="preserve"> et organisme est responsable de faire concorder ses comptes avec les comptes de contrôle du </w:t>
      </w:r>
      <w:r w:rsidR="00A65707">
        <w:rPr>
          <w:rFonts w:ascii="Arial" w:hAnsi="Arial" w:cs="Arial"/>
          <w:sz w:val="20"/>
          <w:szCs w:val="20"/>
          <w:lang w:val="fr-CA"/>
        </w:rPr>
        <w:t>R</w:t>
      </w:r>
      <w:r w:rsidRPr="00E171F3">
        <w:rPr>
          <w:rFonts w:ascii="Arial" w:hAnsi="Arial" w:cs="Arial"/>
          <w:sz w:val="20"/>
          <w:szCs w:val="20"/>
          <w:lang w:val="fr-CA"/>
        </w:rPr>
        <w:t>eceveur général et de tenir des dossiers détaillés des opérations effectuées dans ses comptes</w:t>
      </w:r>
      <w:r>
        <w:rPr>
          <w:rFonts w:ascii="Arial" w:hAnsi="Arial" w:cs="Arial"/>
          <w:sz w:val="20"/>
          <w:szCs w:val="20"/>
          <w:lang w:val="fr-CA"/>
        </w:rPr>
        <w:t>.</w:t>
      </w:r>
    </w:p>
    <w:p w:rsidR="00807E0F" w:rsidRPr="00001E0D" w:rsidRDefault="00807E0F" w:rsidP="00807E0F">
      <w:pPr>
        <w:rPr>
          <w:rFonts w:ascii="Arial" w:hAnsi="Arial" w:cs="Arial"/>
          <w:sz w:val="20"/>
          <w:szCs w:val="20"/>
          <w:lang w:val="fr-CA"/>
        </w:rPr>
      </w:pPr>
    </w:p>
    <w:p w:rsidR="00807E0F" w:rsidRPr="00001E0D" w:rsidRDefault="00807E0F" w:rsidP="00807E0F">
      <w:pPr>
        <w:rPr>
          <w:rFonts w:ascii="Arial" w:hAnsi="Arial" w:cs="Arial"/>
          <w:sz w:val="20"/>
          <w:szCs w:val="20"/>
          <w:lang w:val="fr-CA"/>
        </w:rPr>
      </w:pPr>
    </w:p>
    <w:p w:rsidR="00807E0F" w:rsidRPr="00001E0D" w:rsidRDefault="00807E0F" w:rsidP="00807E0F">
      <w:pPr>
        <w:pStyle w:val="Heading3"/>
        <w:rPr>
          <w:lang w:val="fr-CA"/>
        </w:rPr>
      </w:pPr>
      <w:bookmarkStart w:id="91" w:name="_Toc485812743"/>
      <w:r w:rsidRPr="00001E0D">
        <w:rPr>
          <w:lang w:val="fr-CA"/>
        </w:rPr>
        <w:lastRenderedPageBreak/>
        <w:t xml:space="preserve">4.1.4. </w:t>
      </w:r>
      <w:r>
        <w:rPr>
          <w:lang w:val="fr-CA"/>
        </w:rPr>
        <w:t>États financiers ministériels</w:t>
      </w:r>
      <w:bookmarkEnd w:id="91"/>
    </w:p>
    <w:p w:rsidR="00807E0F" w:rsidRPr="00001E0D" w:rsidRDefault="00807E0F" w:rsidP="00807E0F">
      <w:pPr>
        <w:rPr>
          <w:rFonts w:ascii="Arial" w:hAnsi="Arial" w:cs="Arial"/>
          <w:sz w:val="20"/>
          <w:szCs w:val="20"/>
          <w:lang w:val="fr-CA"/>
        </w:rPr>
      </w:pPr>
    </w:p>
    <w:p w:rsidR="00807E0F" w:rsidRDefault="00807E0F" w:rsidP="00807E0F">
      <w:pPr>
        <w:rPr>
          <w:lang w:val="fr-CA"/>
        </w:rPr>
      </w:pPr>
      <w:r w:rsidRPr="00FE3A1E">
        <w:rPr>
          <w:rFonts w:ascii="Arial" w:hAnsi="Arial" w:cs="Arial"/>
          <w:sz w:val="20"/>
          <w:szCs w:val="20"/>
          <w:lang w:val="fr-CA"/>
        </w:rPr>
        <w:t xml:space="preserve">Les </w:t>
      </w:r>
      <w:hyperlink r:id="rId51" w:history="1">
        <w:r w:rsidR="00A65707">
          <w:rPr>
            <w:rStyle w:val="Hyperlink"/>
            <w:rFonts w:ascii="Arial" w:hAnsi="Arial" w:cs="Arial"/>
            <w:sz w:val="20"/>
            <w:szCs w:val="20"/>
            <w:lang w:val="fr-CA"/>
          </w:rPr>
          <w:t>États financiers ministériels</w:t>
        </w:r>
      </w:hyperlink>
      <w:r w:rsidRPr="00FE3A1E">
        <w:rPr>
          <w:rFonts w:ascii="Arial" w:hAnsi="Arial" w:cs="Arial"/>
          <w:sz w:val="20"/>
          <w:szCs w:val="20"/>
          <w:lang w:val="fr-CA"/>
        </w:rPr>
        <w:t xml:space="preserve"> annuels ont comme objectif premier de démontrer qu’un </w:t>
      </w:r>
      <w:r w:rsidR="00B9516F">
        <w:rPr>
          <w:rFonts w:ascii="Arial" w:hAnsi="Arial" w:cs="Arial"/>
          <w:sz w:val="20"/>
          <w:szCs w:val="20"/>
          <w:lang w:val="fr-CA"/>
        </w:rPr>
        <w:t>ministère</w:t>
      </w:r>
      <w:r w:rsidRPr="00FE3A1E">
        <w:rPr>
          <w:rFonts w:ascii="Arial" w:hAnsi="Arial" w:cs="Arial"/>
          <w:sz w:val="20"/>
          <w:szCs w:val="20"/>
          <w:lang w:val="fr-CA"/>
        </w:rPr>
        <w:t xml:space="preserve"> exerce une gestion responsable des ressources qui lui sont confiées pour leur permettre d’exercer leurs activités dans le cadre de leur mandat, conformément à leur cadre ministériel de résultats approuvé.  Les résultats des activités de fonctionnement du </w:t>
      </w:r>
      <w:r w:rsidR="00B9516F">
        <w:rPr>
          <w:rFonts w:ascii="Arial" w:hAnsi="Arial" w:cs="Arial"/>
          <w:sz w:val="20"/>
          <w:szCs w:val="20"/>
          <w:lang w:val="fr-CA"/>
        </w:rPr>
        <w:t>ministère</w:t>
      </w:r>
      <w:r w:rsidRPr="00FE3A1E">
        <w:rPr>
          <w:rFonts w:ascii="Arial" w:hAnsi="Arial" w:cs="Arial"/>
          <w:sz w:val="20"/>
          <w:szCs w:val="20"/>
          <w:lang w:val="fr-CA"/>
        </w:rPr>
        <w:t xml:space="preserve"> représentent les dépenses engagées et les revenus enregistrés pour lesquels l’administrateur général est responsable et dont il doit maintenir le contrôle.  Les états financiers ministériels sont publiés tous les ans dans le cadre du processus relatif au Rapport sur les résultats ministériels et comprennent un état de la situation financière, un état des résultats et de la situation financière nette ministérielle, un état de la variation de la dette nette ministérielle/des actifs financiers nets, un état des flux de trésorerie, ainsi que des notes aux états financiers.</w:t>
      </w:r>
    </w:p>
    <w:p w:rsidR="00807E0F" w:rsidRDefault="00807E0F" w:rsidP="00807E0F">
      <w:pPr>
        <w:rPr>
          <w:lang w:val="fr-CA"/>
        </w:rPr>
      </w:pPr>
    </w:p>
    <w:p w:rsidR="00807E0F" w:rsidRPr="00001E0D" w:rsidRDefault="00807E0F" w:rsidP="00807E0F">
      <w:pPr>
        <w:pStyle w:val="Heading3"/>
        <w:rPr>
          <w:lang w:val="fr-CA"/>
        </w:rPr>
      </w:pPr>
      <w:bookmarkStart w:id="92" w:name="_Toc485812744"/>
      <w:r w:rsidRPr="00001E0D">
        <w:rPr>
          <w:lang w:val="fr-CA"/>
        </w:rPr>
        <w:t xml:space="preserve">4.1.5. </w:t>
      </w:r>
      <w:r w:rsidRPr="00B4225D">
        <w:rPr>
          <w:lang w:val="fr-CA"/>
        </w:rPr>
        <w:t xml:space="preserve">Rapports </w:t>
      </w:r>
      <w:r w:rsidRPr="005008AC">
        <w:rPr>
          <w:lang w:val="fr-CA"/>
        </w:rPr>
        <w:t xml:space="preserve">sur les résultats </w:t>
      </w:r>
      <w:r w:rsidRPr="00B4225D">
        <w:rPr>
          <w:lang w:val="fr-CA"/>
        </w:rPr>
        <w:t>ministériels (R</w:t>
      </w:r>
      <w:r w:rsidRPr="003C520C">
        <w:rPr>
          <w:lang w:val="fr-CA"/>
        </w:rPr>
        <w:t>R</w:t>
      </w:r>
      <w:r w:rsidRPr="005008AC">
        <w:rPr>
          <w:lang w:val="fr-CA"/>
        </w:rPr>
        <w:t>M</w:t>
      </w:r>
      <w:r w:rsidRPr="00B4225D">
        <w:rPr>
          <w:lang w:val="fr-CA"/>
        </w:rPr>
        <w:t>)</w:t>
      </w:r>
      <w:bookmarkEnd w:id="92"/>
    </w:p>
    <w:p w:rsidR="00807E0F" w:rsidRPr="00001E0D" w:rsidRDefault="00807E0F" w:rsidP="00807E0F">
      <w:pPr>
        <w:rPr>
          <w:rFonts w:ascii="Arial" w:hAnsi="Arial" w:cs="Arial"/>
          <w:sz w:val="20"/>
          <w:szCs w:val="20"/>
          <w:lang w:val="fr-CA"/>
        </w:rPr>
      </w:pPr>
    </w:p>
    <w:p w:rsidR="00807E0F" w:rsidRPr="00001E0D" w:rsidRDefault="00807E0F" w:rsidP="00807E0F">
      <w:pPr>
        <w:rPr>
          <w:rFonts w:ascii="Arial" w:hAnsi="Arial" w:cs="Arial"/>
          <w:sz w:val="20"/>
          <w:szCs w:val="20"/>
          <w:lang w:val="fr-CA"/>
        </w:rPr>
      </w:pPr>
      <w:r>
        <w:rPr>
          <w:rFonts w:ascii="Arial" w:hAnsi="Arial" w:cs="Arial"/>
          <w:sz w:val="20"/>
          <w:szCs w:val="20"/>
          <w:lang w:val="fr-CA"/>
        </w:rPr>
        <w:t>Le</w:t>
      </w:r>
      <w:r w:rsidRPr="00001E0D">
        <w:rPr>
          <w:rFonts w:ascii="Arial" w:hAnsi="Arial" w:cs="Arial"/>
          <w:sz w:val="20"/>
          <w:szCs w:val="20"/>
          <w:lang w:val="fr-CA"/>
        </w:rPr>
        <w:t xml:space="preserve"> </w:t>
      </w:r>
      <w:hyperlink r:id="rId52" w:history="1">
        <w:r>
          <w:rPr>
            <w:rStyle w:val="Hyperlink"/>
            <w:rFonts w:ascii="Arial" w:hAnsi="Arial" w:cs="Arial"/>
            <w:sz w:val="20"/>
            <w:szCs w:val="20"/>
            <w:lang w:val="fr-CA"/>
          </w:rPr>
          <w:t xml:space="preserve">Rapport sur les résultats ministériels </w:t>
        </w:r>
      </w:hyperlink>
      <w:r w:rsidRPr="00001E0D">
        <w:rPr>
          <w:rFonts w:ascii="Arial" w:hAnsi="Arial" w:cs="Arial"/>
          <w:sz w:val="20"/>
          <w:szCs w:val="20"/>
          <w:lang w:val="fr-CA"/>
        </w:rPr>
        <w:t xml:space="preserve"> (</w:t>
      </w:r>
      <w:r>
        <w:rPr>
          <w:rFonts w:ascii="Arial" w:hAnsi="Arial" w:cs="Arial"/>
          <w:sz w:val="20"/>
          <w:szCs w:val="20"/>
          <w:lang w:val="fr-CA"/>
        </w:rPr>
        <w:t>RRM</w:t>
      </w:r>
      <w:r w:rsidR="00A65707">
        <w:rPr>
          <w:rFonts w:ascii="Arial" w:hAnsi="Arial" w:cs="Arial"/>
          <w:sz w:val="20"/>
          <w:szCs w:val="20"/>
          <w:lang w:val="fr-CA"/>
        </w:rPr>
        <w:t>), c</w:t>
      </w:r>
      <w:r>
        <w:rPr>
          <w:rFonts w:ascii="Arial" w:hAnsi="Arial" w:cs="Arial"/>
          <w:sz w:val="20"/>
          <w:szCs w:val="20"/>
          <w:lang w:val="fr-CA"/>
        </w:rPr>
        <w:t>onnu précédemment sous le nom de Rapport min</w:t>
      </w:r>
      <w:r w:rsidR="00A65707">
        <w:rPr>
          <w:rFonts w:ascii="Arial" w:hAnsi="Arial" w:cs="Arial"/>
          <w:sz w:val="20"/>
          <w:szCs w:val="20"/>
          <w:lang w:val="fr-CA"/>
        </w:rPr>
        <w:t>istériel sur le rendement (RMR),</w:t>
      </w:r>
      <w:r>
        <w:rPr>
          <w:rFonts w:ascii="Arial" w:hAnsi="Arial" w:cs="Arial"/>
          <w:sz w:val="20"/>
          <w:szCs w:val="20"/>
          <w:lang w:val="fr-CA"/>
        </w:rPr>
        <w:t xml:space="preserve"> </w:t>
      </w:r>
      <w:r w:rsidRPr="00E171F3">
        <w:rPr>
          <w:rFonts w:ascii="Arial" w:hAnsi="Arial" w:cs="Arial"/>
          <w:sz w:val="20"/>
          <w:szCs w:val="20"/>
          <w:lang w:val="fr-CA"/>
        </w:rPr>
        <w:t xml:space="preserve">présente un compte rendu ministériel des réalisations par rapport aux plans de rendement exposés dans le </w:t>
      </w:r>
      <w:r>
        <w:rPr>
          <w:rFonts w:ascii="Arial" w:hAnsi="Arial" w:cs="Arial"/>
          <w:sz w:val="20"/>
          <w:szCs w:val="20"/>
          <w:lang w:val="fr-CA"/>
        </w:rPr>
        <w:t>PM</w:t>
      </w:r>
      <w:r w:rsidR="00A65707">
        <w:rPr>
          <w:rFonts w:ascii="Arial" w:hAnsi="Arial" w:cs="Arial"/>
          <w:sz w:val="20"/>
          <w:szCs w:val="20"/>
          <w:lang w:val="fr-CA"/>
        </w:rPr>
        <w:t xml:space="preserve">, </w:t>
      </w:r>
      <w:r>
        <w:rPr>
          <w:rFonts w:ascii="Arial" w:hAnsi="Arial" w:cs="Arial"/>
          <w:sz w:val="20"/>
          <w:szCs w:val="20"/>
          <w:lang w:val="fr-CA"/>
        </w:rPr>
        <w:t xml:space="preserve">connu précédemment sous le nom de </w:t>
      </w:r>
      <w:r w:rsidRPr="00E171F3">
        <w:rPr>
          <w:rFonts w:ascii="Arial" w:hAnsi="Arial" w:cs="Arial"/>
          <w:sz w:val="20"/>
          <w:szCs w:val="20"/>
          <w:lang w:val="fr-CA"/>
        </w:rPr>
        <w:t xml:space="preserve">RPP. Chaque </w:t>
      </w:r>
      <w:r>
        <w:rPr>
          <w:rFonts w:ascii="Arial" w:hAnsi="Arial" w:cs="Arial"/>
          <w:sz w:val="20"/>
          <w:szCs w:val="20"/>
          <w:lang w:val="fr-CA"/>
        </w:rPr>
        <w:t>automne</w:t>
      </w:r>
      <w:r w:rsidRPr="00E171F3">
        <w:rPr>
          <w:rFonts w:ascii="Arial" w:hAnsi="Arial" w:cs="Arial"/>
          <w:sz w:val="20"/>
          <w:szCs w:val="20"/>
          <w:lang w:val="fr-CA"/>
        </w:rPr>
        <w:t>, le président du CT présente le R</w:t>
      </w:r>
      <w:r>
        <w:rPr>
          <w:rFonts w:ascii="Arial" w:hAnsi="Arial" w:cs="Arial"/>
          <w:sz w:val="20"/>
          <w:szCs w:val="20"/>
          <w:lang w:val="fr-CA"/>
        </w:rPr>
        <w:t>R</w:t>
      </w:r>
      <w:r w:rsidRPr="00E171F3">
        <w:rPr>
          <w:rFonts w:ascii="Arial" w:hAnsi="Arial" w:cs="Arial"/>
          <w:sz w:val="20"/>
          <w:szCs w:val="20"/>
          <w:lang w:val="fr-CA"/>
        </w:rPr>
        <w:t>M au Parlement pour l’exercice qui a pris fin le 31 mars précédent</w:t>
      </w:r>
      <w:r w:rsidRPr="00001E0D">
        <w:rPr>
          <w:rFonts w:ascii="Arial" w:hAnsi="Arial" w:cs="Arial"/>
          <w:sz w:val="20"/>
          <w:szCs w:val="20"/>
          <w:lang w:val="fr-CA"/>
        </w:rPr>
        <w:t>.</w:t>
      </w:r>
    </w:p>
    <w:p w:rsidR="00807E0F" w:rsidRPr="00001E0D" w:rsidRDefault="00807E0F" w:rsidP="00807E0F">
      <w:pPr>
        <w:rPr>
          <w:rFonts w:ascii="Arial" w:hAnsi="Arial" w:cs="Arial"/>
          <w:sz w:val="20"/>
          <w:szCs w:val="20"/>
          <w:lang w:val="fr-CA"/>
        </w:rPr>
      </w:pPr>
    </w:p>
    <w:p w:rsidR="00807E0F" w:rsidRPr="00001E0D" w:rsidRDefault="00807E0F" w:rsidP="00807E0F">
      <w:pPr>
        <w:rPr>
          <w:rFonts w:ascii="Arial" w:hAnsi="Arial" w:cs="Arial"/>
          <w:sz w:val="20"/>
          <w:szCs w:val="20"/>
          <w:lang w:val="fr-CA"/>
        </w:rPr>
      </w:pPr>
    </w:p>
    <w:p w:rsidR="00807E0F" w:rsidRDefault="00807E0F" w:rsidP="00807E0F">
      <w:pPr>
        <w:rPr>
          <w:rFonts w:ascii="Arial" w:hAnsi="Arial" w:cs="Arial"/>
          <w:sz w:val="20"/>
          <w:szCs w:val="20"/>
          <w:lang w:val="fr-CA"/>
        </w:rPr>
      </w:pPr>
    </w:p>
    <w:p w:rsidR="00807E0F" w:rsidRDefault="00807E0F" w:rsidP="00807E0F">
      <w:pPr>
        <w:rPr>
          <w:rFonts w:ascii="Arial" w:hAnsi="Arial" w:cs="Arial"/>
          <w:sz w:val="20"/>
          <w:szCs w:val="20"/>
          <w:lang w:val="fr-CA"/>
        </w:rPr>
      </w:pPr>
    </w:p>
    <w:p w:rsidR="00807E0F" w:rsidRDefault="00807E0F" w:rsidP="00807E0F">
      <w:pPr>
        <w:rPr>
          <w:rFonts w:ascii="Arial" w:hAnsi="Arial" w:cs="Arial"/>
          <w:sz w:val="20"/>
          <w:szCs w:val="20"/>
          <w:lang w:val="fr-CA"/>
        </w:rPr>
      </w:pPr>
    </w:p>
    <w:p w:rsidR="00807E0F" w:rsidRDefault="00807E0F" w:rsidP="00807E0F">
      <w:pPr>
        <w:rPr>
          <w:rFonts w:ascii="Arial" w:hAnsi="Arial" w:cs="Arial"/>
          <w:sz w:val="20"/>
          <w:szCs w:val="20"/>
          <w:lang w:val="fr-CA"/>
        </w:rPr>
      </w:pPr>
    </w:p>
    <w:p w:rsidR="00807E0F" w:rsidRDefault="00807E0F" w:rsidP="00807E0F">
      <w:pPr>
        <w:rPr>
          <w:rFonts w:ascii="Arial" w:hAnsi="Arial" w:cs="Arial"/>
          <w:sz w:val="20"/>
          <w:szCs w:val="20"/>
          <w:lang w:val="fr-CA"/>
        </w:rPr>
      </w:pPr>
    </w:p>
    <w:p w:rsidR="00807E0F" w:rsidRDefault="00807E0F" w:rsidP="00807E0F">
      <w:pPr>
        <w:rPr>
          <w:rFonts w:ascii="Arial" w:hAnsi="Arial" w:cs="Arial"/>
          <w:sz w:val="20"/>
          <w:szCs w:val="20"/>
          <w:lang w:val="fr-CA"/>
        </w:rPr>
      </w:pPr>
    </w:p>
    <w:p w:rsidR="00807E0F" w:rsidRPr="00001E0D" w:rsidRDefault="00807E0F" w:rsidP="00807E0F">
      <w:pPr>
        <w:rPr>
          <w:rFonts w:ascii="Arial" w:hAnsi="Arial" w:cs="Arial"/>
          <w:sz w:val="20"/>
          <w:szCs w:val="20"/>
          <w:lang w:val="fr-CA"/>
        </w:rPr>
      </w:pPr>
    </w:p>
    <w:p w:rsidR="00807E0F" w:rsidRPr="00001E0D" w:rsidRDefault="00807E0F" w:rsidP="00807E0F">
      <w:pPr>
        <w:rPr>
          <w:rFonts w:ascii="Arial" w:hAnsi="Arial" w:cs="Arial"/>
          <w:sz w:val="20"/>
          <w:szCs w:val="20"/>
          <w:lang w:val="fr-CA"/>
        </w:rPr>
      </w:pPr>
    </w:p>
    <w:p w:rsidR="00807E0F" w:rsidRPr="00001E0D" w:rsidRDefault="00807E0F" w:rsidP="00807E0F">
      <w:pPr>
        <w:rPr>
          <w:rFonts w:ascii="Arial" w:hAnsi="Arial" w:cs="Arial"/>
          <w:sz w:val="20"/>
          <w:szCs w:val="20"/>
          <w:lang w:val="fr-CA"/>
        </w:rPr>
      </w:pPr>
    </w:p>
    <w:p w:rsidR="00807E0F" w:rsidRPr="00001E0D" w:rsidRDefault="00807E0F" w:rsidP="00807E0F">
      <w:pPr>
        <w:rPr>
          <w:rFonts w:ascii="Arial" w:hAnsi="Arial" w:cs="Arial"/>
          <w:sz w:val="20"/>
          <w:szCs w:val="20"/>
          <w:lang w:val="fr-CA"/>
        </w:rPr>
      </w:pPr>
    </w:p>
    <w:p w:rsidR="00807E0F" w:rsidRPr="00001E0D" w:rsidRDefault="00807E0F" w:rsidP="00807E0F">
      <w:pPr>
        <w:rPr>
          <w:rFonts w:ascii="Arial" w:hAnsi="Arial" w:cs="Arial"/>
          <w:sz w:val="20"/>
          <w:szCs w:val="20"/>
          <w:lang w:val="fr-CA"/>
        </w:rPr>
      </w:pPr>
    </w:p>
    <w:p w:rsidR="00807E0F" w:rsidRPr="00001E0D" w:rsidRDefault="00807E0F" w:rsidP="00807E0F">
      <w:pPr>
        <w:pStyle w:val="Heading2"/>
        <w:rPr>
          <w:lang w:val="fr-CA"/>
        </w:rPr>
      </w:pPr>
      <w:bookmarkStart w:id="93" w:name="_Annex_A:_"/>
      <w:bookmarkEnd w:id="93"/>
      <w:r w:rsidRPr="00001E0D">
        <w:rPr>
          <w:sz w:val="20"/>
          <w:szCs w:val="20"/>
          <w:lang w:val="fr-CA"/>
        </w:rPr>
        <w:br w:type="page"/>
      </w:r>
      <w:bookmarkStart w:id="94" w:name="_Toc292462219"/>
      <w:bookmarkStart w:id="95" w:name="_Toc299694689"/>
      <w:bookmarkStart w:id="96" w:name="_Toc485812745"/>
      <w:r w:rsidRPr="00001E0D">
        <w:rPr>
          <w:lang w:val="fr-CA"/>
        </w:rPr>
        <w:lastRenderedPageBreak/>
        <w:t>Annex</w:t>
      </w:r>
      <w:r>
        <w:rPr>
          <w:lang w:val="fr-CA"/>
        </w:rPr>
        <w:t>e</w:t>
      </w:r>
      <w:r w:rsidRPr="00001E0D">
        <w:rPr>
          <w:lang w:val="fr-CA"/>
        </w:rPr>
        <w:t xml:space="preserve"> A</w:t>
      </w:r>
      <w:r>
        <w:rPr>
          <w:lang w:val="fr-CA"/>
        </w:rPr>
        <w:t xml:space="preserve"> </w:t>
      </w:r>
      <w:r w:rsidRPr="00001E0D">
        <w:rPr>
          <w:lang w:val="fr-CA"/>
        </w:rPr>
        <w:t xml:space="preserve">: </w:t>
      </w:r>
      <w:bookmarkEnd w:id="94"/>
      <w:bookmarkEnd w:id="95"/>
      <w:r>
        <w:rPr>
          <w:lang w:val="fr-CA"/>
        </w:rPr>
        <w:t>Rôles et responsabilités à EDSC</w:t>
      </w:r>
      <w:bookmarkEnd w:id="96"/>
    </w:p>
    <w:p w:rsidR="00807E0F" w:rsidRPr="00001E0D" w:rsidRDefault="00807E0F" w:rsidP="00807E0F">
      <w:pPr>
        <w:rPr>
          <w:rFonts w:ascii="Arial" w:hAnsi="Arial" w:cs="Arial"/>
          <w:sz w:val="20"/>
          <w:szCs w:val="20"/>
          <w:lang w:val="fr-CA"/>
        </w:rPr>
      </w:pPr>
    </w:p>
    <w:p w:rsidR="00807E0F" w:rsidRPr="00001E0D" w:rsidRDefault="00807E0F" w:rsidP="00807E0F">
      <w:pPr>
        <w:rPr>
          <w:rFonts w:ascii="Arial" w:hAnsi="Arial" w:cs="Arial"/>
          <w:sz w:val="20"/>
          <w:szCs w:val="20"/>
          <w:lang w:val="fr-CA"/>
        </w:rPr>
      </w:pPr>
      <w:r w:rsidRPr="00C40C80">
        <w:rPr>
          <w:rFonts w:ascii="Arial" w:hAnsi="Arial" w:cs="Arial"/>
          <w:sz w:val="20"/>
          <w:szCs w:val="20"/>
          <w:lang w:val="fr-CA"/>
        </w:rPr>
        <w:t xml:space="preserve">À EDSC, la planification, la présentation de rapports et la surveillance sont dirigées en grande partie par deux organisations : la Direction générale </w:t>
      </w:r>
      <w:r w:rsidR="00A65707">
        <w:rPr>
          <w:rFonts w:ascii="Arial" w:hAnsi="Arial" w:cs="Arial"/>
          <w:sz w:val="20"/>
          <w:szCs w:val="20"/>
          <w:lang w:val="fr-CA"/>
        </w:rPr>
        <w:t>du Dirigeant principal des finances (DGD</w:t>
      </w:r>
      <w:r w:rsidRPr="00C40C80">
        <w:rPr>
          <w:rFonts w:ascii="Arial" w:hAnsi="Arial" w:cs="Arial"/>
          <w:sz w:val="20"/>
          <w:szCs w:val="20"/>
          <w:lang w:val="fr-CA"/>
        </w:rPr>
        <w:t xml:space="preserve">PF) et la Direction générale </w:t>
      </w:r>
      <w:r>
        <w:rPr>
          <w:rFonts w:ascii="Arial" w:hAnsi="Arial" w:cs="Arial"/>
          <w:sz w:val="20"/>
          <w:szCs w:val="20"/>
          <w:lang w:val="fr-CA"/>
        </w:rPr>
        <w:t xml:space="preserve">des </w:t>
      </w:r>
      <w:r w:rsidRPr="00C40C80">
        <w:rPr>
          <w:rFonts w:ascii="Arial" w:hAnsi="Arial" w:cs="Arial"/>
          <w:sz w:val="20"/>
          <w:szCs w:val="20"/>
          <w:lang w:val="fr-CA"/>
        </w:rPr>
        <w:t>politique</w:t>
      </w:r>
      <w:r>
        <w:rPr>
          <w:rFonts w:ascii="Arial" w:hAnsi="Arial" w:cs="Arial"/>
          <w:sz w:val="20"/>
          <w:szCs w:val="20"/>
          <w:lang w:val="fr-CA"/>
        </w:rPr>
        <w:t>s</w:t>
      </w:r>
      <w:r w:rsidRPr="00C40C80">
        <w:rPr>
          <w:rFonts w:ascii="Arial" w:hAnsi="Arial" w:cs="Arial"/>
          <w:sz w:val="20"/>
          <w:szCs w:val="20"/>
          <w:lang w:val="fr-CA"/>
        </w:rPr>
        <w:t xml:space="preserve"> stratégique</w:t>
      </w:r>
      <w:r>
        <w:rPr>
          <w:rFonts w:ascii="Arial" w:hAnsi="Arial" w:cs="Arial"/>
          <w:sz w:val="20"/>
          <w:szCs w:val="20"/>
          <w:lang w:val="fr-CA"/>
        </w:rPr>
        <w:t>s</w:t>
      </w:r>
      <w:r w:rsidRPr="00C40C80">
        <w:rPr>
          <w:rFonts w:ascii="Arial" w:hAnsi="Arial" w:cs="Arial"/>
          <w:sz w:val="20"/>
          <w:szCs w:val="20"/>
          <w:lang w:val="fr-CA"/>
        </w:rPr>
        <w:t xml:space="preserve"> et de </w:t>
      </w:r>
      <w:r>
        <w:rPr>
          <w:rFonts w:ascii="Arial" w:hAnsi="Arial" w:cs="Arial"/>
          <w:sz w:val="20"/>
          <w:szCs w:val="20"/>
          <w:lang w:val="fr-CA"/>
        </w:rPr>
        <w:t>service</w:t>
      </w:r>
      <w:r w:rsidRPr="00C40C80">
        <w:rPr>
          <w:rFonts w:ascii="Arial" w:hAnsi="Arial" w:cs="Arial"/>
          <w:sz w:val="20"/>
          <w:szCs w:val="20"/>
          <w:lang w:val="fr-CA"/>
        </w:rPr>
        <w:t xml:space="preserve"> (DGPS</w:t>
      </w:r>
      <w:r>
        <w:rPr>
          <w:rFonts w:ascii="Arial" w:hAnsi="Arial" w:cs="Arial"/>
          <w:sz w:val="20"/>
          <w:szCs w:val="20"/>
          <w:lang w:val="fr-CA"/>
        </w:rPr>
        <w:t>S</w:t>
      </w:r>
      <w:r w:rsidRPr="00001E0D">
        <w:rPr>
          <w:rFonts w:ascii="Arial" w:hAnsi="Arial" w:cs="Arial"/>
          <w:sz w:val="20"/>
          <w:szCs w:val="20"/>
          <w:lang w:val="fr-CA"/>
        </w:rPr>
        <w:t>).</w:t>
      </w:r>
    </w:p>
    <w:p w:rsidR="00807E0F" w:rsidRPr="00001E0D" w:rsidRDefault="00807E0F" w:rsidP="00807E0F">
      <w:pPr>
        <w:rPr>
          <w:rFonts w:ascii="Arial" w:hAnsi="Arial" w:cs="Arial"/>
          <w:sz w:val="20"/>
          <w:szCs w:val="20"/>
          <w:lang w:val="fr-CA"/>
        </w:rPr>
      </w:pPr>
    </w:p>
    <w:p w:rsidR="00807E0F" w:rsidRPr="00001E0D" w:rsidRDefault="00807E0F" w:rsidP="00807E0F">
      <w:pPr>
        <w:rPr>
          <w:rFonts w:ascii="Arial" w:hAnsi="Arial" w:cs="Arial"/>
          <w:sz w:val="20"/>
          <w:szCs w:val="20"/>
          <w:lang w:val="fr-CA"/>
        </w:rPr>
      </w:pPr>
    </w:p>
    <w:p w:rsidR="00807E0F" w:rsidRPr="00001E0D" w:rsidRDefault="00807E0F" w:rsidP="00807E0F">
      <w:pPr>
        <w:rPr>
          <w:rFonts w:ascii="Arial" w:hAnsi="Arial" w:cs="Arial"/>
          <w:b/>
          <w:sz w:val="20"/>
          <w:szCs w:val="20"/>
          <w:lang w:val="fr-CA"/>
        </w:rPr>
      </w:pPr>
      <w:r w:rsidRPr="00001E0D">
        <w:rPr>
          <w:rFonts w:ascii="Arial" w:hAnsi="Arial" w:cs="Arial"/>
          <w:b/>
          <w:sz w:val="20"/>
          <w:szCs w:val="20"/>
          <w:lang w:val="fr-CA"/>
        </w:rPr>
        <w:t xml:space="preserve">a) </w:t>
      </w:r>
      <w:r>
        <w:rPr>
          <w:rFonts w:ascii="Arial" w:hAnsi="Arial" w:cs="Arial"/>
          <w:b/>
          <w:sz w:val="20"/>
          <w:szCs w:val="20"/>
          <w:lang w:val="fr-CA"/>
        </w:rPr>
        <w:t xml:space="preserve">Direction générale </w:t>
      </w:r>
      <w:r w:rsidR="00A65707">
        <w:rPr>
          <w:rFonts w:ascii="Arial" w:hAnsi="Arial" w:cs="Arial"/>
          <w:b/>
          <w:sz w:val="20"/>
          <w:szCs w:val="20"/>
          <w:lang w:val="fr-CA"/>
        </w:rPr>
        <w:t>du Dirigeant</w:t>
      </w:r>
      <w:r>
        <w:rPr>
          <w:rFonts w:ascii="Arial" w:hAnsi="Arial" w:cs="Arial"/>
          <w:b/>
          <w:sz w:val="20"/>
          <w:szCs w:val="20"/>
          <w:lang w:val="fr-CA"/>
        </w:rPr>
        <w:t xml:space="preserve"> principal des finances </w:t>
      </w:r>
      <w:r w:rsidRPr="00001E0D">
        <w:rPr>
          <w:rFonts w:ascii="Arial" w:hAnsi="Arial" w:cs="Arial"/>
          <w:b/>
          <w:sz w:val="20"/>
          <w:szCs w:val="20"/>
          <w:lang w:val="fr-CA"/>
        </w:rPr>
        <w:t>:</w:t>
      </w:r>
    </w:p>
    <w:p w:rsidR="00807E0F" w:rsidRPr="00001E0D" w:rsidRDefault="00807E0F" w:rsidP="00807E0F">
      <w:pPr>
        <w:tabs>
          <w:tab w:val="left" w:pos="1615"/>
        </w:tabs>
        <w:rPr>
          <w:rFonts w:ascii="Arial" w:hAnsi="Arial" w:cs="Arial"/>
          <w:sz w:val="20"/>
          <w:szCs w:val="20"/>
          <w:lang w:val="fr-CA"/>
        </w:rPr>
      </w:pPr>
      <w:r>
        <w:rPr>
          <w:rFonts w:ascii="Arial" w:hAnsi="Arial" w:cs="Arial"/>
          <w:sz w:val="20"/>
          <w:szCs w:val="20"/>
          <w:lang w:val="fr-CA"/>
        </w:rPr>
        <w:tab/>
      </w:r>
    </w:p>
    <w:p w:rsidR="00807E0F" w:rsidRPr="00001E0D" w:rsidRDefault="00A65707" w:rsidP="00807E0F">
      <w:pPr>
        <w:rPr>
          <w:rFonts w:ascii="Arial" w:hAnsi="Arial" w:cs="Arial"/>
          <w:sz w:val="20"/>
          <w:szCs w:val="20"/>
          <w:lang w:val="fr-CA"/>
        </w:rPr>
      </w:pPr>
      <w:r>
        <w:rPr>
          <w:rFonts w:ascii="Arial" w:hAnsi="Arial" w:cs="Arial"/>
          <w:sz w:val="20"/>
          <w:szCs w:val="20"/>
          <w:lang w:val="fr-CA"/>
        </w:rPr>
        <w:t>À la DGD</w:t>
      </w:r>
      <w:r w:rsidR="00807E0F" w:rsidRPr="00055C6E">
        <w:rPr>
          <w:rFonts w:ascii="Arial" w:hAnsi="Arial" w:cs="Arial"/>
          <w:sz w:val="20"/>
          <w:szCs w:val="20"/>
          <w:lang w:val="fr-CA"/>
        </w:rPr>
        <w:t xml:space="preserve">PF, ces fonctions sont assurées par les </w:t>
      </w:r>
      <w:r w:rsidR="00807E0F">
        <w:rPr>
          <w:rFonts w:ascii="Arial" w:hAnsi="Arial" w:cs="Arial"/>
          <w:sz w:val="20"/>
          <w:szCs w:val="20"/>
          <w:lang w:val="fr-CA"/>
        </w:rPr>
        <w:t>trois</w:t>
      </w:r>
      <w:r w:rsidR="00807E0F" w:rsidRPr="00055C6E">
        <w:rPr>
          <w:rFonts w:ascii="Arial" w:hAnsi="Arial" w:cs="Arial"/>
          <w:sz w:val="20"/>
          <w:szCs w:val="20"/>
          <w:lang w:val="fr-CA"/>
        </w:rPr>
        <w:t xml:space="preserve"> </w:t>
      </w:r>
      <w:r w:rsidR="00807E0F">
        <w:rPr>
          <w:rFonts w:ascii="Arial" w:hAnsi="Arial" w:cs="Arial"/>
          <w:sz w:val="20"/>
          <w:szCs w:val="20"/>
          <w:lang w:val="fr-CA"/>
        </w:rPr>
        <w:t>grandes directions</w:t>
      </w:r>
      <w:r w:rsidR="00807E0F" w:rsidRPr="00055C6E">
        <w:rPr>
          <w:rFonts w:ascii="Arial" w:hAnsi="Arial" w:cs="Arial"/>
          <w:sz w:val="20"/>
          <w:szCs w:val="20"/>
          <w:lang w:val="fr-CA"/>
        </w:rPr>
        <w:t xml:space="preserve"> suivant</w:t>
      </w:r>
      <w:r w:rsidR="00807E0F">
        <w:rPr>
          <w:rFonts w:ascii="Arial" w:hAnsi="Arial" w:cs="Arial"/>
          <w:sz w:val="20"/>
          <w:szCs w:val="20"/>
          <w:lang w:val="fr-CA"/>
        </w:rPr>
        <w:t>e</w:t>
      </w:r>
      <w:r w:rsidR="00807E0F" w:rsidRPr="00055C6E">
        <w:rPr>
          <w:rFonts w:ascii="Arial" w:hAnsi="Arial" w:cs="Arial"/>
          <w:sz w:val="20"/>
          <w:szCs w:val="20"/>
          <w:lang w:val="fr-CA"/>
        </w:rPr>
        <w:t>s</w:t>
      </w:r>
      <w:r w:rsidR="00807E0F">
        <w:rPr>
          <w:rFonts w:ascii="Arial" w:hAnsi="Arial" w:cs="Arial"/>
          <w:sz w:val="20"/>
          <w:szCs w:val="20"/>
          <w:lang w:val="fr-CA"/>
        </w:rPr>
        <w:t> </w:t>
      </w:r>
      <w:r w:rsidR="00807E0F" w:rsidRPr="00001E0D">
        <w:rPr>
          <w:rFonts w:ascii="Arial" w:hAnsi="Arial" w:cs="Arial"/>
          <w:sz w:val="20"/>
          <w:szCs w:val="20"/>
          <w:lang w:val="fr-CA"/>
        </w:rPr>
        <w:t>:</w:t>
      </w:r>
    </w:p>
    <w:p w:rsidR="00807E0F" w:rsidRPr="00001E0D" w:rsidRDefault="00807E0F" w:rsidP="00807E0F">
      <w:pPr>
        <w:ind w:left="360"/>
        <w:rPr>
          <w:rFonts w:ascii="Arial" w:hAnsi="Arial" w:cs="Arial"/>
          <w:sz w:val="20"/>
          <w:szCs w:val="20"/>
          <w:lang w:val="fr-CA"/>
        </w:rPr>
      </w:pPr>
    </w:p>
    <w:p w:rsidR="00807E0F" w:rsidRPr="00001E0D" w:rsidRDefault="00807E0F" w:rsidP="00807E0F">
      <w:pPr>
        <w:pStyle w:val="ListParagraph"/>
        <w:numPr>
          <w:ilvl w:val="0"/>
          <w:numId w:val="21"/>
        </w:numPr>
        <w:rPr>
          <w:rFonts w:ascii="Arial" w:hAnsi="Arial" w:cs="Arial"/>
          <w:sz w:val="20"/>
          <w:szCs w:val="20"/>
          <w:lang w:val="fr-CA"/>
        </w:rPr>
      </w:pPr>
      <w:r>
        <w:rPr>
          <w:rFonts w:ascii="Arial" w:hAnsi="Arial" w:cs="Arial"/>
          <w:sz w:val="20"/>
          <w:szCs w:val="20"/>
          <w:lang w:val="fr-CA"/>
        </w:rPr>
        <w:t xml:space="preserve">La </w:t>
      </w:r>
      <w:r>
        <w:rPr>
          <w:rFonts w:ascii="Arial" w:hAnsi="Arial" w:cs="Arial"/>
          <w:b/>
          <w:sz w:val="20"/>
          <w:szCs w:val="20"/>
          <w:lang w:val="fr-CA"/>
        </w:rPr>
        <w:t>Direction des services de gestion financière</w:t>
      </w:r>
      <w:r w:rsidRPr="00001E0D">
        <w:rPr>
          <w:rFonts w:ascii="Arial" w:hAnsi="Arial" w:cs="Arial"/>
          <w:b/>
          <w:sz w:val="20"/>
          <w:szCs w:val="20"/>
          <w:lang w:val="fr-CA"/>
        </w:rPr>
        <w:t xml:space="preserve"> (</w:t>
      </w:r>
      <w:r>
        <w:rPr>
          <w:rFonts w:ascii="Arial" w:hAnsi="Arial" w:cs="Arial"/>
          <w:b/>
          <w:sz w:val="20"/>
          <w:szCs w:val="20"/>
          <w:lang w:val="fr-CA"/>
        </w:rPr>
        <w:t>DSGF</w:t>
      </w:r>
      <w:r w:rsidRPr="00001E0D">
        <w:rPr>
          <w:rFonts w:ascii="Arial" w:hAnsi="Arial" w:cs="Arial"/>
          <w:sz w:val="20"/>
          <w:szCs w:val="20"/>
          <w:lang w:val="fr-CA"/>
        </w:rPr>
        <w:t xml:space="preserve">) </w:t>
      </w:r>
      <w:r w:rsidRPr="00BA3919">
        <w:rPr>
          <w:rFonts w:ascii="Arial" w:hAnsi="Arial" w:cs="Arial"/>
          <w:sz w:val="20"/>
          <w:szCs w:val="20"/>
          <w:lang w:val="fr-CA"/>
        </w:rPr>
        <w:t xml:space="preserve">exerce les pouvoirs </w:t>
      </w:r>
      <w:r w:rsidRPr="00062020">
        <w:rPr>
          <w:rFonts w:ascii="Arial" w:hAnsi="Arial" w:cs="Arial"/>
          <w:sz w:val="20"/>
          <w:szCs w:val="20"/>
          <w:lang w:val="fr-CA"/>
        </w:rPr>
        <w:t xml:space="preserve">légaux sur </w:t>
      </w:r>
      <w:r w:rsidRPr="00BA3919">
        <w:rPr>
          <w:rFonts w:ascii="Arial" w:hAnsi="Arial" w:cs="Arial"/>
          <w:sz w:val="20"/>
          <w:szCs w:val="20"/>
          <w:lang w:val="fr-CA"/>
        </w:rPr>
        <w:t>toute question de gestion financière ainsi que sur toute autre question liée à l'utilisation judicieuse et efficace des ressources publiques</w:t>
      </w:r>
      <w:r w:rsidRPr="00001E0D">
        <w:rPr>
          <w:rFonts w:ascii="Arial" w:hAnsi="Arial" w:cs="Arial"/>
          <w:sz w:val="20"/>
          <w:szCs w:val="20"/>
          <w:lang w:val="fr-CA"/>
        </w:rPr>
        <w:t xml:space="preserve">. </w:t>
      </w:r>
      <w:r>
        <w:rPr>
          <w:rFonts w:ascii="Arial" w:hAnsi="Arial" w:cs="Arial"/>
          <w:sz w:val="20"/>
          <w:szCs w:val="20"/>
          <w:lang w:val="fr-CA"/>
        </w:rPr>
        <w:t>Ses responsabilités comprennent</w:t>
      </w:r>
      <w:r w:rsidRPr="00001E0D">
        <w:rPr>
          <w:rFonts w:ascii="Arial" w:hAnsi="Arial" w:cs="Arial"/>
          <w:sz w:val="20"/>
          <w:szCs w:val="20"/>
          <w:lang w:val="fr-CA"/>
        </w:rPr>
        <w:t xml:space="preserve"> </w:t>
      </w:r>
      <w:r>
        <w:rPr>
          <w:rFonts w:ascii="Arial" w:hAnsi="Arial" w:cs="Arial"/>
          <w:sz w:val="20"/>
          <w:szCs w:val="20"/>
          <w:lang w:val="fr-CA"/>
        </w:rPr>
        <w:t>la prestation de</w:t>
      </w:r>
      <w:r w:rsidRPr="00001E0D">
        <w:rPr>
          <w:rFonts w:ascii="Arial" w:hAnsi="Arial" w:cs="Arial"/>
          <w:sz w:val="20"/>
          <w:szCs w:val="20"/>
          <w:lang w:val="fr-CA"/>
        </w:rPr>
        <w:t xml:space="preserve"> </w:t>
      </w:r>
      <w:r>
        <w:rPr>
          <w:rFonts w:ascii="Arial" w:hAnsi="Arial" w:cs="Arial"/>
          <w:sz w:val="20"/>
          <w:szCs w:val="20"/>
          <w:lang w:val="fr-CA"/>
        </w:rPr>
        <w:t>conseils financiers stratégiques</w:t>
      </w:r>
      <w:r w:rsidRPr="00001E0D">
        <w:rPr>
          <w:rFonts w:ascii="Arial" w:hAnsi="Arial" w:cs="Arial"/>
          <w:sz w:val="20"/>
          <w:szCs w:val="20"/>
          <w:lang w:val="fr-CA"/>
        </w:rPr>
        <w:t xml:space="preserve">, </w:t>
      </w:r>
      <w:r>
        <w:rPr>
          <w:rFonts w:ascii="Arial" w:hAnsi="Arial" w:cs="Arial"/>
          <w:sz w:val="20"/>
          <w:szCs w:val="20"/>
          <w:lang w:val="fr-CA"/>
        </w:rPr>
        <w:t>d’orientations et de directives à des groupes de clients et à la haute direction en ce qui concerne tous les aspects de la gestion financière</w:t>
      </w:r>
      <w:r w:rsidRPr="00001E0D">
        <w:rPr>
          <w:rFonts w:ascii="Arial" w:hAnsi="Arial" w:cs="Arial"/>
          <w:sz w:val="20"/>
          <w:szCs w:val="20"/>
          <w:lang w:val="fr-CA"/>
        </w:rPr>
        <w:t xml:space="preserve">. </w:t>
      </w:r>
      <w:r>
        <w:rPr>
          <w:rFonts w:ascii="Arial" w:hAnsi="Arial" w:cs="Arial"/>
          <w:sz w:val="20"/>
          <w:szCs w:val="20"/>
          <w:lang w:val="fr-CA"/>
        </w:rPr>
        <w:t>La DSGF</w:t>
      </w:r>
      <w:r w:rsidRPr="00001E0D">
        <w:rPr>
          <w:rFonts w:ascii="Arial" w:hAnsi="Arial" w:cs="Arial"/>
          <w:sz w:val="20"/>
          <w:szCs w:val="20"/>
          <w:lang w:val="fr-CA"/>
        </w:rPr>
        <w:t xml:space="preserve"> </w:t>
      </w:r>
      <w:r>
        <w:rPr>
          <w:rFonts w:ascii="Arial" w:hAnsi="Arial" w:cs="Arial"/>
          <w:sz w:val="20"/>
          <w:szCs w:val="20"/>
          <w:lang w:val="fr-CA"/>
        </w:rPr>
        <w:t>assume un rôle de leadership en fournissant un soutien</w:t>
      </w:r>
      <w:r w:rsidRPr="00001E0D">
        <w:rPr>
          <w:rFonts w:ascii="Arial" w:hAnsi="Arial" w:cs="Arial"/>
          <w:sz w:val="20"/>
          <w:szCs w:val="20"/>
          <w:lang w:val="fr-CA"/>
        </w:rPr>
        <w:t xml:space="preserve"> </w:t>
      </w:r>
      <w:r>
        <w:rPr>
          <w:rFonts w:ascii="Arial" w:hAnsi="Arial" w:cs="Arial"/>
          <w:sz w:val="20"/>
          <w:szCs w:val="20"/>
          <w:lang w:val="fr-CA"/>
        </w:rPr>
        <w:t>fonctionnel pour la gestion efficace des ressources ministérielles</w:t>
      </w:r>
      <w:r w:rsidRPr="00001E0D">
        <w:rPr>
          <w:rFonts w:ascii="Arial" w:hAnsi="Arial" w:cs="Arial"/>
          <w:sz w:val="20"/>
          <w:szCs w:val="20"/>
          <w:lang w:val="fr-CA"/>
        </w:rPr>
        <w:t xml:space="preserve">. </w:t>
      </w:r>
      <w:r>
        <w:rPr>
          <w:rFonts w:ascii="Arial" w:hAnsi="Arial" w:cs="Arial"/>
          <w:sz w:val="20"/>
          <w:szCs w:val="20"/>
          <w:lang w:val="fr-CA"/>
        </w:rPr>
        <w:t>Elle participe à diverses activités</w:t>
      </w:r>
      <w:r w:rsidRPr="00001E0D">
        <w:rPr>
          <w:rFonts w:ascii="Arial" w:hAnsi="Arial" w:cs="Arial"/>
          <w:sz w:val="20"/>
          <w:szCs w:val="20"/>
          <w:lang w:val="fr-CA"/>
        </w:rPr>
        <w:t xml:space="preserve"> </w:t>
      </w:r>
      <w:r>
        <w:rPr>
          <w:rFonts w:ascii="Arial" w:hAnsi="Arial" w:cs="Arial"/>
          <w:sz w:val="20"/>
          <w:szCs w:val="20"/>
          <w:lang w:val="fr-CA"/>
        </w:rPr>
        <w:t>financières importantes, dont l’administration des finances et du financement</w:t>
      </w:r>
      <w:r w:rsidRPr="00001E0D">
        <w:rPr>
          <w:rFonts w:ascii="Arial" w:hAnsi="Arial" w:cs="Arial"/>
          <w:sz w:val="20"/>
          <w:szCs w:val="20"/>
          <w:lang w:val="fr-CA"/>
        </w:rPr>
        <w:t>,</w:t>
      </w:r>
      <w:r>
        <w:rPr>
          <w:rFonts w:ascii="Arial" w:hAnsi="Arial" w:cs="Arial"/>
          <w:sz w:val="20"/>
          <w:szCs w:val="20"/>
          <w:lang w:val="fr-CA"/>
        </w:rPr>
        <w:t xml:space="preserve"> l’établissement des coûts</w:t>
      </w:r>
      <w:r w:rsidRPr="00001E0D">
        <w:rPr>
          <w:rFonts w:ascii="Arial" w:hAnsi="Arial" w:cs="Arial"/>
          <w:sz w:val="20"/>
          <w:szCs w:val="20"/>
          <w:lang w:val="fr-CA"/>
        </w:rPr>
        <w:t xml:space="preserve">, </w:t>
      </w:r>
      <w:r>
        <w:rPr>
          <w:rFonts w:ascii="Arial" w:hAnsi="Arial" w:cs="Arial"/>
          <w:sz w:val="20"/>
          <w:szCs w:val="20"/>
          <w:lang w:val="fr-CA"/>
        </w:rPr>
        <w:t>l’analyse et la validation des écarts</w:t>
      </w:r>
      <w:r w:rsidRPr="00001E0D">
        <w:rPr>
          <w:rFonts w:ascii="Arial" w:hAnsi="Arial" w:cs="Arial"/>
          <w:sz w:val="20"/>
          <w:szCs w:val="20"/>
          <w:lang w:val="fr-CA"/>
        </w:rPr>
        <w:t xml:space="preserve">, </w:t>
      </w:r>
      <w:r>
        <w:rPr>
          <w:rFonts w:ascii="Arial" w:hAnsi="Arial" w:cs="Arial"/>
          <w:sz w:val="20"/>
          <w:szCs w:val="20"/>
          <w:lang w:val="fr-CA"/>
        </w:rPr>
        <w:t>les contrôles de gestion financière</w:t>
      </w:r>
      <w:r w:rsidRPr="00001E0D">
        <w:rPr>
          <w:rFonts w:ascii="Arial" w:hAnsi="Arial" w:cs="Arial"/>
          <w:sz w:val="20"/>
          <w:szCs w:val="20"/>
          <w:lang w:val="fr-CA"/>
        </w:rPr>
        <w:t xml:space="preserve">, </w:t>
      </w:r>
      <w:r>
        <w:rPr>
          <w:rFonts w:ascii="Arial" w:hAnsi="Arial" w:cs="Arial"/>
          <w:sz w:val="20"/>
          <w:szCs w:val="20"/>
          <w:lang w:val="fr-CA"/>
        </w:rPr>
        <w:t>la budgétisation</w:t>
      </w:r>
      <w:r w:rsidRPr="00001E0D">
        <w:rPr>
          <w:rFonts w:ascii="Arial" w:hAnsi="Arial" w:cs="Arial"/>
          <w:sz w:val="20"/>
          <w:szCs w:val="20"/>
          <w:lang w:val="fr-CA"/>
        </w:rPr>
        <w:t xml:space="preserve">, </w:t>
      </w:r>
      <w:r>
        <w:rPr>
          <w:rFonts w:ascii="Arial" w:hAnsi="Arial" w:cs="Arial"/>
          <w:sz w:val="20"/>
          <w:szCs w:val="20"/>
          <w:lang w:val="fr-CA"/>
        </w:rPr>
        <w:t>les prévisions</w:t>
      </w:r>
      <w:r w:rsidRPr="00001E0D">
        <w:rPr>
          <w:rFonts w:ascii="Arial" w:hAnsi="Arial" w:cs="Arial"/>
          <w:sz w:val="20"/>
          <w:szCs w:val="20"/>
          <w:lang w:val="fr-CA"/>
        </w:rPr>
        <w:t xml:space="preserve">, </w:t>
      </w:r>
      <w:r>
        <w:rPr>
          <w:rFonts w:ascii="Arial" w:hAnsi="Arial" w:cs="Arial"/>
          <w:sz w:val="20"/>
          <w:szCs w:val="20"/>
          <w:lang w:val="fr-CA"/>
        </w:rPr>
        <w:t xml:space="preserve">les présentations au CT et les mémoires au </w:t>
      </w:r>
      <w:r w:rsidRPr="00001E0D">
        <w:rPr>
          <w:rFonts w:ascii="Arial" w:hAnsi="Arial" w:cs="Arial"/>
          <w:sz w:val="20"/>
          <w:szCs w:val="20"/>
          <w:lang w:val="fr-CA"/>
        </w:rPr>
        <w:t xml:space="preserve">Cabinet, </w:t>
      </w:r>
      <w:r>
        <w:rPr>
          <w:rFonts w:ascii="Arial" w:hAnsi="Arial" w:cs="Arial"/>
          <w:sz w:val="20"/>
          <w:szCs w:val="20"/>
          <w:lang w:val="fr-CA"/>
        </w:rPr>
        <w:t>et</w:t>
      </w:r>
      <w:r w:rsidRPr="00001E0D">
        <w:rPr>
          <w:rFonts w:ascii="Arial" w:hAnsi="Arial" w:cs="Arial"/>
          <w:sz w:val="20"/>
          <w:szCs w:val="20"/>
          <w:lang w:val="fr-CA"/>
        </w:rPr>
        <w:t xml:space="preserve"> </w:t>
      </w:r>
      <w:r>
        <w:rPr>
          <w:rFonts w:ascii="Arial" w:hAnsi="Arial" w:cs="Arial"/>
          <w:sz w:val="20"/>
          <w:szCs w:val="20"/>
          <w:lang w:val="fr-CA"/>
        </w:rPr>
        <w:t>compile des données financières</w:t>
      </w:r>
      <w:r w:rsidRPr="00001E0D">
        <w:rPr>
          <w:rFonts w:ascii="Arial" w:hAnsi="Arial" w:cs="Arial"/>
          <w:sz w:val="20"/>
          <w:szCs w:val="20"/>
          <w:lang w:val="fr-CA"/>
        </w:rPr>
        <w:t xml:space="preserve"> </w:t>
      </w:r>
      <w:r>
        <w:rPr>
          <w:rFonts w:ascii="Arial" w:hAnsi="Arial" w:cs="Arial"/>
          <w:sz w:val="20"/>
          <w:szCs w:val="20"/>
          <w:lang w:val="fr-CA"/>
        </w:rPr>
        <w:t>qui sont utilisées dans des documents financiers</w:t>
      </w:r>
      <w:r w:rsidRPr="00001E0D">
        <w:rPr>
          <w:rFonts w:ascii="Arial" w:hAnsi="Arial" w:cs="Arial"/>
          <w:sz w:val="20"/>
          <w:szCs w:val="20"/>
          <w:lang w:val="fr-CA"/>
        </w:rPr>
        <w:t xml:space="preserve"> </w:t>
      </w:r>
      <w:r>
        <w:rPr>
          <w:rFonts w:ascii="Arial" w:hAnsi="Arial" w:cs="Arial"/>
          <w:sz w:val="20"/>
          <w:szCs w:val="20"/>
          <w:lang w:val="fr-CA"/>
        </w:rPr>
        <w:t xml:space="preserve">externes, comme le </w:t>
      </w:r>
      <w:r w:rsidRPr="00A8441A">
        <w:rPr>
          <w:rFonts w:ascii="Arial" w:hAnsi="Arial" w:cs="Arial"/>
          <w:sz w:val="20"/>
          <w:szCs w:val="20"/>
          <w:lang w:val="fr-CA"/>
        </w:rPr>
        <w:t>Budget principal et le Budget supplémentaire des dépenses</w:t>
      </w:r>
      <w:r w:rsidRPr="00001E0D">
        <w:rPr>
          <w:rFonts w:ascii="Arial" w:hAnsi="Arial" w:cs="Arial"/>
          <w:sz w:val="20"/>
          <w:szCs w:val="20"/>
          <w:lang w:val="fr-CA"/>
        </w:rPr>
        <w:t xml:space="preserve">, </w:t>
      </w:r>
      <w:r>
        <w:rPr>
          <w:rFonts w:ascii="Arial" w:hAnsi="Arial" w:cs="Arial"/>
          <w:sz w:val="20"/>
          <w:szCs w:val="20"/>
          <w:lang w:val="fr-CA"/>
        </w:rPr>
        <w:t xml:space="preserve">le Rapport </w:t>
      </w:r>
      <w:r w:rsidR="00A65707">
        <w:rPr>
          <w:rFonts w:ascii="Arial" w:hAnsi="Arial" w:cs="Arial"/>
          <w:sz w:val="20"/>
          <w:szCs w:val="20"/>
          <w:lang w:val="fr-CA"/>
        </w:rPr>
        <w:t xml:space="preserve">sur les résultats ministériels </w:t>
      </w:r>
      <w:r>
        <w:rPr>
          <w:rFonts w:ascii="Arial" w:hAnsi="Arial" w:cs="Arial"/>
          <w:sz w:val="20"/>
          <w:szCs w:val="20"/>
          <w:lang w:val="fr-CA"/>
        </w:rPr>
        <w:t xml:space="preserve">et le </w:t>
      </w:r>
      <w:r w:rsidR="00A65707">
        <w:rPr>
          <w:rFonts w:ascii="Arial" w:hAnsi="Arial" w:cs="Arial"/>
          <w:sz w:val="20"/>
          <w:szCs w:val="20"/>
          <w:lang w:val="fr-CA"/>
        </w:rPr>
        <w:t>Plan ministériel</w:t>
      </w:r>
      <w:r w:rsidRPr="00001E0D">
        <w:rPr>
          <w:rFonts w:ascii="Arial" w:hAnsi="Arial" w:cs="Arial"/>
          <w:sz w:val="20"/>
          <w:szCs w:val="20"/>
          <w:lang w:val="fr-CA"/>
        </w:rPr>
        <w:t xml:space="preserve">. </w:t>
      </w:r>
      <w:r>
        <w:rPr>
          <w:rFonts w:ascii="Arial" w:hAnsi="Arial" w:cs="Arial"/>
          <w:sz w:val="20"/>
          <w:szCs w:val="20"/>
          <w:lang w:val="fr-CA"/>
        </w:rPr>
        <w:t>La DSGF</w:t>
      </w:r>
      <w:r w:rsidRPr="00001E0D">
        <w:rPr>
          <w:rFonts w:ascii="Arial" w:hAnsi="Arial" w:cs="Arial"/>
          <w:sz w:val="20"/>
          <w:szCs w:val="20"/>
          <w:lang w:val="fr-CA"/>
        </w:rPr>
        <w:t xml:space="preserve"> </w:t>
      </w:r>
      <w:r>
        <w:rPr>
          <w:rFonts w:ascii="Arial" w:hAnsi="Arial" w:cs="Arial"/>
          <w:sz w:val="20"/>
          <w:szCs w:val="20"/>
          <w:lang w:val="fr-CA"/>
        </w:rPr>
        <w:t xml:space="preserve">assume également ces fonctions </w:t>
      </w:r>
      <w:r w:rsidR="00A65707">
        <w:rPr>
          <w:rFonts w:ascii="Arial" w:hAnsi="Arial" w:cs="Arial"/>
          <w:sz w:val="20"/>
          <w:szCs w:val="20"/>
          <w:lang w:val="fr-CA"/>
        </w:rPr>
        <w:t xml:space="preserve"> dans les</w:t>
      </w:r>
      <w:r>
        <w:rPr>
          <w:rFonts w:ascii="Arial" w:hAnsi="Arial" w:cs="Arial"/>
          <w:sz w:val="20"/>
          <w:szCs w:val="20"/>
          <w:lang w:val="fr-CA"/>
        </w:rPr>
        <w:t xml:space="preserve"> bureaux régionaux de la DG</w:t>
      </w:r>
      <w:r w:rsidR="00A65707">
        <w:rPr>
          <w:rFonts w:ascii="Arial" w:hAnsi="Arial" w:cs="Arial"/>
          <w:sz w:val="20"/>
          <w:szCs w:val="20"/>
          <w:lang w:val="fr-CA"/>
        </w:rPr>
        <w:t>D</w:t>
      </w:r>
      <w:r>
        <w:rPr>
          <w:rFonts w:ascii="Arial" w:hAnsi="Arial" w:cs="Arial"/>
          <w:sz w:val="20"/>
          <w:szCs w:val="20"/>
          <w:lang w:val="fr-CA"/>
        </w:rPr>
        <w:t>PF</w:t>
      </w:r>
      <w:r w:rsidRPr="00001E0D">
        <w:rPr>
          <w:rFonts w:ascii="Arial" w:hAnsi="Arial" w:cs="Arial"/>
          <w:sz w:val="20"/>
          <w:szCs w:val="20"/>
          <w:lang w:val="fr-CA"/>
        </w:rPr>
        <w:t>.</w:t>
      </w:r>
    </w:p>
    <w:p w:rsidR="00807E0F" w:rsidRPr="00001E0D" w:rsidRDefault="00807E0F" w:rsidP="00807E0F">
      <w:pPr>
        <w:ind w:left="360"/>
        <w:rPr>
          <w:rFonts w:ascii="Arial" w:hAnsi="Arial" w:cs="Arial"/>
          <w:sz w:val="20"/>
          <w:szCs w:val="20"/>
          <w:lang w:val="fr-CA"/>
        </w:rPr>
      </w:pPr>
    </w:p>
    <w:p w:rsidR="00807E0F" w:rsidRPr="005F1444" w:rsidRDefault="00807E0F" w:rsidP="00807E0F">
      <w:pPr>
        <w:numPr>
          <w:ilvl w:val="0"/>
          <w:numId w:val="20"/>
        </w:numPr>
        <w:tabs>
          <w:tab w:val="num" w:pos="360"/>
        </w:tabs>
        <w:ind w:left="360"/>
        <w:rPr>
          <w:rFonts w:ascii="Arial" w:hAnsi="Arial" w:cs="Arial"/>
          <w:sz w:val="20"/>
          <w:szCs w:val="20"/>
          <w:lang w:val="fr-CA"/>
        </w:rPr>
      </w:pPr>
      <w:r w:rsidRPr="005F1444">
        <w:rPr>
          <w:rFonts w:ascii="Arial" w:hAnsi="Arial" w:cs="Arial"/>
          <w:sz w:val="20"/>
          <w:szCs w:val="20"/>
          <w:lang w:val="fr-CA"/>
        </w:rPr>
        <w:t>La</w:t>
      </w:r>
      <w:r w:rsidRPr="005264A5">
        <w:rPr>
          <w:rFonts w:ascii="Arial" w:hAnsi="Arial" w:cs="Arial"/>
          <w:b/>
          <w:sz w:val="20"/>
          <w:szCs w:val="20"/>
          <w:lang w:val="fr-CA"/>
        </w:rPr>
        <w:t xml:space="preserve"> </w:t>
      </w:r>
      <w:r w:rsidRPr="00EC281D">
        <w:rPr>
          <w:rFonts w:ascii="Arial" w:hAnsi="Arial" w:cs="Arial"/>
          <w:b/>
          <w:sz w:val="20"/>
          <w:szCs w:val="20"/>
          <w:lang w:val="fr-CA"/>
        </w:rPr>
        <w:t>Direction de la gestion des investissements, des biens et de l’approvisionnement</w:t>
      </w:r>
      <w:r w:rsidRPr="00B9102E">
        <w:rPr>
          <w:rFonts w:ascii="Arial" w:hAnsi="Arial" w:cs="Arial"/>
          <w:sz w:val="20"/>
          <w:szCs w:val="20"/>
          <w:lang w:val="fr-CA"/>
        </w:rPr>
        <w:t xml:space="preserve"> </w:t>
      </w:r>
      <w:r w:rsidRPr="00062020">
        <w:rPr>
          <w:rFonts w:ascii="Arial" w:hAnsi="Arial" w:cs="Arial"/>
          <w:sz w:val="20"/>
          <w:szCs w:val="20"/>
          <w:lang w:val="fr-CA"/>
        </w:rPr>
        <w:t>est responsable de la gestion des investissements et de la surveillance des projets, ainsi que de l’élaboration et de la mise en œuvre du</w:t>
      </w:r>
      <w:r w:rsidRPr="005F1444">
        <w:rPr>
          <w:rFonts w:ascii="Arial" w:hAnsi="Arial" w:cs="Arial"/>
          <w:sz w:val="20"/>
          <w:szCs w:val="20"/>
          <w:lang w:val="fr-CA"/>
        </w:rPr>
        <w:t xml:space="preserve"> processus ministériel de gestion des investissements et du plan d’investissement à l’appui du Conseil des grands projets et des investissements (CGPI).</w:t>
      </w:r>
    </w:p>
    <w:p w:rsidR="00807E0F" w:rsidRPr="00001E0D" w:rsidRDefault="00807E0F" w:rsidP="00807E0F">
      <w:pPr>
        <w:ind w:left="360"/>
        <w:rPr>
          <w:rFonts w:ascii="Arial" w:hAnsi="Arial" w:cs="Arial"/>
          <w:sz w:val="20"/>
          <w:szCs w:val="20"/>
          <w:lang w:val="fr-CA"/>
        </w:rPr>
      </w:pPr>
    </w:p>
    <w:p w:rsidR="00807E0F" w:rsidRPr="0045184F" w:rsidRDefault="00807E0F" w:rsidP="00807E0F">
      <w:pPr>
        <w:numPr>
          <w:ilvl w:val="0"/>
          <w:numId w:val="20"/>
        </w:numPr>
        <w:tabs>
          <w:tab w:val="clear" w:pos="644"/>
          <w:tab w:val="num" w:pos="360"/>
        </w:tabs>
        <w:ind w:left="360"/>
        <w:rPr>
          <w:rFonts w:ascii="Arial" w:hAnsi="Arial" w:cs="Arial"/>
          <w:sz w:val="20"/>
          <w:szCs w:val="20"/>
          <w:lang w:val="fr-CA"/>
        </w:rPr>
      </w:pPr>
      <w:r w:rsidRPr="0045184F">
        <w:rPr>
          <w:rFonts w:ascii="Arial" w:hAnsi="Arial" w:cs="Arial"/>
          <w:color w:val="000000" w:themeColor="text1"/>
          <w:sz w:val="20"/>
          <w:szCs w:val="20"/>
          <w:lang w:val="fr-CA"/>
        </w:rPr>
        <w:t xml:space="preserve">La </w:t>
      </w:r>
      <w:r w:rsidRPr="0045184F">
        <w:rPr>
          <w:rFonts w:ascii="Arial" w:hAnsi="Arial" w:cs="Arial"/>
          <w:b/>
          <w:color w:val="000000" w:themeColor="text1"/>
          <w:sz w:val="20"/>
          <w:szCs w:val="20"/>
          <w:lang w:val="fr-CA"/>
        </w:rPr>
        <w:t>Direction intégrée de la responsabilité et de la comptabilité ministérielle (DIRCM)</w:t>
      </w:r>
      <w:r w:rsidRPr="0045184F">
        <w:rPr>
          <w:rFonts w:ascii="Arial" w:hAnsi="Arial" w:cs="Arial"/>
          <w:color w:val="000000" w:themeColor="text1"/>
          <w:sz w:val="20"/>
          <w:szCs w:val="20"/>
          <w:lang w:val="fr-CA"/>
        </w:rPr>
        <w:t xml:space="preserve"> doit, entre autres</w:t>
      </w:r>
      <w:r w:rsidRPr="0045184F">
        <w:rPr>
          <w:rFonts w:ascii="Arial" w:hAnsi="Arial" w:cs="Arial"/>
          <w:sz w:val="20"/>
          <w:szCs w:val="20"/>
          <w:lang w:val="fr-CA"/>
        </w:rPr>
        <w:t xml:space="preserve">, s’acquitter des responsabilités ministérielles en matière de comptabilité et de production de rapports en ce qui concerne les rapports externes suivants : les </w:t>
      </w:r>
      <w:r w:rsidR="00A65707">
        <w:rPr>
          <w:rFonts w:ascii="Arial" w:hAnsi="Arial" w:cs="Arial"/>
          <w:sz w:val="20"/>
          <w:szCs w:val="20"/>
          <w:lang w:val="fr-CA"/>
        </w:rPr>
        <w:t>É</w:t>
      </w:r>
      <w:r w:rsidR="00A65707" w:rsidRPr="0045184F">
        <w:rPr>
          <w:rFonts w:ascii="Arial" w:hAnsi="Arial" w:cs="Arial"/>
          <w:sz w:val="20"/>
          <w:szCs w:val="20"/>
          <w:lang w:val="fr-CA"/>
        </w:rPr>
        <w:t>tats</w:t>
      </w:r>
      <w:r w:rsidRPr="0045184F">
        <w:rPr>
          <w:rFonts w:ascii="Arial" w:hAnsi="Arial" w:cs="Arial"/>
          <w:sz w:val="20"/>
          <w:szCs w:val="20"/>
          <w:lang w:val="fr-CA"/>
        </w:rPr>
        <w:t xml:space="preserve"> financiers vérifiés du RPC, le Compte des opérations de l’assurance-emploi et du Compte des rentes sur l’État; les </w:t>
      </w:r>
      <w:r w:rsidR="00A65707">
        <w:rPr>
          <w:rFonts w:ascii="Arial" w:hAnsi="Arial" w:cs="Arial"/>
          <w:sz w:val="20"/>
          <w:szCs w:val="20"/>
          <w:lang w:val="fr-CA"/>
        </w:rPr>
        <w:t>É</w:t>
      </w:r>
      <w:r w:rsidR="00A65707" w:rsidRPr="0045184F">
        <w:rPr>
          <w:rFonts w:ascii="Arial" w:hAnsi="Arial" w:cs="Arial"/>
          <w:sz w:val="20"/>
          <w:szCs w:val="20"/>
          <w:lang w:val="fr-CA"/>
        </w:rPr>
        <w:t>tats</w:t>
      </w:r>
      <w:r w:rsidRPr="0045184F">
        <w:rPr>
          <w:rFonts w:ascii="Arial" w:hAnsi="Arial" w:cs="Arial"/>
          <w:sz w:val="20"/>
          <w:szCs w:val="20"/>
          <w:lang w:val="fr-CA"/>
        </w:rPr>
        <w:t xml:space="preserve"> financiers d’EDSC, les </w:t>
      </w:r>
      <w:r w:rsidR="00A65707">
        <w:rPr>
          <w:rFonts w:ascii="Arial" w:hAnsi="Arial" w:cs="Arial"/>
          <w:sz w:val="20"/>
          <w:szCs w:val="20"/>
          <w:lang w:val="fr-CA"/>
        </w:rPr>
        <w:t>É</w:t>
      </w:r>
      <w:r w:rsidR="00A65707" w:rsidRPr="0045184F">
        <w:rPr>
          <w:rFonts w:ascii="Arial" w:hAnsi="Arial" w:cs="Arial"/>
          <w:sz w:val="20"/>
          <w:szCs w:val="20"/>
          <w:lang w:val="fr-CA"/>
        </w:rPr>
        <w:t>tats</w:t>
      </w:r>
      <w:r w:rsidRPr="0045184F">
        <w:rPr>
          <w:rFonts w:ascii="Arial" w:hAnsi="Arial" w:cs="Arial"/>
          <w:sz w:val="20"/>
          <w:szCs w:val="20"/>
          <w:lang w:val="fr-CA"/>
        </w:rPr>
        <w:t xml:space="preserve"> des résultats  prospe</w:t>
      </w:r>
      <w:r w:rsidR="00A65707">
        <w:rPr>
          <w:rFonts w:ascii="Arial" w:hAnsi="Arial" w:cs="Arial"/>
          <w:sz w:val="20"/>
          <w:szCs w:val="20"/>
          <w:lang w:val="fr-CA"/>
        </w:rPr>
        <w:t>ctifs, les Comptes publics, la B</w:t>
      </w:r>
      <w:r w:rsidRPr="0045184F">
        <w:rPr>
          <w:rFonts w:ascii="Arial" w:hAnsi="Arial" w:cs="Arial"/>
          <w:sz w:val="20"/>
          <w:szCs w:val="20"/>
          <w:lang w:val="fr-CA"/>
        </w:rPr>
        <w:t xml:space="preserve">alance de vérification mensuelle et tous les rapports de divulgation proactive. Cette direction est également responsable des opérations relatives aux comptes payables et recevables, des politiques financières, des contrôles internes en matière de gestion financière, de la délégation ministérielle des autorités financières, des activités de surveillances des subventions et contributions, etc. </w:t>
      </w:r>
    </w:p>
    <w:p w:rsidR="00807E0F" w:rsidRPr="00001E0D" w:rsidRDefault="00807E0F" w:rsidP="00807E0F">
      <w:pPr>
        <w:rPr>
          <w:rFonts w:ascii="Arial" w:hAnsi="Arial" w:cs="Arial"/>
          <w:sz w:val="20"/>
          <w:szCs w:val="20"/>
          <w:lang w:val="fr-CA"/>
        </w:rPr>
      </w:pPr>
    </w:p>
    <w:p w:rsidR="00807E0F" w:rsidRPr="00001E0D" w:rsidRDefault="00807E0F" w:rsidP="00807E0F">
      <w:pPr>
        <w:rPr>
          <w:rFonts w:ascii="Arial" w:hAnsi="Arial" w:cs="Arial"/>
          <w:b/>
          <w:sz w:val="20"/>
          <w:szCs w:val="20"/>
          <w:lang w:val="fr-CA"/>
        </w:rPr>
      </w:pPr>
      <w:r w:rsidRPr="00001E0D">
        <w:rPr>
          <w:rFonts w:ascii="Arial" w:hAnsi="Arial" w:cs="Arial"/>
          <w:b/>
          <w:sz w:val="20"/>
          <w:szCs w:val="20"/>
          <w:lang w:val="fr-CA"/>
        </w:rPr>
        <w:t xml:space="preserve">b) </w:t>
      </w:r>
      <w:r>
        <w:rPr>
          <w:rFonts w:ascii="Arial" w:hAnsi="Arial" w:cs="Arial"/>
          <w:b/>
          <w:sz w:val="20"/>
          <w:szCs w:val="20"/>
          <w:lang w:val="fr-CA"/>
        </w:rPr>
        <w:t>Direction générale des politiques stratégiques et de service </w:t>
      </w:r>
      <w:r w:rsidRPr="00001E0D">
        <w:rPr>
          <w:rFonts w:ascii="Arial" w:hAnsi="Arial" w:cs="Arial"/>
          <w:b/>
          <w:sz w:val="20"/>
          <w:szCs w:val="20"/>
          <w:lang w:val="fr-CA"/>
        </w:rPr>
        <w:t>:</w:t>
      </w:r>
    </w:p>
    <w:p w:rsidR="00807E0F" w:rsidRPr="00001E0D" w:rsidRDefault="00807E0F" w:rsidP="00807E0F">
      <w:pPr>
        <w:rPr>
          <w:rFonts w:ascii="Arial" w:hAnsi="Arial" w:cs="Arial"/>
          <w:sz w:val="20"/>
          <w:szCs w:val="20"/>
          <w:lang w:val="fr-CA"/>
        </w:rPr>
      </w:pPr>
    </w:p>
    <w:p w:rsidR="00807E0F" w:rsidRPr="00001E0D" w:rsidRDefault="00807E0F" w:rsidP="00807E0F">
      <w:pPr>
        <w:rPr>
          <w:rFonts w:ascii="Arial" w:hAnsi="Arial" w:cs="Arial"/>
          <w:sz w:val="20"/>
          <w:szCs w:val="20"/>
          <w:lang w:val="fr-CA"/>
        </w:rPr>
      </w:pPr>
      <w:r>
        <w:rPr>
          <w:rFonts w:ascii="Arial" w:hAnsi="Arial" w:cs="Arial"/>
          <w:sz w:val="20"/>
          <w:szCs w:val="20"/>
          <w:lang w:val="fr-CA"/>
        </w:rPr>
        <w:t>À la DGPSS</w:t>
      </w:r>
      <w:r w:rsidRPr="00001E0D">
        <w:rPr>
          <w:rFonts w:ascii="Arial" w:hAnsi="Arial" w:cs="Arial"/>
          <w:sz w:val="20"/>
          <w:szCs w:val="20"/>
          <w:lang w:val="fr-CA"/>
        </w:rPr>
        <w:t xml:space="preserve">, </w:t>
      </w:r>
      <w:r>
        <w:rPr>
          <w:rFonts w:ascii="Arial" w:hAnsi="Arial" w:cs="Arial"/>
          <w:sz w:val="20"/>
          <w:szCs w:val="20"/>
          <w:lang w:val="fr-CA"/>
        </w:rPr>
        <w:t>la</w:t>
      </w:r>
      <w:r w:rsidRPr="00001E0D">
        <w:rPr>
          <w:rFonts w:ascii="Arial" w:hAnsi="Arial" w:cs="Arial"/>
          <w:sz w:val="20"/>
          <w:szCs w:val="20"/>
          <w:lang w:val="fr-CA"/>
        </w:rPr>
        <w:t xml:space="preserve"> </w:t>
      </w:r>
      <w:r>
        <w:rPr>
          <w:rFonts w:ascii="Arial" w:hAnsi="Arial" w:cs="Arial"/>
          <w:b/>
          <w:sz w:val="20"/>
          <w:szCs w:val="20"/>
          <w:lang w:val="fr-CA"/>
        </w:rPr>
        <w:t>Direction de la planification ministérielle et gestion</w:t>
      </w:r>
      <w:r w:rsidRPr="00001E0D">
        <w:rPr>
          <w:rFonts w:ascii="Arial" w:hAnsi="Arial" w:cs="Arial"/>
          <w:b/>
          <w:sz w:val="20"/>
          <w:szCs w:val="20"/>
          <w:lang w:val="fr-CA"/>
        </w:rPr>
        <w:t xml:space="preserve"> </w:t>
      </w:r>
      <w:r>
        <w:rPr>
          <w:rFonts w:ascii="Arial" w:hAnsi="Arial" w:cs="Arial"/>
          <w:sz w:val="20"/>
          <w:szCs w:val="20"/>
          <w:lang w:val="fr-CA"/>
        </w:rPr>
        <w:t>est l’un des principaux acteurs en ce qui a trait à la planification ministérielle</w:t>
      </w:r>
      <w:r w:rsidRPr="00001E0D">
        <w:rPr>
          <w:rFonts w:ascii="Arial" w:hAnsi="Arial" w:cs="Arial"/>
          <w:sz w:val="20"/>
          <w:szCs w:val="20"/>
          <w:lang w:val="fr-CA"/>
        </w:rPr>
        <w:t xml:space="preserve">. </w:t>
      </w:r>
      <w:r w:rsidRPr="00856047">
        <w:rPr>
          <w:rFonts w:ascii="Arial" w:hAnsi="Arial" w:cs="Arial"/>
          <w:sz w:val="20"/>
          <w:szCs w:val="20"/>
          <w:lang w:val="fr-CA"/>
        </w:rPr>
        <w:t>Elle dirige l’élaboration et la mise en œuvre des processus axés sur la collaboration pour la planification et la responsabilisation ministérielles, y compris l’</w:t>
      </w:r>
      <w:r>
        <w:rPr>
          <w:rFonts w:ascii="Arial" w:hAnsi="Arial" w:cs="Arial"/>
          <w:sz w:val="20"/>
          <w:szCs w:val="20"/>
          <w:lang w:val="fr-CA"/>
        </w:rPr>
        <w:t>Alignement d’Architecture de P</w:t>
      </w:r>
      <w:r w:rsidRPr="00856047">
        <w:rPr>
          <w:rFonts w:ascii="Arial" w:hAnsi="Arial" w:cs="Arial"/>
          <w:sz w:val="20"/>
          <w:szCs w:val="20"/>
          <w:lang w:val="fr-CA"/>
        </w:rPr>
        <w:t xml:space="preserve">rogrammes du </w:t>
      </w:r>
      <w:r w:rsidR="00A65707">
        <w:rPr>
          <w:rFonts w:ascii="Arial" w:hAnsi="Arial" w:cs="Arial"/>
          <w:sz w:val="20"/>
          <w:szCs w:val="20"/>
          <w:lang w:val="fr-CA"/>
        </w:rPr>
        <w:t>ministère</w:t>
      </w:r>
      <w:r w:rsidRPr="00856047">
        <w:rPr>
          <w:rFonts w:ascii="Arial" w:hAnsi="Arial" w:cs="Arial"/>
          <w:sz w:val="20"/>
          <w:szCs w:val="20"/>
          <w:lang w:val="fr-CA"/>
        </w:rPr>
        <w:t xml:space="preserve"> ainsi que les principaux documents ministériels déposés devant le Parlement (</w:t>
      </w:r>
      <w:r>
        <w:rPr>
          <w:rFonts w:ascii="Arial" w:hAnsi="Arial" w:cs="Arial"/>
          <w:sz w:val="20"/>
          <w:szCs w:val="20"/>
          <w:lang w:val="fr-CA"/>
        </w:rPr>
        <w:t xml:space="preserve">Plans de dépenses du </w:t>
      </w:r>
      <w:r w:rsidR="00A65707">
        <w:rPr>
          <w:rFonts w:ascii="Arial" w:hAnsi="Arial" w:cs="Arial"/>
          <w:sz w:val="20"/>
          <w:szCs w:val="20"/>
          <w:lang w:val="fr-CA"/>
        </w:rPr>
        <w:t>ministère</w:t>
      </w:r>
      <w:r>
        <w:rPr>
          <w:rFonts w:ascii="Arial" w:hAnsi="Arial" w:cs="Arial"/>
          <w:sz w:val="20"/>
          <w:szCs w:val="20"/>
          <w:lang w:val="fr-CA"/>
        </w:rPr>
        <w:t xml:space="preserve"> – Partie III</w:t>
      </w:r>
      <w:r w:rsidRPr="00856047">
        <w:rPr>
          <w:rFonts w:ascii="Arial" w:hAnsi="Arial" w:cs="Arial"/>
          <w:sz w:val="20"/>
          <w:szCs w:val="20"/>
          <w:lang w:val="fr-CA"/>
        </w:rPr>
        <w:t>), l’établissement des priorités, la mesure du rendement et le rendement des cadres supérieurs. Ce groupe sert aussi de centre de liaison pour les processus ministériels renforcés et intégrés de planification, de responsabilisation et de prise de décisions</w:t>
      </w:r>
      <w:r w:rsidRPr="00001E0D">
        <w:rPr>
          <w:rFonts w:ascii="Arial" w:hAnsi="Arial" w:cs="Arial"/>
          <w:sz w:val="20"/>
          <w:szCs w:val="20"/>
          <w:lang w:val="fr-CA"/>
        </w:rPr>
        <w:t>.</w:t>
      </w:r>
    </w:p>
    <w:p w:rsidR="00807E0F" w:rsidRDefault="00807E0F" w:rsidP="00807E0F">
      <w:pPr>
        <w:rPr>
          <w:rFonts w:ascii="Arial" w:hAnsi="Arial" w:cs="Arial"/>
          <w:sz w:val="20"/>
          <w:szCs w:val="20"/>
          <w:lang w:val="fr-CA"/>
        </w:rPr>
      </w:pPr>
    </w:p>
    <w:p w:rsidR="00807E0F" w:rsidRPr="00001E0D" w:rsidRDefault="00807E0F" w:rsidP="00807E0F">
      <w:pPr>
        <w:rPr>
          <w:rFonts w:ascii="Arial" w:hAnsi="Arial" w:cs="Arial"/>
          <w:b/>
          <w:sz w:val="20"/>
          <w:szCs w:val="20"/>
          <w:lang w:val="fr-CA"/>
        </w:rPr>
      </w:pPr>
      <w:r w:rsidRPr="00001E0D">
        <w:rPr>
          <w:rFonts w:ascii="Arial" w:hAnsi="Arial" w:cs="Arial"/>
          <w:b/>
          <w:sz w:val="20"/>
          <w:szCs w:val="20"/>
          <w:lang w:val="fr-CA"/>
        </w:rPr>
        <w:t xml:space="preserve">c) </w:t>
      </w:r>
      <w:r>
        <w:rPr>
          <w:rFonts w:ascii="Arial" w:hAnsi="Arial" w:cs="Arial"/>
          <w:b/>
          <w:sz w:val="20"/>
          <w:szCs w:val="20"/>
          <w:lang w:val="fr-CA"/>
        </w:rPr>
        <w:t>Gestionnaires de centre financier </w:t>
      </w:r>
      <w:r w:rsidRPr="00001E0D">
        <w:rPr>
          <w:rFonts w:ascii="Arial" w:hAnsi="Arial" w:cs="Arial"/>
          <w:b/>
          <w:sz w:val="20"/>
          <w:szCs w:val="20"/>
          <w:lang w:val="fr-CA"/>
        </w:rPr>
        <w:t>:</w:t>
      </w:r>
    </w:p>
    <w:p w:rsidR="00807E0F" w:rsidRPr="00001E0D" w:rsidRDefault="00807E0F" w:rsidP="00807E0F">
      <w:pPr>
        <w:rPr>
          <w:rFonts w:ascii="Arial" w:hAnsi="Arial" w:cs="Arial"/>
          <w:sz w:val="20"/>
          <w:szCs w:val="20"/>
          <w:lang w:val="fr-CA"/>
        </w:rPr>
      </w:pPr>
    </w:p>
    <w:p w:rsidR="00807E0F" w:rsidRPr="00001E0D" w:rsidRDefault="00807E0F" w:rsidP="00807E0F">
      <w:pPr>
        <w:rPr>
          <w:rFonts w:ascii="Arial" w:hAnsi="Arial" w:cs="Arial"/>
          <w:sz w:val="20"/>
          <w:szCs w:val="20"/>
          <w:lang w:val="fr-CA"/>
        </w:rPr>
      </w:pPr>
      <w:r w:rsidRPr="00856047">
        <w:rPr>
          <w:rFonts w:ascii="Arial" w:hAnsi="Arial" w:cs="Arial"/>
          <w:sz w:val="20"/>
          <w:szCs w:val="20"/>
          <w:lang w:val="fr-CA"/>
        </w:rPr>
        <w:t xml:space="preserve">Des gestionnaires de divers niveaux s’occupent de nombreux aspects de l’administration financière. Désignées couramment gestionnaires de </w:t>
      </w:r>
      <w:r>
        <w:rPr>
          <w:rFonts w:ascii="Arial" w:hAnsi="Arial" w:cs="Arial"/>
          <w:sz w:val="20"/>
          <w:szCs w:val="20"/>
          <w:lang w:val="fr-CA"/>
        </w:rPr>
        <w:t>centre financier</w:t>
      </w:r>
      <w:r w:rsidRPr="00856047">
        <w:rPr>
          <w:rFonts w:ascii="Arial" w:hAnsi="Arial" w:cs="Arial"/>
          <w:sz w:val="20"/>
          <w:szCs w:val="20"/>
          <w:lang w:val="fr-CA"/>
        </w:rPr>
        <w:t xml:space="preserve"> (</w:t>
      </w:r>
      <w:r>
        <w:rPr>
          <w:rFonts w:ascii="Arial" w:hAnsi="Arial" w:cs="Arial"/>
          <w:sz w:val="20"/>
          <w:szCs w:val="20"/>
          <w:lang w:val="fr-CA"/>
        </w:rPr>
        <w:t>GCF</w:t>
      </w:r>
      <w:r w:rsidRPr="00856047">
        <w:rPr>
          <w:rFonts w:ascii="Arial" w:hAnsi="Arial" w:cs="Arial"/>
          <w:sz w:val="20"/>
          <w:szCs w:val="20"/>
          <w:lang w:val="fr-CA"/>
        </w:rPr>
        <w:t xml:space="preserve">), ces personnes sont notamment </w:t>
      </w:r>
      <w:r>
        <w:rPr>
          <w:rFonts w:ascii="Arial" w:hAnsi="Arial" w:cs="Arial"/>
          <w:sz w:val="20"/>
          <w:szCs w:val="20"/>
          <w:lang w:val="fr-CA"/>
        </w:rPr>
        <w:t xml:space="preserve">titulaires </w:t>
      </w:r>
      <w:r w:rsidRPr="00856047">
        <w:rPr>
          <w:rFonts w:ascii="Arial" w:hAnsi="Arial" w:cs="Arial"/>
          <w:sz w:val="20"/>
          <w:szCs w:val="20"/>
          <w:lang w:val="fr-CA"/>
        </w:rPr>
        <w:t>du pouvoir de signer des documents financiers. Le rôle principal d’un gestionnaire de C</w:t>
      </w:r>
      <w:r>
        <w:rPr>
          <w:rFonts w:ascii="Arial" w:hAnsi="Arial" w:cs="Arial"/>
          <w:sz w:val="20"/>
          <w:szCs w:val="20"/>
          <w:lang w:val="fr-CA"/>
        </w:rPr>
        <w:t>F</w:t>
      </w:r>
      <w:r w:rsidRPr="00856047">
        <w:rPr>
          <w:rFonts w:ascii="Arial" w:hAnsi="Arial" w:cs="Arial"/>
          <w:sz w:val="20"/>
          <w:szCs w:val="20"/>
          <w:lang w:val="fr-CA"/>
        </w:rPr>
        <w:t xml:space="preserve"> consiste à gérer les ressources humaines et financières dont il est responsable ainsi qu’à obtenir des résultats qui correspondent aux objectifs de programmes du </w:t>
      </w:r>
      <w:r w:rsidR="00A65707">
        <w:rPr>
          <w:rFonts w:ascii="Arial" w:hAnsi="Arial" w:cs="Arial"/>
          <w:sz w:val="20"/>
          <w:szCs w:val="20"/>
          <w:lang w:val="fr-CA"/>
        </w:rPr>
        <w:t>ministère</w:t>
      </w:r>
      <w:r w:rsidRPr="00856047">
        <w:rPr>
          <w:rFonts w:ascii="Arial" w:hAnsi="Arial" w:cs="Arial"/>
          <w:sz w:val="20"/>
          <w:szCs w:val="20"/>
          <w:lang w:val="fr-CA"/>
        </w:rPr>
        <w:t xml:space="preserve"> et à contribuer à l’atteinte de ceux-ci. Il leur est demandé de remplir leur rôle de façon à maximiser les </w:t>
      </w:r>
      <w:r w:rsidRPr="00856047">
        <w:rPr>
          <w:rFonts w:ascii="Arial" w:hAnsi="Arial" w:cs="Arial"/>
          <w:sz w:val="20"/>
          <w:szCs w:val="20"/>
          <w:lang w:val="fr-CA"/>
        </w:rPr>
        <w:lastRenderedPageBreak/>
        <w:t>avantages et à réduire au minimum les coûts, tout en s’acquittant de leurs responsabilités ministérielles. Ils doivent donc</w:t>
      </w:r>
      <w:r>
        <w:rPr>
          <w:rFonts w:ascii="Arial" w:hAnsi="Arial" w:cs="Arial"/>
          <w:sz w:val="20"/>
          <w:szCs w:val="20"/>
          <w:lang w:val="fr-CA"/>
        </w:rPr>
        <w:t> </w:t>
      </w:r>
      <w:r w:rsidRPr="00001E0D">
        <w:rPr>
          <w:rFonts w:ascii="Arial" w:hAnsi="Arial" w:cs="Arial"/>
          <w:sz w:val="20"/>
          <w:szCs w:val="20"/>
          <w:lang w:val="fr-CA"/>
        </w:rPr>
        <w:t>:</w:t>
      </w:r>
    </w:p>
    <w:p w:rsidR="00807E0F" w:rsidRPr="00001E0D" w:rsidRDefault="00807E0F" w:rsidP="00807E0F">
      <w:pPr>
        <w:rPr>
          <w:rFonts w:ascii="Arial" w:hAnsi="Arial" w:cs="Arial"/>
          <w:sz w:val="20"/>
          <w:szCs w:val="20"/>
          <w:lang w:val="fr-CA"/>
        </w:rPr>
      </w:pPr>
    </w:p>
    <w:p w:rsidR="00807E0F" w:rsidRPr="00001E0D" w:rsidRDefault="00807E0F" w:rsidP="00807E0F">
      <w:pPr>
        <w:numPr>
          <w:ilvl w:val="0"/>
          <w:numId w:val="14"/>
        </w:numPr>
        <w:rPr>
          <w:rFonts w:ascii="Arial" w:hAnsi="Arial" w:cs="Arial"/>
          <w:sz w:val="20"/>
          <w:szCs w:val="20"/>
          <w:lang w:val="fr-CA"/>
        </w:rPr>
      </w:pPr>
      <w:r>
        <w:rPr>
          <w:rFonts w:ascii="Arial" w:hAnsi="Arial" w:cs="Arial"/>
          <w:sz w:val="20"/>
          <w:szCs w:val="20"/>
          <w:lang w:val="fr-CA"/>
        </w:rPr>
        <w:t xml:space="preserve">prendre des décisions avec </w:t>
      </w:r>
      <w:r w:rsidRPr="00EC281D">
        <w:rPr>
          <w:rFonts w:ascii="Arial" w:hAnsi="Arial" w:cs="Arial"/>
          <w:sz w:val="20"/>
          <w:szCs w:val="20"/>
          <w:lang w:val="fr-CA"/>
        </w:rPr>
        <w:t>probité</w:t>
      </w:r>
      <w:r>
        <w:rPr>
          <w:rFonts w:ascii="Arial" w:hAnsi="Arial" w:cs="Arial"/>
          <w:sz w:val="20"/>
          <w:szCs w:val="20"/>
          <w:lang w:val="fr-CA"/>
        </w:rPr>
        <w:t xml:space="preserve"> et prudence</w:t>
      </w:r>
      <w:r w:rsidRPr="00001E0D">
        <w:rPr>
          <w:rFonts w:ascii="Arial" w:hAnsi="Arial" w:cs="Arial"/>
          <w:sz w:val="20"/>
          <w:szCs w:val="20"/>
          <w:lang w:val="fr-CA"/>
        </w:rPr>
        <w:t>;</w:t>
      </w:r>
    </w:p>
    <w:p w:rsidR="00807E0F" w:rsidRPr="00001E0D" w:rsidRDefault="00807E0F" w:rsidP="00807E0F">
      <w:pPr>
        <w:numPr>
          <w:ilvl w:val="0"/>
          <w:numId w:val="14"/>
        </w:numPr>
        <w:rPr>
          <w:rFonts w:ascii="Arial" w:hAnsi="Arial" w:cs="Arial"/>
          <w:sz w:val="20"/>
          <w:szCs w:val="20"/>
          <w:lang w:val="fr-CA"/>
        </w:rPr>
      </w:pPr>
      <w:r w:rsidRPr="00856047">
        <w:rPr>
          <w:rFonts w:ascii="Arial" w:hAnsi="Arial" w:cs="Arial"/>
          <w:sz w:val="20"/>
          <w:szCs w:val="20"/>
          <w:lang w:val="fr-CA"/>
        </w:rPr>
        <w:t xml:space="preserve">assurer une utilisation optimale des ressources financières, humaines et matérielles de façon qu’elles contribuent à la réalisation des objectifs et des priorités du </w:t>
      </w:r>
      <w:r w:rsidR="00A65707">
        <w:rPr>
          <w:rFonts w:ascii="Arial" w:hAnsi="Arial" w:cs="Arial"/>
          <w:sz w:val="20"/>
          <w:szCs w:val="20"/>
          <w:lang w:val="fr-CA"/>
        </w:rPr>
        <w:t>ministère</w:t>
      </w:r>
      <w:r w:rsidRPr="00001E0D">
        <w:rPr>
          <w:rFonts w:ascii="Arial" w:hAnsi="Arial" w:cs="Arial"/>
          <w:sz w:val="20"/>
          <w:szCs w:val="20"/>
          <w:lang w:val="fr-CA"/>
        </w:rPr>
        <w:t>;</w:t>
      </w:r>
    </w:p>
    <w:p w:rsidR="00807E0F" w:rsidRPr="00001E0D" w:rsidRDefault="00807E0F" w:rsidP="00807E0F">
      <w:pPr>
        <w:numPr>
          <w:ilvl w:val="0"/>
          <w:numId w:val="14"/>
        </w:numPr>
        <w:rPr>
          <w:rFonts w:ascii="Arial" w:hAnsi="Arial" w:cs="Arial"/>
          <w:sz w:val="20"/>
          <w:szCs w:val="20"/>
          <w:lang w:val="fr-CA"/>
        </w:rPr>
      </w:pPr>
      <w:r w:rsidRPr="00856047">
        <w:rPr>
          <w:rFonts w:ascii="Arial" w:hAnsi="Arial" w:cs="Arial"/>
          <w:sz w:val="20"/>
          <w:szCs w:val="20"/>
          <w:lang w:val="fr-CA"/>
        </w:rPr>
        <w:t>veiller à ce que les programmes soient exécutés de façon à tirer le plus grand profit possible des ressources publiques</w:t>
      </w:r>
      <w:r w:rsidRPr="00001E0D">
        <w:rPr>
          <w:rFonts w:ascii="Arial" w:hAnsi="Arial" w:cs="Arial"/>
          <w:sz w:val="20"/>
          <w:szCs w:val="20"/>
          <w:lang w:val="fr-CA"/>
        </w:rPr>
        <w:t>;</w:t>
      </w:r>
    </w:p>
    <w:p w:rsidR="00807E0F" w:rsidRPr="00001E0D" w:rsidRDefault="00807E0F" w:rsidP="00807E0F">
      <w:pPr>
        <w:numPr>
          <w:ilvl w:val="0"/>
          <w:numId w:val="14"/>
        </w:numPr>
        <w:rPr>
          <w:rFonts w:ascii="Arial" w:hAnsi="Arial" w:cs="Arial"/>
          <w:sz w:val="20"/>
          <w:szCs w:val="20"/>
          <w:lang w:val="fr-CA"/>
        </w:rPr>
      </w:pPr>
      <w:r w:rsidRPr="00856047">
        <w:rPr>
          <w:rFonts w:ascii="Arial" w:hAnsi="Arial" w:cs="Arial"/>
          <w:sz w:val="20"/>
          <w:szCs w:val="20"/>
          <w:lang w:val="fr-CA"/>
        </w:rPr>
        <w:t>s’assurer que les plans comprennent une analyse de toutes les incidences sur les finances et les autres ressources</w:t>
      </w:r>
      <w:r w:rsidRPr="00001E0D">
        <w:rPr>
          <w:rFonts w:ascii="Arial" w:hAnsi="Arial" w:cs="Arial"/>
          <w:sz w:val="20"/>
          <w:szCs w:val="20"/>
          <w:lang w:val="fr-CA"/>
        </w:rPr>
        <w:t>;</w:t>
      </w:r>
    </w:p>
    <w:p w:rsidR="00807E0F" w:rsidRPr="00001E0D" w:rsidRDefault="00807E0F" w:rsidP="00807E0F">
      <w:pPr>
        <w:numPr>
          <w:ilvl w:val="0"/>
          <w:numId w:val="14"/>
        </w:numPr>
        <w:rPr>
          <w:rFonts w:ascii="Arial" w:hAnsi="Arial" w:cs="Arial"/>
          <w:sz w:val="20"/>
          <w:szCs w:val="20"/>
          <w:lang w:val="fr-CA"/>
        </w:rPr>
      </w:pPr>
      <w:r w:rsidRPr="00856047">
        <w:rPr>
          <w:rFonts w:ascii="Arial" w:hAnsi="Arial" w:cs="Arial"/>
          <w:sz w:val="20"/>
          <w:szCs w:val="20"/>
          <w:lang w:val="fr-CA"/>
        </w:rPr>
        <w:t>se conformer à l’ensemble des lois, des règlements et des politiques</w:t>
      </w:r>
      <w:r w:rsidRPr="00001E0D">
        <w:rPr>
          <w:rFonts w:ascii="Arial" w:hAnsi="Arial" w:cs="Arial"/>
          <w:sz w:val="20"/>
          <w:szCs w:val="20"/>
          <w:lang w:val="fr-CA"/>
        </w:rPr>
        <w:t>;</w:t>
      </w:r>
    </w:p>
    <w:p w:rsidR="00807E0F" w:rsidRPr="00001E0D" w:rsidRDefault="00807E0F" w:rsidP="00807E0F">
      <w:pPr>
        <w:numPr>
          <w:ilvl w:val="0"/>
          <w:numId w:val="14"/>
        </w:numPr>
        <w:rPr>
          <w:rFonts w:ascii="Arial" w:hAnsi="Arial" w:cs="Arial"/>
          <w:sz w:val="20"/>
          <w:szCs w:val="20"/>
          <w:lang w:val="fr-CA"/>
        </w:rPr>
      </w:pPr>
      <w:r w:rsidRPr="00856047">
        <w:rPr>
          <w:rFonts w:ascii="Arial" w:hAnsi="Arial" w:cs="Arial"/>
          <w:sz w:val="20"/>
          <w:szCs w:val="20"/>
          <w:lang w:val="fr-CA"/>
        </w:rPr>
        <w:t>prendre des décisions en tenant compte de l’information, des analyses et des conseils du moment, qui sont fiables et pertinents, sur le plan financier et non financier</w:t>
      </w:r>
      <w:r w:rsidRPr="00001E0D">
        <w:rPr>
          <w:rFonts w:ascii="Arial" w:hAnsi="Arial" w:cs="Arial"/>
          <w:sz w:val="20"/>
          <w:szCs w:val="20"/>
          <w:lang w:val="fr-CA"/>
        </w:rPr>
        <w:t>;</w:t>
      </w:r>
    </w:p>
    <w:p w:rsidR="00807E0F" w:rsidRPr="00001E0D" w:rsidRDefault="00807E0F" w:rsidP="00807E0F">
      <w:pPr>
        <w:numPr>
          <w:ilvl w:val="0"/>
          <w:numId w:val="14"/>
        </w:numPr>
        <w:rPr>
          <w:rFonts w:ascii="Arial" w:hAnsi="Arial" w:cs="Arial"/>
          <w:sz w:val="20"/>
          <w:szCs w:val="20"/>
          <w:lang w:val="fr-CA"/>
        </w:rPr>
      </w:pPr>
      <w:r w:rsidRPr="00856047">
        <w:rPr>
          <w:rFonts w:ascii="Arial" w:hAnsi="Arial" w:cs="Arial"/>
          <w:sz w:val="20"/>
          <w:szCs w:val="20"/>
          <w:lang w:val="fr-CA"/>
        </w:rPr>
        <w:t>veiller à ce que des mesures de contrôle rentables soient en place pour protéger les éléments d’actif et pour assurer la probité et la conformité aux pouvoirs délégués en matière de programmes</w:t>
      </w:r>
      <w:r w:rsidRPr="00001E0D">
        <w:rPr>
          <w:rFonts w:ascii="Arial" w:hAnsi="Arial" w:cs="Arial"/>
          <w:sz w:val="20"/>
          <w:szCs w:val="20"/>
          <w:lang w:val="fr-CA"/>
        </w:rPr>
        <w:t>;</w:t>
      </w:r>
    </w:p>
    <w:p w:rsidR="00807E0F" w:rsidRPr="00001E0D" w:rsidRDefault="00807E0F" w:rsidP="00807E0F">
      <w:pPr>
        <w:numPr>
          <w:ilvl w:val="0"/>
          <w:numId w:val="14"/>
        </w:numPr>
        <w:rPr>
          <w:rFonts w:ascii="Arial" w:hAnsi="Arial" w:cs="Arial"/>
          <w:sz w:val="20"/>
          <w:szCs w:val="20"/>
          <w:lang w:val="fr-CA"/>
        </w:rPr>
      </w:pPr>
      <w:r w:rsidRPr="00856047">
        <w:rPr>
          <w:rFonts w:ascii="Arial" w:hAnsi="Arial" w:cs="Arial"/>
          <w:sz w:val="20"/>
          <w:szCs w:val="20"/>
          <w:lang w:val="fr-CA"/>
        </w:rPr>
        <w:t>veiller à ce que le codage des engagements et des dépenses soit approprié pour confirmer la validité et la justesse des renseignements financiers</w:t>
      </w:r>
      <w:r>
        <w:rPr>
          <w:rFonts w:ascii="Arial" w:hAnsi="Arial" w:cs="Arial"/>
          <w:sz w:val="20"/>
          <w:szCs w:val="20"/>
          <w:lang w:val="fr-CA"/>
        </w:rPr>
        <w:t>;</w:t>
      </w:r>
    </w:p>
    <w:p w:rsidR="00807E0F" w:rsidRPr="00001E0D" w:rsidRDefault="00807E0F" w:rsidP="00807E0F">
      <w:pPr>
        <w:numPr>
          <w:ilvl w:val="0"/>
          <w:numId w:val="14"/>
        </w:numPr>
        <w:rPr>
          <w:rFonts w:ascii="Arial" w:hAnsi="Arial" w:cs="Arial"/>
          <w:sz w:val="20"/>
          <w:szCs w:val="20"/>
          <w:lang w:val="fr-CA"/>
        </w:rPr>
      </w:pPr>
      <w:r w:rsidRPr="00856047">
        <w:rPr>
          <w:rFonts w:ascii="Arial" w:hAnsi="Arial" w:cs="Arial"/>
          <w:sz w:val="20"/>
          <w:szCs w:val="20"/>
          <w:lang w:val="fr-CA"/>
        </w:rPr>
        <w:t>approuver et mettre en application des recommandations en vue d’améliorer le rendement</w:t>
      </w:r>
      <w:r w:rsidRPr="00001E0D">
        <w:rPr>
          <w:rFonts w:ascii="Arial" w:hAnsi="Arial" w:cs="Arial"/>
          <w:sz w:val="20"/>
          <w:szCs w:val="20"/>
          <w:lang w:val="fr-CA"/>
        </w:rPr>
        <w:t>.</w:t>
      </w:r>
    </w:p>
    <w:p w:rsidR="00807E0F" w:rsidRPr="00001E0D" w:rsidRDefault="00807E0F" w:rsidP="00807E0F">
      <w:pPr>
        <w:rPr>
          <w:rFonts w:ascii="Arial" w:hAnsi="Arial" w:cs="Arial"/>
          <w:sz w:val="20"/>
          <w:szCs w:val="20"/>
          <w:lang w:val="fr-CA"/>
        </w:rPr>
      </w:pPr>
    </w:p>
    <w:p w:rsidR="00807E0F" w:rsidRPr="00001E0D" w:rsidRDefault="00807E0F" w:rsidP="00807E0F">
      <w:pPr>
        <w:rPr>
          <w:lang w:val="fr-CA"/>
        </w:rPr>
      </w:pPr>
    </w:p>
    <w:p w:rsidR="00807E0F" w:rsidRPr="00001E0D" w:rsidRDefault="00807E0F" w:rsidP="00807E0F">
      <w:pPr>
        <w:rPr>
          <w:rFonts w:ascii="Arial" w:hAnsi="Arial" w:cs="Arial"/>
          <w:sz w:val="20"/>
          <w:szCs w:val="20"/>
          <w:lang w:val="fr-CA"/>
        </w:rPr>
      </w:pPr>
    </w:p>
    <w:p w:rsidR="00807E0F" w:rsidRPr="00001E0D" w:rsidRDefault="00807E0F" w:rsidP="00807E0F">
      <w:pPr>
        <w:rPr>
          <w:rFonts w:ascii="Arial" w:hAnsi="Arial" w:cs="Arial"/>
          <w:sz w:val="20"/>
          <w:szCs w:val="20"/>
          <w:lang w:val="fr-CA"/>
        </w:rPr>
      </w:pPr>
    </w:p>
    <w:p w:rsidR="00807E0F" w:rsidRPr="00001E0D" w:rsidRDefault="00807E0F" w:rsidP="00807E0F">
      <w:pPr>
        <w:rPr>
          <w:rFonts w:ascii="Arial" w:hAnsi="Arial" w:cs="Arial"/>
          <w:sz w:val="20"/>
          <w:szCs w:val="20"/>
          <w:lang w:val="fr-CA"/>
        </w:rPr>
      </w:pPr>
    </w:p>
    <w:p w:rsidR="00807E0F" w:rsidRPr="00001E0D" w:rsidRDefault="00807E0F" w:rsidP="00807E0F">
      <w:pPr>
        <w:rPr>
          <w:rFonts w:ascii="Arial" w:hAnsi="Arial" w:cs="Arial"/>
          <w:sz w:val="20"/>
          <w:szCs w:val="20"/>
          <w:lang w:val="fr-CA"/>
        </w:rPr>
      </w:pPr>
    </w:p>
    <w:p w:rsidR="00807E0F" w:rsidRDefault="00807E0F" w:rsidP="00807E0F">
      <w:pPr>
        <w:rPr>
          <w:rFonts w:ascii="Arial" w:hAnsi="Arial" w:cs="Arial"/>
          <w:sz w:val="20"/>
          <w:szCs w:val="20"/>
          <w:lang w:val="fr-CA"/>
        </w:rPr>
      </w:pPr>
    </w:p>
    <w:p w:rsidR="00807E0F" w:rsidRDefault="00807E0F" w:rsidP="00807E0F">
      <w:pPr>
        <w:rPr>
          <w:rFonts w:ascii="Arial" w:hAnsi="Arial" w:cs="Arial"/>
          <w:sz w:val="20"/>
          <w:szCs w:val="20"/>
          <w:lang w:val="fr-CA"/>
        </w:rPr>
      </w:pPr>
    </w:p>
    <w:p w:rsidR="00807E0F" w:rsidRDefault="00807E0F" w:rsidP="00807E0F">
      <w:pPr>
        <w:rPr>
          <w:rFonts w:ascii="Arial" w:hAnsi="Arial" w:cs="Arial"/>
          <w:sz w:val="20"/>
          <w:szCs w:val="20"/>
          <w:lang w:val="fr-CA"/>
        </w:rPr>
      </w:pPr>
    </w:p>
    <w:p w:rsidR="00807E0F" w:rsidRDefault="00807E0F" w:rsidP="00807E0F">
      <w:pPr>
        <w:rPr>
          <w:rFonts w:ascii="Arial" w:hAnsi="Arial" w:cs="Arial"/>
          <w:sz w:val="20"/>
          <w:szCs w:val="20"/>
          <w:lang w:val="fr-CA"/>
        </w:rPr>
      </w:pPr>
    </w:p>
    <w:p w:rsidR="00807E0F" w:rsidRDefault="00807E0F" w:rsidP="00807E0F">
      <w:pPr>
        <w:rPr>
          <w:rFonts w:ascii="Arial" w:hAnsi="Arial" w:cs="Arial"/>
          <w:sz w:val="20"/>
          <w:szCs w:val="20"/>
          <w:lang w:val="fr-CA"/>
        </w:rPr>
      </w:pPr>
    </w:p>
    <w:p w:rsidR="00807E0F" w:rsidRDefault="00807E0F" w:rsidP="00807E0F">
      <w:pPr>
        <w:rPr>
          <w:rFonts w:ascii="Arial" w:hAnsi="Arial" w:cs="Arial"/>
          <w:sz w:val="20"/>
          <w:szCs w:val="20"/>
          <w:lang w:val="fr-CA"/>
        </w:rPr>
      </w:pPr>
    </w:p>
    <w:p w:rsidR="00807E0F" w:rsidRDefault="00807E0F" w:rsidP="00807E0F">
      <w:pPr>
        <w:rPr>
          <w:rFonts w:ascii="Arial" w:hAnsi="Arial" w:cs="Arial"/>
          <w:sz w:val="20"/>
          <w:szCs w:val="20"/>
          <w:lang w:val="fr-CA"/>
        </w:rPr>
      </w:pPr>
    </w:p>
    <w:p w:rsidR="00807E0F" w:rsidRDefault="00807E0F" w:rsidP="00807E0F">
      <w:pPr>
        <w:rPr>
          <w:rFonts w:ascii="Arial" w:hAnsi="Arial" w:cs="Arial"/>
          <w:sz w:val="20"/>
          <w:szCs w:val="20"/>
          <w:lang w:val="fr-CA"/>
        </w:rPr>
      </w:pPr>
    </w:p>
    <w:p w:rsidR="00807E0F" w:rsidRPr="00001E0D" w:rsidRDefault="00807E0F" w:rsidP="00807E0F">
      <w:pPr>
        <w:rPr>
          <w:rFonts w:ascii="Arial" w:hAnsi="Arial" w:cs="Arial"/>
          <w:sz w:val="20"/>
          <w:szCs w:val="20"/>
          <w:lang w:val="fr-CA"/>
        </w:rPr>
      </w:pPr>
    </w:p>
    <w:p w:rsidR="00807E0F" w:rsidRPr="00001E0D" w:rsidRDefault="00807E0F" w:rsidP="00807E0F">
      <w:pPr>
        <w:rPr>
          <w:rFonts w:ascii="Arial" w:hAnsi="Arial" w:cs="Arial"/>
          <w:sz w:val="20"/>
          <w:szCs w:val="20"/>
          <w:lang w:val="fr-CA"/>
        </w:rPr>
      </w:pPr>
    </w:p>
    <w:p w:rsidR="00807E0F" w:rsidRPr="00001E0D" w:rsidRDefault="00807E0F" w:rsidP="00807E0F">
      <w:pPr>
        <w:rPr>
          <w:rFonts w:ascii="Arial" w:hAnsi="Arial" w:cs="Arial"/>
          <w:sz w:val="20"/>
          <w:szCs w:val="20"/>
          <w:lang w:val="fr-CA"/>
        </w:rPr>
      </w:pPr>
    </w:p>
    <w:p w:rsidR="00807E0F" w:rsidRPr="00001E0D" w:rsidRDefault="00807E0F" w:rsidP="00807E0F">
      <w:pPr>
        <w:rPr>
          <w:rFonts w:ascii="Arial" w:hAnsi="Arial" w:cs="Arial"/>
          <w:sz w:val="20"/>
          <w:szCs w:val="20"/>
          <w:lang w:val="fr-CA"/>
        </w:rPr>
      </w:pPr>
    </w:p>
    <w:p w:rsidR="00807E0F" w:rsidRPr="00001E0D" w:rsidRDefault="00807E0F" w:rsidP="00807E0F">
      <w:pPr>
        <w:rPr>
          <w:rFonts w:ascii="Arial" w:hAnsi="Arial" w:cs="Arial"/>
          <w:sz w:val="20"/>
          <w:szCs w:val="20"/>
          <w:lang w:val="fr-CA"/>
        </w:rPr>
      </w:pPr>
    </w:p>
    <w:p w:rsidR="00807E0F" w:rsidRPr="00001E0D" w:rsidRDefault="00807E0F" w:rsidP="00807E0F">
      <w:pPr>
        <w:rPr>
          <w:rFonts w:ascii="Arial" w:hAnsi="Arial" w:cs="Arial"/>
          <w:sz w:val="20"/>
          <w:szCs w:val="20"/>
          <w:lang w:val="fr-CA"/>
        </w:rPr>
      </w:pPr>
    </w:p>
    <w:p w:rsidR="00807E0F" w:rsidRPr="00001E0D" w:rsidRDefault="00807E0F" w:rsidP="00807E0F">
      <w:pPr>
        <w:rPr>
          <w:rFonts w:ascii="Arial" w:hAnsi="Arial" w:cs="Arial"/>
          <w:sz w:val="20"/>
          <w:szCs w:val="20"/>
          <w:lang w:val="fr-CA"/>
        </w:rPr>
      </w:pPr>
    </w:p>
    <w:p w:rsidR="00807E0F" w:rsidRPr="00001E0D" w:rsidRDefault="00807E0F" w:rsidP="00807E0F">
      <w:pPr>
        <w:rPr>
          <w:rFonts w:ascii="Arial" w:hAnsi="Arial" w:cs="Arial"/>
          <w:sz w:val="20"/>
          <w:szCs w:val="20"/>
          <w:lang w:val="fr-CA"/>
        </w:rPr>
      </w:pPr>
    </w:p>
    <w:p w:rsidR="00807E0F" w:rsidRDefault="00807E0F" w:rsidP="00807E0F">
      <w:pPr>
        <w:rPr>
          <w:rFonts w:ascii="Arial" w:hAnsi="Arial" w:cs="Arial"/>
          <w:sz w:val="20"/>
          <w:szCs w:val="20"/>
          <w:lang w:val="fr-CA"/>
        </w:rPr>
      </w:pPr>
    </w:p>
    <w:p w:rsidR="00A65707" w:rsidRDefault="00A65707" w:rsidP="00807E0F">
      <w:pPr>
        <w:rPr>
          <w:rFonts w:ascii="Arial" w:hAnsi="Arial" w:cs="Arial"/>
          <w:sz w:val="20"/>
          <w:szCs w:val="20"/>
          <w:lang w:val="fr-CA"/>
        </w:rPr>
      </w:pPr>
    </w:p>
    <w:p w:rsidR="00A65707" w:rsidRDefault="00A65707" w:rsidP="00807E0F">
      <w:pPr>
        <w:rPr>
          <w:rFonts w:ascii="Arial" w:hAnsi="Arial" w:cs="Arial"/>
          <w:sz w:val="20"/>
          <w:szCs w:val="20"/>
          <w:lang w:val="fr-CA"/>
        </w:rPr>
      </w:pPr>
    </w:p>
    <w:p w:rsidR="00A65707" w:rsidRDefault="00A65707" w:rsidP="00807E0F">
      <w:pPr>
        <w:rPr>
          <w:rFonts w:ascii="Arial" w:hAnsi="Arial" w:cs="Arial"/>
          <w:sz w:val="20"/>
          <w:szCs w:val="20"/>
          <w:lang w:val="fr-CA"/>
        </w:rPr>
      </w:pPr>
    </w:p>
    <w:p w:rsidR="00A65707" w:rsidRDefault="00A65707" w:rsidP="00807E0F">
      <w:pPr>
        <w:rPr>
          <w:rFonts w:ascii="Arial" w:hAnsi="Arial" w:cs="Arial"/>
          <w:sz w:val="20"/>
          <w:szCs w:val="20"/>
          <w:lang w:val="fr-CA"/>
        </w:rPr>
      </w:pPr>
    </w:p>
    <w:p w:rsidR="00A65707" w:rsidRDefault="00A65707" w:rsidP="00807E0F">
      <w:pPr>
        <w:rPr>
          <w:rFonts w:ascii="Arial" w:hAnsi="Arial" w:cs="Arial"/>
          <w:sz w:val="20"/>
          <w:szCs w:val="20"/>
          <w:lang w:val="fr-CA"/>
        </w:rPr>
      </w:pPr>
    </w:p>
    <w:p w:rsidR="00A65707" w:rsidRDefault="00A65707" w:rsidP="00807E0F">
      <w:pPr>
        <w:rPr>
          <w:rFonts w:ascii="Arial" w:hAnsi="Arial" w:cs="Arial"/>
          <w:sz w:val="20"/>
          <w:szCs w:val="20"/>
          <w:lang w:val="fr-CA"/>
        </w:rPr>
      </w:pPr>
    </w:p>
    <w:p w:rsidR="00A65707" w:rsidRDefault="00A65707" w:rsidP="00807E0F">
      <w:pPr>
        <w:rPr>
          <w:rFonts w:ascii="Arial" w:hAnsi="Arial" w:cs="Arial"/>
          <w:sz w:val="20"/>
          <w:szCs w:val="20"/>
          <w:lang w:val="fr-CA"/>
        </w:rPr>
      </w:pPr>
    </w:p>
    <w:p w:rsidR="00A65707" w:rsidRDefault="00A65707" w:rsidP="00807E0F">
      <w:pPr>
        <w:rPr>
          <w:rFonts w:ascii="Arial" w:hAnsi="Arial" w:cs="Arial"/>
          <w:sz w:val="20"/>
          <w:szCs w:val="20"/>
          <w:lang w:val="fr-CA"/>
        </w:rPr>
      </w:pPr>
    </w:p>
    <w:p w:rsidR="00A65707" w:rsidRPr="00001E0D" w:rsidRDefault="00A65707" w:rsidP="00807E0F">
      <w:pPr>
        <w:rPr>
          <w:rFonts w:ascii="Arial" w:hAnsi="Arial" w:cs="Arial"/>
          <w:sz w:val="20"/>
          <w:szCs w:val="20"/>
          <w:lang w:val="fr-CA"/>
        </w:rPr>
      </w:pPr>
    </w:p>
    <w:p w:rsidR="00807E0F" w:rsidRPr="00001E0D" w:rsidRDefault="00807E0F" w:rsidP="00807E0F">
      <w:pPr>
        <w:rPr>
          <w:rFonts w:ascii="Arial" w:hAnsi="Arial" w:cs="Arial"/>
          <w:sz w:val="20"/>
          <w:szCs w:val="20"/>
          <w:lang w:val="fr-CA"/>
        </w:rPr>
      </w:pPr>
    </w:p>
    <w:p w:rsidR="00807E0F" w:rsidRPr="00001E0D" w:rsidRDefault="00807E0F" w:rsidP="00807E0F">
      <w:pPr>
        <w:rPr>
          <w:rFonts w:ascii="Arial" w:hAnsi="Arial" w:cs="Arial"/>
          <w:sz w:val="20"/>
          <w:szCs w:val="20"/>
          <w:lang w:val="fr-CA"/>
        </w:rPr>
      </w:pPr>
    </w:p>
    <w:p w:rsidR="00807E0F" w:rsidRPr="00001E0D" w:rsidRDefault="00807E0F" w:rsidP="00807E0F">
      <w:pPr>
        <w:rPr>
          <w:rFonts w:ascii="Arial" w:hAnsi="Arial" w:cs="Arial"/>
          <w:sz w:val="20"/>
          <w:szCs w:val="20"/>
          <w:lang w:val="fr-CA"/>
        </w:rPr>
      </w:pPr>
    </w:p>
    <w:p w:rsidR="00807E0F" w:rsidRPr="00001E0D" w:rsidRDefault="00807E0F" w:rsidP="00807E0F">
      <w:pPr>
        <w:pStyle w:val="Heading2"/>
        <w:rPr>
          <w:lang w:val="fr-CA"/>
        </w:rPr>
      </w:pPr>
      <w:bookmarkStart w:id="97" w:name="_Annex_B:_"/>
      <w:bookmarkStart w:id="98" w:name="_Toc292462217"/>
      <w:bookmarkStart w:id="99" w:name="_Toc299694690"/>
      <w:bookmarkStart w:id="100" w:name="_Toc485812746"/>
      <w:bookmarkEnd w:id="97"/>
      <w:r w:rsidRPr="00001E0D">
        <w:rPr>
          <w:lang w:val="fr-CA"/>
        </w:rPr>
        <w:lastRenderedPageBreak/>
        <w:t>Annex</w:t>
      </w:r>
      <w:r>
        <w:rPr>
          <w:lang w:val="fr-CA"/>
        </w:rPr>
        <w:t>e</w:t>
      </w:r>
      <w:r w:rsidRPr="00001E0D">
        <w:rPr>
          <w:lang w:val="fr-CA"/>
        </w:rPr>
        <w:t xml:space="preserve"> B</w:t>
      </w:r>
      <w:r>
        <w:rPr>
          <w:lang w:val="fr-CA"/>
        </w:rPr>
        <w:t xml:space="preserve"> </w:t>
      </w:r>
      <w:r w:rsidRPr="00001E0D">
        <w:rPr>
          <w:lang w:val="fr-CA"/>
        </w:rPr>
        <w:t xml:space="preserve">: </w:t>
      </w:r>
      <w:bookmarkEnd w:id="98"/>
      <w:r>
        <w:rPr>
          <w:lang w:val="fr-CA"/>
        </w:rPr>
        <w:t>Aperçu du système de gestion des dépenses</w:t>
      </w:r>
      <w:r w:rsidRPr="00001E0D">
        <w:rPr>
          <w:lang w:val="fr-CA"/>
        </w:rPr>
        <w:t xml:space="preserve"> (</w:t>
      </w:r>
      <w:r>
        <w:rPr>
          <w:lang w:val="fr-CA"/>
        </w:rPr>
        <w:t>SGD</w:t>
      </w:r>
      <w:r w:rsidRPr="00001E0D">
        <w:rPr>
          <w:lang w:val="fr-CA"/>
        </w:rPr>
        <w:t>)</w:t>
      </w:r>
      <w:bookmarkEnd w:id="99"/>
      <w:bookmarkEnd w:id="100"/>
    </w:p>
    <w:p w:rsidR="00A65707" w:rsidRDefault="00A65707" w:rsidP="00A65707">
      <w:pPr>
        <w:rPr>
          <w:rFonts w:ascii="Arial" w:hAnsi="Arial" w:cs="Arial"/>
          <w:sz w:val="20"/>
          <w:szCs w:val="20"/>
          <w:lang w:val="fr-CA"/>
        </w:rPr>
      </w:pPr>
    </w:p>
    <w:p w:rsidR="00A65707" w:rsidRPr="005209AA" w:rsidRDefault="00A65707" w:rsidP="00A65707">
      <w:pPr>
        <w:rPr>
          <w:rFonts w:ascii="Arial" w:hAnsi="Arial" w:cs="Arial"/>
          <w:b/>
          <w:sz w:val="20"/>
          <w:szCs w:val="20"/>
          <w:lang w:val="fr-CA"/>
        </w:rPr>
      </w:pPr>
      <w:r w:rsidRPr="005209AA">
        <w:rPr>
          <w:rFonts w:ascii="Arial" w:hAnsi="Arial" w:cs="Arial"/>
          <w:b/>
          <w:sz w:val="20"/>
          <w:szCs w:val="20"/>
          <w:lang w:val="fr-CA"/>
        </w:rPr>
        <w:t>Le cycle des rapports sur les dépenses gouvernementales</w:t>
      </w:r>
    </w:p>
    <w:p w:rsidR="00A65707" w:rsidRPr="00A65707" w:rsidRDefault="00A65707" w:rsidP="00A65707">
      <w:pPr>
        <w:rPr>
          <w:rFonts w:ascii="Arial" w:hAnsi="Arial" w:cs="Arial"/>
          <w:sz w:val="20"/>
          <w:szCs w:val="20"/>
          <w:lang w:val="fr-CA"/>
        </w:rPr>
      </w:pPr>
      <w:r w:rsidRPr="00A65707">
        <w:rPr>
          <w:rFonts w:ascii="Arial" w:hAnsi="Arial" w:cs="Arial"/>
          <w:sz w:val="20"/>
          <w:szCs w:val="20"/>
          <w:lang w:val="fr-CA"/>
        </w:rPr>
        <w:t xml:space="preserve">Vous trouverez plus d’informations sur le cycle du SGD sur le lien suivant : </w:t>
      </w:r>
      <w:hyperlink r:id="rId53" w:history="1">
        <w:r w:rsidRPr="00A65707">
          <w:rPr>
            <w:rStyle w:val="Hyperlink"/>
            <w:rFonts w:ascii="Arial" w:hAnsi="Arial" w:cs="Arial"/>
            <w:sz w:val="20"/>
            <w:szCs w:val="20"/>
            <w:lang w:val="fr-CA"/>
          </w:rPr>
          <w:t xml:space="preserve">Le cycle des rapports sur les dépenses gouvernementales </w:t>
        </w:r>
      </w:hyperlink>
    </w:p>
    <w:p w:rsidR="00807E0F" w:rsidRPr="00001E0D" w:rsidRDefault="00807E0F" w:rsidP="00807E0F">
      <w:pPr>
        <w:rPr>
          <w:rFonts w:ascii="Arial" w:hAnsi="Arial" w:cs="Arial"/>
          <w:sz w:val="20"/>
          <w:szCs w:val="20"/>
          <w:lang w:val="fr-CA"/>
        </w:rPr>
      </w:pPr>
    </w:p>
    <w:p w:rsidR="00807E0F" w:rsidRPr="00001E0D" w:rsidRDefault="00807E0F" w:rsidP="00807E0F">
      <w:pPr>
        <w:rPr>
          <w:rFonts w:ascii="Arial" w:hAnsi="Arial" w:cs="Arial"/>
          <w:sz w:val="20"/>
          <w:szCs w:val="20"/>
          <w:lang w:val="fr-CA"/>
        </w:rPr>
      </w:pPr>
    </w:p>
    <w:p w:rsidR="00807E0F" w:rsidRPr="00001E0D" w:rsidRDefault="00807E0F" w:rsidP="00807E0F">
      <w:pPr>
        <w:rPr>
          <w:rFonts w:ascii="Arial" w:hAnsi="Arial" w:cs="Arial"/>
          <w:sz w:val="20"/>
          <w:szCs w:val="20"/>
          <w:lang w:val="fr-CA"/>
        </w:rPr>
      </w:pPr>
      <w:r>
        <w:rPr>
          <w:noProof/>
          <w:lang w:val="en-CA" w:eastAsia="en-CA"/>
        </w:rPr>
        <w:drawing>
          <wp:inline distT="0" distB="0" distL="0" distR="0" wp14:anchorId="3F33BD17" wp14:editId="3EE9DE44">
            <wp:extent cx="6554379" cy="4664279"/>
            <wp:effectExtent l="0" t="0" r="0" b="317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4"/>
                    <a:srcRect t="8200" r="8956"/>
                    <a:stretch/>
                  </pic:blipFill>
                  <pic:spPr bwMode="auto">
                    <a:xfrm>
                      <a:off x="0" y="0"/>
                      <a:ext cx="6554871" cy="4664629"/>
                    </a:xfrm>
                    <a:prstGeom prst="rect">
                      <a:avLst/>
                    </a:prstGeom>
                    <a:ln>
                      <a:noFill/>
                    </a:ln>
                    <a:extLst>
                      <a:ext uri="{53640926-AAD7-44D8-BBD7-CCE9431645EC}">
                        <a14:shadowObscured xmlns:a14="http://schemas.microsoft.com/office/drawing/2010/main"/>
                      </a:ext>
                    </a:extLst>
                  </pic:spPr>
                </pic:pic>
              </a:graphicData>
            </a:graphic>
          </wp:inline>
        </w:drawing>
      </w:r>
    </w:p>
    <w:p w:rsidR="00807E0F" w:rsidRDefault="00807E0F" w:rsidP="00807E0F">
      <w:pPr>
        <w:rPr>
          <w:rFonts w:ascii="Arial" w:hAnsi="Arial" w:cs="Arial"/>
          <w:sz w:val="20"/>
          <w:szCs w:val="20"/>
          <w:lang w:val="fr-CA"/>
        </w:rPr>
      </w:pPr>
    </w:p>
    <w:p w:rsidR="00807E0F" w:rsidRDefault="00807E0F" w:rsidP="00807E0F">
      <w:pPr>
        <w:rPr>
          <w:rFonts w:ascii="Arial" w:hAnsi="Arial" w:cs="Arial"/>
          <w:sz w:val="20"/>
          <w:szCs w:val="20"/>
          <w:lang w:val="fr-CA"/>
        </w:rPr>
      </w:pPr>
    </w:p>
    <w:p w:rsidR="00807E0F" w:rsidRPr="00001E0D" w:rsidRDefault="00807E0F" w:rsidP="00807E0F">
      <w:pPr>
        <w:rPr>
          <w:rFonts w:ascii="Arial" w:hAnsi="Arial" w:cs="Arial"/>
          <w:sz w:val="20"/>
          <w:szCs w:val="20"/>
          <w:lang w:val="fr-CA"/>
        </w:rPr>
      </w:pPr>
    </w:p>
    <w:p w:rsidR="00807E0F" w:rsidRPr="00001E0D" w:rsidRDefault="00807E0F" w:rsidP="00807E0F">
      <w:pPr>
        <w:rPr>
          <w:lang w:val="fr-CA"/>
        </w:rPr>
      </w:pPr>
    </w:p>
    <w:p w:rsidR="00807E0F" w:rsidRPr="00FF628F" w:rsidRDefault="00807E0F" w:rsidP="00807E0F">
      <w:pPr>
        <w:pStyle w:val="BodyText"/>
        <w:rPr>
          <w:lang w:val="fr-CA"/>
        </w:rPr>
      </w:pPr>
      <w:bookmarkStart w:id="101" w:name="_Annex_C:_"/>
      <w:bookmarkStart w:id="102" w:name="_Toc292462222"/>
      <w:bookmarkStart w:id="103" w:name="_Toc299694691"/>
      <w:bookmarkEnd w:id="101"/>
    </w:p>
    <w:p w:rsidR="00807E0F" w:rsidRDefault="00807E0F" w:rsidP="00807E0F">
      <w:pPr>
        <w:pStyle w:val="BodyText"/>
        <w:rPr>
          <w:lang w:val="fr-CA"/>
        </w:rPr>
      </w:pPr>
    </w:p>
    <w:p w:rsidR="00807E0F" w:rsidRDefault="00807E0F" w:rsidP="00807E0F">
      <w:pPr>
        <w:pStyle w:val="BodyText"/>
        <w:rPr>
          <w:lang w:val="fr-CA"/>
        </w:rPr>
      </w:pPr>
    </w:p>
    <w:p w:rsidR="00807E0F" w:rsidRDefault="00807E0F" w:rsidP="00807E0F">
      <w:pPr>
        <w:pStyle w:val="BodyText"/>
        <w:rPr>
          <w:lang w:val="fr-CA"/>
        </w:rPr>
      </w:pPr>
    </w:p>
    <w:p w:rsidR="00807E0F" w:rsidRDefault="00807E0F" w:rsidP="00807E0F">
      <w:pPr>
        <w:pStyle w:val="BodyText"/>
        <w:rPr>
          <w:lang w:val="fr-CA"/>
        </w:rPr>
      </w:pPr>
    </w:p>
    <w:p w:rsidR="00807E0F" w:rsidRDefault="00807E0F" w:rsidP="00807E0F">
      <w:pPr>
        <w:pStyle w:val="BodyText"/>
        <w:rPr>
          <w:lang w:val="fr-CA"/>
        </w:rPr>
      </w:pPr>
    </w:p>
    <w:p w:rsidR="00807E0F" w:rsidRDefault="00807E0F" w:rsidP="00807E0F">
      <w:pPr>
        <w:pStyle w:val="BodyText"/>
        <w:rPr>
          <w:lang w:val="fr-CA"/>
        </w:rPr>
      </w:pPr>
    </w:p>
    <w:p w:rsidR="00807E0F" w:rsidRPr="00001E0D" w:rsidRDefault="00807E0F" w:rsidP="00807E0F">
      <w:pPr>
        <w:pStyle w:val="Heading2"/>
        <w:rPr>
          <w:lang w:val="fr-CA"/>
        </w:rPr>
      </w:pPr>
      <w:bookmarkStart w:id="104" w:name="_Toc485812747"/>
      <w:r w:rsidRPr="00001E0D">
        <w:rPr>
          <w:lang w:val="fr-CA"/>
        </w:rPr>
        <w:lastRenderedPageBreak/>
        <w:t>Annex</w:t>
      </w:r>
      <w:r>
        <w:rPr>
          <w:lang w:val="fr-CA"/>
        </w:rPr>
        <w:t>e</w:t>
      </w:r>
      <w:r w:rsidRPr="00001E0D">
        <w:rPr>
          <w:lang w:val="fr-CA"/>
        </w:rPr>
        <w:t xml:space="preserve"> C</w:t>
      </w:r>
      <w:r>
        <w:rPr>
          <w:lang w:val="fr-CA"/>
        </w:rPr>
        <w:t xml:space="preserve"> </w:t>
      </w:r>
      <w:r w:rsidRPr="00001E0D">
        <w:rPr>
          <w:lang w:val="fr-CA"/>
        </w:rPr>
        <w:t xml:space="preserve">: </w:t>
      </w:r>
      <w:bookmarkEnd w:id="102"/>
      <w:bookmarkEnd w:id="103"/>
      <w:r>
        <w:rPr>
          <w:lang w:val="fr-CA"/>
        </w:rPr>
        <w:t>Rôle des principaux organismes centraux en matière d’administration financière</w:t>
      </w:r>
      <w:bookmarkEnd w:id="104"/>
    </w:p>
    <w:p w:rsidR="00807E0F" w:rsidRPr="00001E0D" w:rsidRDefault="00807E0F" w:rsidP="00807E0F">
      <w:pPr>
        <w:rPr>
          <w:rFonts w:ascii="Arial" w:hAnsi="Arial" w:cs="Arial"/>
          <w:sz w:val="20"/>
          <w:szCs w:val="20"/>
          <w:lang w:val="fr-CA"/>
        </w:rPr>
      </w:pPr>
    </w:p>
    <w:p w:rsidR="00807E0F" w:rsidRPr="00001E0D" w:rsidRDefault="00807E0F" w:rsidP="00807E0F">
      <w:pPr>
        <w:rPr>
          <w:rFonts w:ascii="Arial" w:hAnsi="Arial" w:cs="Arial"/>
          <w:b/>
          <w:sz w:val="20"/>
          <w:szCs w:val="20"/>
          <w:lang w:val="fr-CA"/>
        </w:rPr>
      </w:pPr>
      <w:r w:rsidRPr="00001E0D">
        <w:rPr>
          <w:rFonts w:ascii="Arial" w:hAnsi="Arial" w:cs="Arial"/>
          <w:b/>
          <w:sz w:val="20"/>
          <w:szCs w:val="20"/>
          <w:lang w:val="fr-CA"/>
        </w:rPr>
        <w:t xml:space="preserve">a) </w:t>
      </w:r>
      <w:r>
        <w:rPr>
          <w:rFonts w:ascii="Arial" w:hAnsi="Arial" w:cs="Arial"/>
          <w:b/>
          <w:sz w:val="20"/>
          <w:szCs w:val="20"/>
          <w:lang w:val="fr-CA"/>
        </w:rPr>
        <w:t>Conseil du Trésor</w:t>
      </w:r>
      <w:r w:rsidRPr="00001E0D">
        <w:rPr>
          <w:rFonts w:ascii="Arial" w:hAnsi="Arial" w:cs="Arial"/>
          <w:b/>
          <w:sz w:val="20"/>
          <w:szCs w:val="20"/>
          <w:lang w:val="fr-CA"/>
        </w:rPr>
        <w:t xml:space="preserve"> (</w:t>
      </w:r>
      <w:r>
        <w:rPr>
          <w:rFonts w:ascii="Arial" w:hAnsi="Arial" w:cs="Arial"/>
          <w:b/>
          <w:sz w:val="20"/>
          <w:szCs w:val="20"/>
          <w:lang w:val="fr-CA"/>
        </w:rPr>
        <w:t>CT</w:t>
      </w:r>
      <w:r w:rsidRPr="00001E0D">
        <w:rPr>
          <w:rFonts w:ascii="Arial" w:hAnsi="Arial" w:cs="Arial"/>
          <w:b/>
          <w:sz w:val="20"/>
          <w:szCs w:val="20"/>
          <w:lang w:val="fr-CA"/>
        </w:rPr>
        <w:t>)</w:t>
      </w:r>
      <w:r>
        <w:rPr>
          <w:rFonts w:ascii="Arial" w:hAnsi="Arial" w:cs="Arial"/>
          <w:b/>
          <w:sz w:val="20"/>
          <w:szCs w:val="20"/>
          <w:lang w:val="fr-CA"/>
        </w:rPr>
        <w:t xml:space="preserve"> </w:t>
      </w:r>
      <w:r w:rsidRPr="00001E0D">
        <w:rPr>
          <w:rFonts w:ascii="Arial" w:hAnsi="Arial" w:cs="Arial"/>
          <w:b/>
          <w:sz w:val="20"/>
          <w:szCs w:val="20"/>
          <w:lang w:val="fr-CA"/>
        </w:rPr>
        <w:t>:</w:t>
      </w:r>
    </w:p>
    <w:p w:rsidR="00807E0F" w:rsidRPr="00001E0D" w:rsidRDefault="00807E0F" w:rsidP="00807E0F">
      <w:pPr>
        <w:rPr>
          <w:rFonts w:ascii="Arial" w:hAnsi="Arial" w:cs="Arial"/>
          <w:sz w:val="20"/>
          <w:szCs w:val="20"/>
          <w:lang w:val="fr-CA"/>
        </w:rPr>
      </w:pPr>
    </w:p>
    <w:p w:rsidR="00807E0F" w:rsidRPr="00001E0D" w:rsidRDefault="00FD44B6" w:rsidP="00807E0F">
      <w:pPr>
        <w:rPr>
          <w:rFonts w:ascii="Arial" w:hAnsi="Arial" w:cs="Arial"/>
          <w:sz w:val="20"/>
          <w:szCs w:val="20"/>
          <w:lang w:val="fr-CA"/>
        </w:rPr>
      </w:pPr>
      <w:r>
        <w:rPr>
          <w:rFonts w:ascii="Arial" w:hAnsi="Arial" w:cs="Arial"/>
          <w:sz w:val="20"/>
          <w:szCs w:val="20"/>
          <w:lang w:val="fr-CA"/>
        </w:rPr>
        <w:t xml:space="preserve">Le Conseil du Trésor est le </w:t>
      </w:r>
      <w:r w:rsidR="00807E0F" w:rsidRPr="008E61A9">
        <w:rPr>
          <w:rFonts w:ascii="Arial" w:hAnsi="Arial" w:cs="Arial"/>
          <w:sz w:val="20"/>
          <w:szCs w:val="20"/>
          <w:lang w:val="fr-CA"/>
        </w:rPr>
        <w:t xml:space="preserve">conseil d’administration du gouvernement. Le </w:t>
      </w:r>
      <w:r>
        <w:rPr>
          <w:rFonts w:ascii="Arial" w:hAnsi="Arial" w:cs="Arial"/>
          <w:sz w:val="20"/>
          <w:szCs w:val="20"/>
          <w:lang w:val="fr-CA"/>
        </w:rPr>
        <w:t>CT</w:t>
      </w:r>
      <w:r w:rsidR="00807E0F" w:rsidRPr="008E61A9">
        <w:rPr>
          <w:rFonts w:ascii="Arial" w:hAnsi="Arial" w:cs="Arial"/>
          <w:sz w:val="20"/>
          <w:szCs w:val="20"/>
          <w:lang w:val="fr-CA"/>
        </w:rPr>
        <w:t xml:space="preserve"> supervise la gestion financière et les dépenses du gouvernement et s’occupe des questions relatives aux ressources humaines. Le </w:t>
      </w:r>
      <w:r>
        <w:rPr>
          <w:rFonts w:ascii="Arial" w:hAnsi="Arial" w:cs="Arial"/>
          <w:sz w:val="20"/>
          <w:szCs w:val="20"/>
          <w:lang w:val="fr-CA"/>
        </w:rPr>
        <w:t>CT</w:t>
      </w:r>
      <w:r w:rsidR="00807E0F" w:rsidRPr="008E61A9">
        <w:rPr>
          <w:rFonts w:ascii="Arial" w:hAnsi="Arial" w:cs="Arial"/>
          <w:sz w:val="20"/>
          <w:szCs w:val="20"/>
          <w:lang w:val="fr-CA"/>
        </w:rPr>
        <w:t xml:space="preserve"> est l’employeur de la fonction publique; il établit les lignes de conduite et les normes générales en matière d’administration, de gestion du personnel, de finances et des pratiques organisationnelles pour l’ensemble du gouvernement. Le </w:t>
      </w:r>
      <w:r>
        <w:rPr>
          <w:rFonts w:ascii="Arial" w:hAnsi="Arial" w:cs="Arial"/>
          <w:sz w:val="20"/>
          <w:szCs w:val="20"/>
          <w:lang w:val="fr-CA"/>
        </w:rPr>
        <w:t>CT</w:t>
      </w:r>
      <w:r w:rsidR="00807E0F" w:rsidRPr="008E61A9">
        <w:rPr>
          <w:rFonts w:ascii="Arial" w:hAnsi="Arial" w:cs="Arial"/>
          <w:sz w:val="20"/>
          <w:szCs w:val="20"/>
          <w:lang w:val="fr-CA"/>
        </w:rPr>
        <w:t xml:space="preserve"> joue également le rôle du comité du Conseil en ce qui a trait à l’approbation de la politique de réglementation et des règlements, et de la plupart des décrets. Le </w:t>
      </w:r>
      <w:r>
        <w:rPr>
          <w:rFonts w:ascii="Arial" w:hAnsi="Arial" w:cs="Arial"/>
          <w:sz w:val="20"/>
          <w:szCs w:val="20"/>
          <w:lang w:val="fr-CA"/>
        </w:rPr>
        <w:t>CT</w:t>
      </w:r>
      <w:r w:rsidR="00807E0F" w:rsidRPr="008E61A9">
        <w:rPr>
          <w:rFonts w:ascii="Arial" w:hAnsi="Arial" w:cs="Arial"/>
          <w:sz w:val="20"/>
          <w:szCs w:val="20"/>
          <w:lang w:val="fr-CA"/>
        </w:rPr>
        <w:t xml:space="preserve"> est responsable de rendre des comptes au Parlement.</w:t>
      </w:r>
    </w:p>
    <w:p w:rsidR="00807E0F" w:rsidRPr="00001E0D" w:rsidRDefault="00807E0F" w:rsidP="00807E0F">
      <w:pPr>
        <w:rPr>
          <w:rFonts w:ascii="Arial" w:hAnsi="Arial" w:cs="Arial"/>
          <w:sz w:val="20"/>
          <w:szCs w:val="20"/>
          <w:lang w:val="fr-CA"/>
        </w:rPr>
      </w:pPr>
    </w:p>
    <w:p w:rsidR="00807E0F" w:rsidRPr="00001E0D" w:rsidRDefault="00807E0F" w:rsidP="00807E0F">
      <w:pPr>
        <w:rPr>
          <w:rFonts w:ascii="Arial" w:hAnsi="Arial" w:cs="Arial"/>
          <w:sz w:val="20"/>
          <w:szCs w:val="20"/>
          <w:lang w:val="fr-CA"/>
        </w:rPr>
      </w:pPr>
    </w:p>
    <w:p w:rsidR="00807E0F" w:rsidRPr="00001E0D" w:rsidRDefault="00807E0F" w:rsidP="00807E0F">
      <w:pPr>
        <w:rPr>
          <w:rFonts w:ascii="Arial" w:hAnsi="Arial" w:cs="Arial"/>
          <w:b/>
          <w:sz w:val="20"/>
          <w:szCs w:val="20"/>
          <w:lang w:val="fr-CA"/>
        </w:rPr>
      </w:pPr>
      <w:r w:rsidRPr="00001E0D">
        <w:rPr>
          <w:rFonts w:ascii="Arial" w:hAnsi="Arial" w:cs="Arial"/>
          <w:b/>
          <w:sz w:val="20"/>
          <w:szCs w:val="20"/>
          <w:lang w:val="fr-CA"/>
        </w:rPr>
        <w:t xml:space="preserve">b) </w:t>
      </w:r>
      <w:r>
        <w:rPr>
          <w:rFonts w:ascii="Arial" w:hAnsi="Arial" w:cs="Arial"/>
          <w:b/>
          <w:sz w:val="20"/>
          <w:szCs w:val="20"/>
          <w:lang w:val="fr-CA"/>
        </w:rPr>
        <w:t xml:space="preserve">Secrétariat du Conseil du Trésor (SCT) </w:t>
      </w:r>
      <w:r w:rsidRPr="00001E0D">
        <w:rPr>
          <w:rFonts w:ascii="Arial" w:hAnsi="Arial" w:cs="Arial"/>
          <w:b/>
          <w:sz w:val="20"/>
          <w:szCs w:val="20"/>
          <w:lang w:val="fr-CA"/>
        </w:rPr>
        <w:t>:</w:t>
      </w:r>
    </w:p>
    <w:p w:rsidR="00807E0F" w:rsidRPr="00001E0D" w:rsidRDefault="00807E0F" w:rsidP="00807E0F">
      <w:pPr>
        <w:rPr>
          <w:rFonts w:ascii="Arial" w:hAnsi="Arial" w:cs="Arial"/>
          <w:sz w:val="20"/>
          <w:szCs w:val="20"/>
          <w:lang w:val="fr-CA"/>
        </w:rPr>
      </w:pPr>
    </w:p>
    <w:p w:rsidR="00807E0F" w:rsidRPr="00001E0D" w:rsidRDefault="00807E0F" w:rsidP="00807E0F">
      <w:pPr>
        <w:rPr>
          <w:rFonts w:ascii="Arial" w:hAnsi="Arial" w:cs="Arial"/>
          <w:sz w:val="20"/>
          <w:szCs w:val="20"/>
          <w:lang w:val="fr-CA"/>
        </w:rPr>
      </w:pPr>
      <w:r w:rsidRPr="00084CEE">
        <w:rPr>
          <w:rFonts w:ascii="Arial" w:hAnsi="Arial" w:cs="Arial"/>
          <w:sz w:val="20"/>
          <w:szCs w:val="20"/>
          <w:lang w:val="fr-CA"/>
        </w:rPr>
        <w:t xml:space="preserve">À titre d’organe administratif du CT, le </w:t>
      </w:r>
      <w:r>
        <w:rPr>
          <w:rFonts w:ascii="Arial" w:hAnsi="Arial" w:cs="Arial"/>
          <w:sz w:val="20"/>
          <w:szCs w:val="20"/>
          <w:lang w:val="fr-CA"/>
        </w:rPr>
        <w:t>SCT</w:t>
      </w:r>
      <w:r w:rsidRPr="00084CEE">
        <w:rPr>
          <w:rFonts w:ascii="Arial" w:hAnsi="Arial" w:cs="Arial"/>
          <w:sz w:val="20"/>
          <w:szCs w:val="20"/>
          <w:lang w:val="fr-CA"/>
        </w:rPr>
        <w:t xml:space="preserve"> exerce un double mandat : appuyer le CT, à titre de comité de ministres, et assumer ses responsabilités légales comme organisme fédéral central</w:t>
      </w:r>
      <w:r>
        <w:rPr>
          <w:rFonts w:ascii="Arial" w:hAnsi="Arial" w:cs="Arial"/>
          <w:sz w:val="20"/>
          <w:szCs w:val="20"/>
          <w:lang w:val="fr-CA"/>
        </w:rPr>
        <w:t>.</w:t>
      </w:r>
    </w:p>
    <w:p w:rsidR="00807E0F" w:rsidRPr="00001E0D" w:rsidRDefault="00807E0F" w:rsidP="00807E0F">
      <w:pPr>
        <w:rPr>
          <w:rFonts w:ascii="Arial" w:hAnsi="Arial" w:cs="Arial"/>
          <w:sz w:val="20"/>
          <w:szCs w:val="20"/>
          <w:lang w:val="fr-CA"/>
        </w:rPr>
      </w:pPr>
    </w:p>
    <w:p w:rsidR="00807E0F" w:rsidRPr="00001E0D" w:rsidRDefault="00807E0F" w:rsidP="00807E0F">
      <w:pPr>
        <w:rPr>
          <w:rFonts w:ascii="Arial" w:hAnsi="Arial" w:cs="Arial"/>
          <w:sz w:val="20"/>
          <w:szCs w:val="20"/>
          <w:lang w:val="fr-CA"/>
        </w:rPr>
      </w:pPr>
      <w:r w:rsidRPr="00B70554">
        <w:rPr>
          <w:rFonts w:ascii="Arial" w:hAnsi="Arial" w:cs="Arial"/>
          <w:sz w:val="20"/>
          <w:szCs w:val="20"/>
          <w:lang w:val="fr-CA"/>
        </w:rPr>
        <w:t xml:space="preserve">Le </w:t>
      </w:r>
      <w:r>
        <w:rPr>
          <w:rFonts w:ascii="Arial" w:hAnsi="Arial" w:cs="Arial"/>
          <w:sz w:val="20"/>
          <w:szCs w:val="20"/>
          <w:lang w:val="fr-CA"/>
        </w:rPr>
        <w:t>SCT</w:t>
      </w:r>
      <w:r w:rsidRPr="00B70554">
        <w:rPr>
          <w:rFonts w:ascii="Arial" w:hAnsi="Arial" w:cs="Arial"/>
          <w:sz w:val="20"/>
          <w:szCs w:val="20"/>
          <w:lang w:val="fr-CA"/>
        </w:rPr>
        <w:t xml:space="preserve"> est chargé de fournir aide et conseils aux ministres du CT qui porteront attention à l’optimisation des ressources et à la surveillance des fonctions liées à la gestion financière dans les </w:t>
      </w:r>
      <w:r w:rsidR="00B9516F">
        <w:rPr>
          <w:rFonts w:ascii="Arial" w:hAnsi="Arial" w:cs="Arial"/>
          <w:sz w:val="20"/>
          <w:szCs w:val="20"/>
          <w:lang w:val="fr-CA"/>
        </w:rPr>
        <w:t>ministère</w:t>
      </w:r>
      <w:r w:rsidRPr="00B70554">
        <w:rPr>
          <w:rFonts w:ascii="Arial" w:hAnsi="Arial" w:cs="Arial"/>
          <w:sz w:val="20"/>
          <w:szCs w:val="20"/>
          <w:lang w:val="fr-CA"/>
        </w:rPr>
        <w:t>s et les organismes</w:t>
      </w:r>
      <w:r w:rsidRPr="00001E0D">
        <w:rPr>
          <w:rFonts w:ascii="Arial" w:hAnsi="Arial" w:cs="Arial"/>
          <w:sz w:val="20"/>
          <w:szCs w:val="20"/>
          <w:lang w:val="fr-CA"/>
        </w:rPr>
        <w:t>.</w:t>
      </w:r>
    </w:p>
    <w:p w:rsidR="00807E0F" w:rsidRPr="00001E0D" w:rsidRDefault="00807E0F" w:rsidP="00807E0F">
      <w:pPr>
        <w:rPr>
          <w:rFonts w:ascii="Arial" w:hAnsi="Arial" w:cs="Arial"/>
          <w:sz w:val="20"/>
          <w:szCs w:val="20"/>
          <w:lang w:val="fr-CA"/>
        </w:rPr>
      </w:pPr>
    </w:p>
    <w:p w:rsidR="00807E0F" w:rsidRPr="00001E0D" w:rsidRDefault="00807E0F" w:rsidP="00807E0F">
      <w:pPr>
        <w:rPr>
          <w:rFonts w:ascii="Arial" w:hAnsi="Arial" w:cs="Arial"/>
          <w:sz w:val="20"/>
          <w:szCs w:val="20"/>
          <w:lang w:val="fr-CA"/>
        </w:rPr>
      </w:pPr>
      <w:r w:rsidRPr="00B70554">
        <w:rPr>
          <w:rFonts w:ascii="Arial" w:hAnsi="Arial" w:cs="Arial"/>
          <w:sz w:val="20"/>
          <w:szCs w:val="20"/>
          <w:lang w:val="fr-CA"/>
        </w:rPr>
        <w:t xml:space="preserve">Le </w:t>
      </w:r>
      <w:r>
        <w:rPr>
          <w:rFonts w:ascii="Arial" w:hAnsi="Arial" w:cs="Arial"/>
          <w:sz w:val="20"/>
          <w:szCs w:val="20"/>
          <w:lang w:val="fr-CA"/>
        </w:rPr>
        <w:t>SCT</w:t>
      </w:r>
      <w:r w:rsidRPr="00B70554">
        <w:rPr>
          <w:rFonts w:ascii="Arial" w:hAnsi="Arial" w:cs="Arial"/>
          <w:sz w:val="20"/>
          <w:szCs w:val="20"/>
          <w:lang w:val="fr-CA"/>
        </w:rPr>
        <w:t xml:space="preserve"> présente des recommandations et dispense des conseils au CT sur les politiques, les lignes directrices, les règlements et les propositions en matière de programmes de dépenses touchant la gestion des ressources du gouvernement. Les responsabilités du </w:t>
      </w:r>
      <w:r>
        <w:rPr>
          <w:rFonts w:ascii="Arial" w:hAnsi="Arial" w:cs="Arial"/>
          <w:sz w:val="20"/>
          <w:szCs w:val="20"/>
          <w:lang w:val="fr-CA"/>
        </w:rPr>
        <w:t>SCT</w:t>
      </w:r>
      <w:r w:rsidRPr="00B70554">
        <w:rPr>
          <w:rFonts w:ascii="Arial" w:hAnsi="Arial" w:cs="Arial"/>
          <w:sz w:val="20"/>
          <w:szCs w:val="20"/>
          <w:lang w:val="fr-CA"/>
        </w:rPr>
        <w:t xml:space="preserve"> concernant la gestion générale du gouvernement influent sur les initiatives, les questions et les activités qui recoupent l’ensemble des secteurs de politiques gérés par les </w:t>
      </w:r>
      <w:r w:rsidR="00B9516F">
        <w:rPr>
          <w:rFonts w:ascii="Arial" w:hAnsi="Arial" w:cs="Arial"/>
          <w:sz w:val="20"/>
          <w:szCs w:val="20"/>
          <w:lang w:val="fr-CA"/>
        </w:rPr>
        <w:t>ministère</w:t>
      </w:r>
      <w:r w:rsidRPr="00B70554">
        <w:rPr>
          <w:rFonts w:ascii="Arial" w:hAnsi="Arial" w:cs="Arial"/>
          <w:sz w:val="20"/>
          <w:szCs w:val="20"/>
          <w:lang w:val="fr-CA"/>
        </w:rPr>
        <w:t xml:space="preserve">s et organismes fédéraux (comme l’indique le Budget principal des dépenses). Le </w:t>
      </w:r>
      <w:r>
        <w:rPr>
          <w:rFonts w:ascii="Arial" w:hAnsi="Arial" w:cs="Arial"/>
          <w:sz w:val="20"/>
          <w:szCs w:val="20"/>
          <w:lang w:val="fr-CA"/>
        </w:rPr>
        <w:t>SCT</w:t>
      </w:r>
      <w:r w:rsidRPr="00B70554">
        <w:rPr>
          <w:rFonts w:ascii="Arial" w:hAnsi="Arial" w:cs="Arial"/>
          <w:sz w:val="20"/>
          <w:szCs w:val="20"/>
          <w:lang w:val="fr-CA"/>
        </w:rPr>
        <w:t xml:space="preserve"> assume également la fonction de contrôleur du gouvernement</w:t>
      </w:r>
      <w:r w:rsidRPr="00001E0D">
        <w:rPr>
          <w:rFonts w:ascii="Arial" w:hAnsi="Arial" w:cs="Arial"/>
          <w:sz w:val="20"/>
          <w:szCs w:val="20"/>
          <w:lang w:val="fr-CA"/>
        </w:rPr>
        <w:t>.</w:t>
      </w:r>
    </w:p>
    <w:p w:rsidR="00807E0F" w:rsidRPr="00001E0D" w:rsidRDefault="00807E0F" w:rsidP="00807E0F">
      <w:pPr>
        <w:rPr>
          <w:rFonts w:ascii="Arial" w:hAnsi="Arial" w:cs="Arial"/>
          <w:sz w:val="20"/>
          <w:szCs w:val="20"/>
          <w:lang w:val="fr-CA"/>
        </w:rPr>
      </w:pPr>
    </w:p>
    <w:p w:rsidR="00807E0F" w:rsidRPr="00001E0D" w:rsidRDefault="00807E0F" w:rsidP="00807E0F">
      <w:pPr>
        <w:rPr>
          <w:rFonts w:ascii="Arial" w:hAnsi="Arial" w:cs="Arial"/>
          <w:sz w:val="20"/>
          <w:szCs w:val="20"/>
          <w:lang w:val="fr-CA"/>
        </w:rPr>
      </w:pPr>
      <w:r w:rsidRPr="00B70554">
        <w:rPr>
          <w:rFonts w:ascii="Arial" w:hAnsi="Arial" w:cs="Arial"/>
          <w:sz w:val="20"/>
          <w:szCs w:val="20"/>
          <w:lang w:val="fr-CA"/>
        </w:rPr>
        <w:t xml:space="preserve">En vertu des pouvoirs généraux que lui confèrent les articles 5 à 13 de la </w:t>
      </w:r>
      <w:r w:rsidRPr="00B70554">
        <w:rPr>
          <w:rFonts w:ascii="Arial" w:hAnsi="Arial" w:cs="Arial"/>
          <w:i/>
          <w:sz w:val="20"/>
          <w:szCs w:val="20"/>
          <w:lang w:val="fr-CA"/>
        </w:rPr>
        <w:t>Loi sur la gestion des finances publiques</w:t>
      </w:r>
      <w:r w:rsidRPr="00B70554">
        <w:rPr>
          <w:rFonts w:ascii="Arial" w:hAnsi="Arial" w:cs="Arial"/>
          <w:sz w:val="20"/>
          <w:szCs w:val="20"/>
          <w:lang w:val="fr-CA"/>
        </w:rPr>
        <w:t xml:space="preserve">, le </w:t>
      </w:r>
      <w:r>
        <w:rPr>
          <w:rFonts w:ascii="Arial" w:hAnsi="Arial" w:cs="Arial"/>
          <w:sz w:val="20"/>
          <w:szCs w:val="20"/>
          <w:lang w:val="fr-CA"/>
        </w:rPr>
        <w:t>SCT</w:t>
      </w:r>
      <w:r w:rsidRPr="00B70554">
        <w:rPr>
          <w:rFonts w:ascii="Arial" w:hAnsi="Arial" w:cs="Arial"/>
          <w:sz w:val="20"/>
          <w:szCs w:val="20"/>
          <w:lang w:val="fr-CA"/>
        </w:rPr>
        <w:t xml:space="preserve"> aide le CT à exercer son rôle d’administrateur général et d’employeur de la fonction publique</w:t>
      </w:r>
      <w:r w:rsidRPr="00001E0D">
        <w:rPr>
          <w:rFonts w:ascii="Arial" w:hAnsi="Arial" w:cs="Arial"/>
          <w:sz w:val="20"/>
          <w:szCs w:val="20"/>
          <w:lang w:val="fr-CA"/>
        </w:rPr>
        <w:t>.</w:t>
      </w:r>
    </w:p>
    <w:p w:rsidR="00807E0F" w:rsidRPr="00001E0D" w:rsidRDefault="00807E0F" w:rsidP="00807E0F">
      <w:pPr>
        <w:rPr>
          <w:rFonts w:ascii="Arial" w:hAnsi="Arial" w:cs="Arial"/>
          <w:sz w:val="20"/>
          <w:szCs w:val="20"/>
          <w:lang w:val="fr-CA"/>
        </w:rPr>
      </w:pPr>
    </w:p>
    <w:p w:rsidR="00807E0F" w:rsidRPr="00001E0D" w:rsidRDefault="00807E0F" w:rsidP="00807E0F">
      <w:pPr>
        <w:rPr>
          <w:rFonts w:ascii="Arial" w:hAnsi="Arial" w:cs="Arial"/>
          <w:sz w:val="20"/>
          <w:szCs w:val="20"/>
          <w:lang w:val="fr-CA"/>
        </w:rPr>
      </w:pPr>
    </w:p>
    <w:p w:rsidR="00807E0F" w:rsidRPr="00001E0D" w:rsidRDefault="00807E0F" w:rsidP="00807E0F">
      <w:pPr>
        <w:rPr>
          <w:rFonts w:ascii="Arial" w:hAnsi="Arial" w:cs="Arial"/>
          <w:b/>
          <w:sz w:val="20"/>
          <w:szCs w:val="20"/>
          <w:lang w:val="fr-CA"/>
        </w:rPr>
      </w:pPr>
      <w:r w:rsidRPr="00001E0D">
        <w:rPr>
          <w:rFonts w:ascii="Arial" w:hAnsi="Arial" w:cs="Arial"/>
          <w:b/>
          <w:sz w:val="20"/>
          <w:szCs w:val="20"/>
          <w:lang w:val="fr-CA"/>
        </w:rPr>
        <w:t xml:space="preserve">c) </w:t>
      </w:r>
      <w:r w:rsidR="00FD44B6">
        <w:rPr>
          <w:rFonts w:ascii="Arial" w:hAnsi="Arial" w:cs="Arial"/>
          <w:b/>
          <w:sz w:val="20"/>
          <w:szCs w:val="20"/>
          <w:lang w:val="fr-CA"/>
        </w:rPr>
        <w:t>M</w:t>
      </w:r>
      <w:r w:rsidR="00A65707">
        <w:rPr>
          <w:rFonts w:ascii="Arial" w:hAnsi="Arial" w:cs="Arial"/>
          <w:b/>
          <w:sz w:val="20"/>
          <w:szCs w:val="20"/>
          <w:lang w:val="fr-CA"/>
        </w:rPr>
        <w:t>inistère</w:t>
      </w:r>
      <w:r>
        <w:rPr>
          <w:rFonts w:ascii="Arial" w:hAnsi="Arial" w:cs="Arial"/>
          <w:b/>
          <w:sz w:val="20"/>
          <w:szCs w:val="20"/>
          <w:lang w:val="fr-CA"/>
        </w:rPr>
        <w:t xml:space="preserve"> des Finances </w:t>
      </w:r>
      <w:r w:rsidRPr="00001E0D">
        <w:rPr>
          <w:rFonts w:ascii="Arial" w:hAnsi="Arial" w:cs="Arial"/>
          <w:b/>
          <w:sz w:val="20"/>
          <w:szCs w:val="20"/>
          <w:lang w:val="fr-CA"/>
        </w:rPr>
        <w:t>:</w:t>
      </w:r>
    </w:p>
    <w:p w:rsidR="00807E0F" w:rsidRPr="00001E0D" w:rsidRDefault="00807E0F" w:rsidP="00807E0F">
      <w:pPr>
        <w:rPr>
          <w:rFonts w:ascii="Arial" w:hAnsi="Arial" w:cs="Arial"/>
          <w:sz w:val="20"/>
          <w:szCs w:val="20"/>
          <w:lang w:val="fr-CA"/>
        </w:rPr>
      </w:pPr>
    </w:p>
    <w:p w:rsidR="00807E0F" w:rsidRPr="00001E0D" w:rsidRDefault="00807E0F" w:rsidP="00807E0F">
      <w:pPr>
        <w:rPr>
          <w:rFonts w:ascii="Arial" w:hAnsi="Arial" w:cs="Arial"/>
          <w:sz w:val="20"/>
          <w:szCs w:val="20"/>
          <w:lang w:val="fr-CA"/>
        </w:rPr>
      </w:pPr>
      <w:r w:rsidRPr="009977B6">
        <w:rPr>
          <w:rFonts w:ascii="Arial" w:hAnsi="Arial" w:cs="Arial"/>
          <w:sz w:val="20"/>
          <w:szCs w:val="20"/>
          <w:lang w:val="fr-CA"/>
        </w:rPr>
        <w:t xml:space="preserve">Le </w:t>
      </w:r>
      <w:r w:rsidR="00B9516F">
        <w:rPr>
          <w:rFonts w:ascii="Arial" w:hAnsi="Arial" w:cs="Arial"/>
          <w:sz w:val="20"/>
          <w:szCs w:val="20"/>
          <w:lang w:val="fr-CA"/>
        </w:rPr>
        <w:t>ministère</w:t>
      </w:r>
      <w:r w:rsidRPr="009977B6">
        <w:rPr>
          <w:rFonts w:ascii="Arial" w:hAnsi="Arial" w:cs="Arial"/>
          <w:sz w:val="20"/>
          <w:szCs w:val="20"/>
          <w:lang w:val="fr-CA"/>
        </w:rPr>
        <w:t xml:space="preserve"> des Finances aide le gouvernement du Canada à élaborer et à mettre en œuvre des politiques et des programmes solides et viables sur les plans économique, budgétaire, fiscal, social et international de même qu'en matière de sécurité et relativement au secteur financier.</w:t>
      </w:r>
      <w:r w:rsidRPr="00B70554">
        <w:rPr>
          <w:rFonts w:ascii="Arial" w:hAnsi="Arial" w:cs="Arial"/>
          <w:sz w:val="20"/>
          <w:szCs w:val="20"/>
          <w:lang w:val="fr-CA"/>
        </w:rPr>
        <w:t>. De plus, il</w:t>
      </w:r>
      <w:r>
        <w:rPr>
          <w:rFonts w:ascii="Arial" w:hAnsi="Arial" w:cs="Arial"/>
          <w:sz w:val="20"/>
          <w:szCs w:val="20"/>
          <w:lang w:val="fr-CA"/>
        </w:rPr>
        <w:t> </w:t>
      </w:r>
      <w:r w:rsidRPr="00001E0D">
        <w:rPr>
          <w:rFonts w:ascii="Arial" w:hAnsi="Arial" w:cs="Arial"/>
          <w:sz w:val="20"/>
          <w:szCs w:val="20"/>
          <w:lang w:val="fr-CA"/>
        </w:rPr>
        <w:t>:</w:t>
      </w:r>
    </w:p>
    <w:p w:rsidR="00807E0F" w:rsidRPr="00001E0D" w:rsidRDefault="00807E0F" w:rsidP="00807E0F">
      <w:pPr>
        <w:rPr>
          <w:rFonts w:ascii="Arial" w:hAnsi="Arial" w:cs="Arial"/>
          <w:sz w:val="20"/>
          <w:szCs w:val="20"/>
          <w:lang w:val="fr-CA"/>
        </w:rPr>
      </w:pPr>
    </w:p>
    <w:p w:rsidR="00807E0F" w:rsidRPr="00001E0D" w:rsidRDefault="00807E0F" w:rsidP="00807E0F">
      <w:pPr>
        <w:numPr>
          <w:ilvl w:val="0"/>
          <w:numId w:val="15"/>
        </w:numPr>
        <w:rPr>
          <w:rFonts w:ascii="Arial" w:hAnsi="Arial" w:cs="Arial"/>
          <w:sz w:val="20"/>
          <w:szCs w:val="20"/>
          <w:lang w:val="fr-CA"/>
        </w:rPr>
      </w:pPr>
      <w:r w:rsidRPr="00B70554">
        <w:rPr>
          <w:rFonts w:ascii="Arial" w:hAnsi="Arial" w:cs="Arial"/>
          <w:sz w:val="20"/>
          <w:szCs w:val="20"/>
          <w:lang w:val="fr-CA"/>
        </w:rPr>
        <w:t>administre les transferts fédéraux aux provinces et aux territoires</w:t>
      </w:r>
      <w:r>
        <w:rPr>
          <w:rFonts w:ascii="Arial" w:hAnsi="Arial" w:cs="Arial"/>
          <w:sz w:val="20"/>
          <w:szCs w:val="20"/>
          <w:lang w:val="fr-CA"/>
        </w:rPr>
        <w:t>;</w:t>
      </w:r>
    </w:p>
    <w:p w:rsidR="00807E0F" w:rsidRPr="00001E0D" w:rsidRDefault="00807E0F" w:rsidP="00807E0F">
      <w:pPr>
        <w:rPr>
          <w:rFonts w:ascii="Arial" w:hAnsi="Arial" w:cs="Arial"/>
          <w:sz w:val="20"/>
          <w:szCs w:val="20"/>
          <w:lang w:val="fr-CA"/>
        </w:rPr>
      </w:pPr>
    </w:p>
    <w:p w:rsidR="00807E0F" w:rsidRPr="00001E0D" w:rsidRDefault="00807E0F" w:rsidP="00807E0F">
      <w:pPr>
        <w:numPr>
          <w:ilvl w:val="0"/>
          <w:numId w:val="15"/>
        </w:numPr>
        <w:rPr>
          <w:rFonts w:ascii="Arial" w:hAnsi="Arial" w:cs="Arial"/>
          <w:sz w:val="20"/>
          <w:szCs w:val="20"/>
          <w:lang w:val="fr-CA"/>
        </w:rPr>
      </w:pPr>
      <w:r w:rsidRPr="00B70554">
        <w:rPr>
          <w:rFonts w:ascii="Arial" w:hAnsi="Arial" w:cs="Arial"/>
          <w:sz w:val="20"/>
          <w:szCs w:val="20"/>
          <w:lang w:val="fr-CA"/>
        </w:rPr>
        <w:t>élabore des politiques en matière de finances internationales et participe à la conception des politiques tarifaires du Canada</w:t>
      </w:r>
      <w:r>
        <w:rPr>
          <w:rFonts w:ascii="Arial" w:hAnsi="Arial" w:cs="Arial"/>
          <w:sz w:val="20"/>
          <w:szCs w:val="20"/>
          <w:lang w:val="fr-CA"/>
        </w:rPr>
        <w:t>;</w:t>
      </w:r>
    </w:p>
    <w:p w:rsidR="00807E0F" w:rsidRPr="00001E0D" w:rsidRDefault="00807E0F" w:rsidP="00807E0F">
      <w:pPr>
        <w:rPr>
          <w:rFonts w:ascii="Arial" w:hAnsi="Arial" w:cs="Arial"/>
          <w:sz w:val="20"/>
          <w:szCs w:val="20"/>
          <w:lang w:val="fr-CA"/>
        </w:rPr>
      </w:pPr>
    </w:p>
    <w:p w:rsidR="00807E0F" w:rsidRPr="00001E0D" w:rsidRDefault="00807E0F" w:rsidP="00807E0F">
      <w:pPr>
        <w:numPr>
          <w:ilvl w:val="0"/>
          <w:numId w:val="15"/>
        </w:numPr>
        <w:rPr>
          <w:rFonts w:ascii="Arial" w:hAnsi="Arial" w:cs="Arial"/>
          <w:sz w:val="20"/>
          <w:szCs w:val="20"/>
          <w:lang w:val="fr-CA"/>
        </w:rPr>
      </w:pPr>
      <w:r w:rsidRPr="00B70554">
        <w:rPr>
          <w:rFonts w:ascii="Arial" w:hAnsi="Arial" w:cs="Arial"/>
          <w:sz w:val="20"/>
          <w:szCs w:val="20"/>
          <w:lang w:val="fr-CA"/>
        </w:rPr>
        <w:t>suit de près l’évolution de la situation économique et financière au Canada et offre des conseils stratégiques sur un vaste éventail de questions économiques</w:t>
      </w:r>
      <w:r>
        <w:rPr>
          <w:rFonts w:ascii="Arial" w:hAnsi="Arial" w:cs="Arial"/>
          <w:sz w:val="20"/>
          <w:szCs w:val="20"/>
          <w:lang w:val="fr-CA"/>
        </w:rPr>
        <w:t>.</w:t>
      </w:r>
    </w:p>
    <w:p w:rsidR="00807E0F" w:rsidRPr="00001E0D" w:rsidRDefault="00807E0F" w:rsidP="00807E0F">
      <w:pPr>
        <w:rPr>
          <w:rFonts w:ascii="Arial" w:hAnsi="Arial" w:cs="Arial"/>
          <w:sz w:val="20"/>
          <w:szCs w:val="20"/>
          <w:lang w:val="fr-CA"/>
        </w:rPr>
      </w:pPr>
    </w:p>
    <w:p w:rsidR="00807E0F" w:rsidRDefault="00807E0F" w:rsidP="00807E0F">
      <w:pPr>
        <w:rPr>
          <w:rFonts w:ascii="Arial" w:hAnsi="Arial" w:cs="Arial"/>
          <w:sz w:val="20"/>
          <w:szCs w:val="20"/>
          <w:lang w:val="fr-CA"/>
        </w:rPr>
      </w:pPr>
      <w:r w:rsidRPr="00B70554">
        <w:rPr>
          <w:rFonts w:ascii="Arial" w:hAnsi="Arial" w:cs="Arial"/>
          <w:sz w:val="20"/>
          <w:szCs w:val="20"/>
          <w:lang w:val="fr-CA"/>
        </w:rPr>
        <w:t>En bref, il aide à gérer le compte bancaire du pays et il donne des conseils au gouvernement dans le but de créer une économie saine pour toutes les Canadiennes et tous les Canadiens</w:t>
      </w:r>
      <w:r w:rsidRPr="00001E0D">
        <w:rPr>
          <w:rFonts w:ascii="Arial" w:hAnsi="Arial" w:cs="Arial"/>
          <w:sz w:val="20"/>
          <w:szCs w:val="20"/>
          <w:lang w:val="fr-CA"/>
        </w:rPr>
        <w:t>.</w:t>
      </w:r>
    </w:p>
    <w:p w:rsidR="00FD44B6" w:rsidRDefault="00FD44B6" w:rsidP="00807E0F">
      <w:pPr>
        <w:rPr>
          <w:rFonts w:ascii="Arial" w:hAnsi="Arial" w:cs="Arial"/>
          <w:sz w:val="20"/>
          <w:szCs w:val="20"/>
          <w:lang w:val="fr-CA"/>
        </w:rPr>
      </w:pPr>
    </w:p>
    <w:p w:rsidR="00807E0F" w:rsidRPr="00001E0D" w:rsidRDefault="00807E0F" w:rsidP="00807E0F">
      <w:pPr>
        <w:rPr>
          <w:rFonts w:ascii="Arial" w:hAnsi="Arial" w:cs="Arial"/>
          <w:b/>
          <w:sz w:val="20"/>
          <w:szCs w:val="20"/>
          <w:lang w:val="fr-CA"/>
        </w:rPr>
      </w:pPr>
      <w:r w:rsidRPr="00001E0D">
        <w:rPr>
          <w:rFonts w:ascii="Arial" w:hAnsi="Arial" w:cs="Arial"/>
          <w:b/>
          <w:sz w:val="20"/>
          <w:szCs w:val="20"/>
          <w:lang w:val="fr-CA"/>
        </w:rPr>
        <w:t xml:space="preserve">d) </w:t>
      </w:r>
      <w:r>
        <w:rPr>
          <w:rFonts w:ascii="Arial" w:hAnsi="Arial" w:cs="Arial"/>
          <w:b/>
          <w:sz w:val="20"/>
          <w:szCs w:val="20"/>
          <w:lang w:val="fr-CA"/>
        </w:rPr>
        <w:t xml:space="preserve">Bureau du Conseil privé </w:t>
      </w:r>
      <w:r w:rsidRPr="00001E0D">
        <w:rPr>
          <w:rFonts w:ascii="Arial" w:hAnsi="Arial" w:cs="Arial"/>
          <w:b/>
          <w:sz w:val="20"/>
          <w:szCs w:val="20"/>
          <w:lang w:val="fr-CA"/>
        </w:rPr>
        <w:t>:</w:t>
      </w:r>
    </w:p>
    <w:p w:rsidR="00807E0F" w:rsidRPr="00001E0D" w:rsidRDefault="00807E0F" w:rsidP="00807E0F">
      <w:pPr>
        <w:rPr>
          <w:rFonts w:ascii="Arial" w:hAnsi="Arial" w:cs="Arial"/>
          <w:sz w:val="20"/>
          <w:szCs w:val="20"/>
          <w:lang w:val="fr-CA"/>
        </w:rPr>
      </w:pPr>
    </w:p>
    <w:p w:rsidR="00807E0F" w:rsidRPr="00001E0D" w:rsidRDefault="00807E0F" w:rsidP="00807E0F">
      <w:pPr>
        <w:rPr>
          <w:rFonts w:ascii="Arial" w:hAnsi="Arial" w:cs="Arial"/>
          <w:sz w:val="20"/>
          <w:szCs w:val="20"/>
          <w:lang w:val="fr-CA"/>
        </w:rPr>
      </w:pPr>
      <w:r w:rsidRPr="006A79D2">
        <w:rPr>
          <w:rFonts w:ascii="Arial" w:hAnsi="Arial" w:cs="Arial"/>
          <w:sz w:val="20"/>
          <w:szCs w:val="20"/>
          <w:lang w:val="fr-CA"/>
        </w:rPr>
        <w:t xml:space="preserve">Le Bureau du Conseil privé (BCP) est le principal centre d’activité à partir duquel la fonction publique soutient le </w:t>
      </w:r>
      <w:r w:rsidR="00FD44B6">
        <w:rPr>
          <w:rFonts w:ascii="Arial" w:hAnsi="Arial" w:cs="Arial"/>
          <w:sz w:val="20"/>
          <w:szCs w:val="20"/>
          <w:lang w:val="fr-CA"/>
        </w:rPr>
        <w:t>P</w:t>
      </w:r>
      <w:r w:rsidRPr="006A79D2">
        <w:rPr>
          <w:rFonts w:ascii="Arial" w:hAnsi="Arial" w:cs="Arial"/>
          <w:sz w:val="20"/>
          <w:szCs w:val="20"/>
          <w:lang w:val="fr-CA"/>
        </w:rPr>
        <w:t xml:space="preserve">remier </w:t>
      </w:r>
      <w:r w:rsidR="00FD44B6">
        <w:rPr>
          <w:rFonts w:ascii="Arial" w:hAnsi="Arial" w:cs="Arial"/>
          <w:sz w:val="20"/>
          <w:szCs w:val="20"/>
          <w:lang w:val="fr-CA"/>
        </w:rPr>
        <w:t>M</w:t>
      </w:r>
      <w:r w:rsidRPr="006A79D2">
        <w:rPr>
          <w:rFonts w:ascii="Arial" w:hAnsi="Arial" w:cs="Arial"/>
          <w:sz w:val="20"/>
          <w:szCs w:val="20"/>
          <w:lang w:val="fr-CA"/>
        </w:rPr>
        <w:t>inistre ainsi que le Cabinet et ses structures décisi</w:t>
      </w:r>
      <w:r w:rsidR="00FD44B6">
        <w:rPr>
          <w:rFonts w:ascii="Arial" w:hAnsi="Arial" w:cs="Arial"/>
          <w:sz w:val="20"/>
          <w:szCs w:val="20"/>
          <w:lang w:val="fr-CA"/>
        </w:rPr>
        <w:t>onnelles. Sous la direction du G</w:t>
      </w:r>
      <w:r w:rsidRPr="006A79D2">
        <w:rPr>
          <w:rFonts w:ascii="Arial" w:hAnsi="Arial" w:cs="Arial"/>
          <w:sz w:val="20"/>
          <w:szCs w:val="20"/>
          <w:lang w:val="fr-CA"/>
        </w:rPr>
        <w:t>reffier du Conseil privé, le BCP, par l’entremise de ses secrétariats, facilite le bon fonctionnement du Cabinet et du gouvernement du Canada</w:t>
      </w:r>
      <w:r>
        <w:rPr>
          <w:rFonts w:ascii="Arial" w:hAnsi="Arial" w:cs="Arial"/>
          <w:sz w:val="20"/>
          <w:szCs w:val="20"/>
          <w:lang w:val="fr-CA"/>
        </w:rPr>
        <w:t>.</w:t>
      </w:r>
    </w:p>
    <w:p w:rsidR="00807E0F" w:rsidRPr="00001E0D" w:rsidRDefault="00807E0F" w:rsidP="00807E0F">
      <w:pPr>
        <w:rPr>
          <w:rFonts w:ascii="Arial" w:hAnsi="Arial" w:cs="Arial"/>
          <w:sz w:val="20"/>
          <w:szCs w:val="20"/>
          <w:lang w:val="fr-CA"/>
        </w:rPr>
      </w:pPr>
    </w:p>
    <w:p w:rsidR="00807E0F" w:rsidRPr="00001E0D" w:rsidRDefault="00807E0F" w:rsidP="00807E0F">
      <w:pPr>
        <w:rPr>
          <w:rFonts w:ascii="Arial" w:hAnsi="Arial" w:cs="Arial"/>
          <w:sz w:val="20"/>
          <w:szCs w:val="20"/>
          <w:lang w:val="fr-CA"/>
        </w:rPr>
      </w:pPr>
      <w:r w:rsidRPr="006A79D2">
        <w:rPr>
          <w:rFonts w:ascii="Arial" w:hAnsi="Arial" w:cs="Arial"/>
          <w:sz w:val="20"/>
          <w:szCs w:val="20"/>
          <w:lang w:val="fr-CA"/>
        </w:rPr>
        <w:lastRenderedPageBreak/>
        <w:t xml:space="preserve">Le BCP aide à énoncer clairement et à mettre en </w:t>
      </w:r>
      <w:r>
        <w:rPr>
          <w:rFonts w:ascii="Arial" w:hAnsi="Arial" w:cs="Arial"/>
          <w:sz w:val="20"/>
          <w:szCs w:val="20"/>
          <w:lang w:val="fr-CA"/>
        </w:rPr>
        <w:t xml:space="preserve">œuvre </w:t>
      </w:r>
      <w:r w:rsidRPr="006A79D2">
        <w:rPr>
          <w:rFonts w:ascii="Arial" w:hAnsi="Arial" w:cs="Arial"/>
          <w:sz w:val="20"/>
          <w:szCs w:val="20"/>
          <w:lang w:val="fr-CA"/>
        </w:rPr>
        <w:t>le programme stratégique du gouvernement, ainsi qu’à coordonner une réponse opportune aux enjeux auxquels le gouvernement et le pays sont confrontés. Il veille également à maintenir les plus hautes normes de professionnalisme et d’éthique dans la fonction publique fédérale</w:t>
      </w:r>
      <w:r w:rsidRPr="00001E0D">
        <w:rPr>
          <w:rFonts w:ascii="Arial" w:hAnsi="Arial" w:cs="Arial"/>
          <w:sz w:val="20"/>
          <w:szCs w:val="20"/>
          <w:lang w:val="fr-CA"/>
        </w:rPr>
        <w:t>.</w:t>
      </w:r>
    </w:p>
    <w:p w:rsidR="00807E0F" w:rsidRPr="00001E0D" w:rsidRDefault="00807E0F" w:rsidP="00807E0F">
      <w:pPr>
        <w:rPr>
          <w:rFonts w:ascii="Arial" w:hAnsi="Arial" w:cs="Arial"/>
          <w:sz w:val="20"/>
          <w:szCs w:val="20"/>
          <w:lang w:val="fr-CA"/>
        </w:rPr>
      </w:pPr>
    </w:p>
    <w:p w:rsidR="00807E0F" w:rsidRPr="00001E0D" w:rsidRDefault="00807E0F" w:rsidP="00807E0F">
      <w:pPr>
        <w:rPr>
          <w:rFonts w:ascii="Arial" w:hAnsi="Arial" w:cs="Arial"/>
          <w:sz w:val="20"/>
          <w:szCs w:val="20"/>
          <w:lang w:val="fr-CA"/>
        </w:rPr>
      </w:pPr>
      <w:r w:rsidRPr="006A79D2">
        <w:rPr>
          <w:rFonts w:ascii="Arial" w:hAnsi="Arial" w:cs="Arial"/>
          <w:sz w:val="20"/>
          <w:szCs w:val="20"/>
          <w:lang w:val="fr-CA"/>
        </w:rPr>
        <w:t>Voici certains des principaux rôles du BCP</w:t>
      </w:r>
      <w:r>
        <w:rPr>
          <w:rFonts w:ascii="Arial" w:hAnsi="Arial" w:cs="Arial"/>
          <w:sz w:val="20"/>
          <w:szCs w:val="20"/>
          <w:lang w:val="fr-CA"/>
        </w:rPr>
        <w:t> :</w:t>
      </w:r>
    </w:p>
    <w:p w:rsidR="00807E0F" w:rsidRPr="00001E0D" w:rsidRDefault="00807E0F" w:rsidP="00807E0F">
      <w:pPr>
        <w:rPr>
          <w:rFonts w:ascii="Arial" w:hAnsi="Arial" w:cs="Arial"/>
          <w:sz w:val="20"/>
          <w:szCs w:val="20"/>
          <w:lang w:val="fr-CA"/>
        </w:rPr>
      </w:pPr>
    </w:p>
    <w:p w:rsidR="00807E0F" w:rsidRPr="00001E0D" w:rsidRDefault="00807E0F" w:rsidP="00711C36">
      <w:pPr>
        <w:numPr>
          <w:ilvl w:val="0"/>
          <w:numId w:val="16"/>
        </w:numPr>
        <w:spacing w:before="120" w:after="120"/>
        <w:rPr>
          <w:rFonts w:ascii="Arial" w:hAnsi="Arial" w:cs="Arial"/>
          <w:sz w:val="20"/>
          <w:szCs w:val="20"/>
          <w:lang w:val="fr-CA"/>
        </w:rPr>
      </w:pPr>
      <w:r w:rsidRPr="003D7F73">
        <w:rPr>
          <w:rFonts w:ascii="Arial" w:hAnsi="Arial" w:cs="Arial"/>
          <w:sz w:val="20"/>
          <w:szCs w:val="20"/>
          <w:lang w:val="fr-CA"/>
        </w:rPr>
        <w:t xml:space="preserve">conseiller le </w:t>
      </w:r>
      <w:r w:rsidR="00FD44B6">
        <w:rPr>
          <w:rFonts w:ascii="Arial" w:hAnsi="Arial" w:cs="Arial"/>
          <w:sz w:val="20"/>
          <w:szCs w:val="20"/>
          <w:lang w:val="fr-CA"/>
        </w:rPr>
        <w:t>P</w:t>
      </w:r>
      <w:r w:rsidRPr="003D7F73">
        <w:rPr>
          <w:rFonts w:ascii="Arial" w:hAnsi="Arial" w:cs="Arial"/>
          <w:sz w:val="20"/>
          <w:szCs w:val="20"/>
          <w:lang w:val="fr-CA"/>
        </w:rPr>
        <w:t xml:space="preserve">remier </w:t>
      </w:r>
      <w:r w:rsidR="00FD44B6">
        <w:rPr>
          <w:rFonts w:ascii="Arial" w:hAnsi="Arial" w:cs="Arial"/>
          <w:sz w:val="20"/>
          <w:szCs w:val="20"/>
          <w:lang w:val="fr-CA"/>
        </w:rPr>
        <w:t>M</w:t>
      </w:r>
      <w:r w:rsidRPr="003D7F73">
        <w:rPr>
          <w:rFonts w:ascii="Arial" w:hAnsi="Arial" w:cs="Arial"/>
          <w:sz w:val="20"/>
          <w:szCs w:val="20"/>
          <w:lang w:val="fr-CA"/>
        </w:rPr>
        <w:t>inistre et le Cabinet de façon professionnelle et impartiale</w:t>
      </w:r>
      <w:r>
        <w:rPr>
          <w:rFonts w:ascii="Arial" w:hAnsi="Arial" w:cs="Arial"/>
          <w:sz w:val="20"/>
          <w:szCs w:val="20"/>
          <w:lang w:val="fr-CA"/>
        </w:rPr>
        <w:t>;</w:t>
      </w:r>
    </w:p>
    <w:p w:rsidR="00807E0F" w:rsidRPr="00001E0D" w:rsidRDefault="00807E0F" w:rsidP="00711C36">
      <w:pPr>
        <w:numPr>
          <w:ilvl w:val="0"/>
          <w:numId w:val="16"/>
        </w:numPr>
        <w:spacing w:before="120" w:after="120"/>
        <w:rPr>
          <w:rFonts w:ascii="Arial" w:hAnsi="Arial" w:cs="Arial"/>
          <w:sz w:val="20"/>
          <w:szCs w:val="20"/>
          <w:lang w:val="fr-CA"/>
        </w:rPr>
      </w:pPr>
      <w:r w:rsidRPr="003D7F73">
        <w:rPr>
          <w:rFonts w:ascii="Arial" w:hAnsi="Arial" w:cs="Arial"/>
          <w:sz w:val="20"/>
          <w:szCs w:val="20"/>
          <w:lang w:val="fr-CA"/>
        </w:rPr>
        <w:t xml:space="preserve">gérer le processus décisionnel du Cabinet (notamment coordonner les initiatives stratégiques proposées par les </w:t>
      </w:r>
      <w:r w:rsidR="00B9516F">
        <w:rPr>
          <w:rFonts w:ascii="Arial" w:hAnsi="Arial" w:cs="Arial"/>
          <w:sz w:val="20"/>
          <w:szCs w:val="20"/>
          <w:lang w:val="fr-CA"/>
        </w:rPr>
        <w:t>ministère</w:t>
      </w:r>
      <w:r w:rsidRPr="003D7F73">
        <w:rPr>
          <w:rFonts w:ascii="Arial" w:hAnsi="Arial" w:cs="Arial"/>
          <w:sz w:val="20"/>
          <w:szCs w:val="20"/>
          <w:lang w:val="fr-CA"/>
        </w:rPr>
        <w:t>s et analyser les politiques</w:t>
      </w:r>
      <w:r>
        <w:rPr>
          <w:rFonts w:ascii="Arial" w:hAnsi="Arial" w:cs="Arial"/>
          <w:sz w:val="20"/>
          <w:szCs w:val="20"/>
          <w:lang w:val="fr-CA"/>
        </w:rPr>
        <w:t>);</w:t>
      </w:r>
    </w:p>
    <w:p w:rsidR="00807E0F" w:rsidRPr="00001E0D" w:rsidRDefault="00807E0F" w:rsidP="00711C36">
      <w:pPr>
        <w:numPr>
          <w:ilvl w:val="0"/>
          <w:numId w:val="16"/>
        </w:numPr>
        <w:spacing w:before="120" w:after="120"/>
        <w:rPr>
          <w:rFonts w:ascii="Arial" w:hAnsi="Arial" w:cs="Arial"/>
          <w:sz w:val="20"/>
          <w:szCs w:val="20"/>
          <w:lang w:val="fr-CA"/>
        </w:rPr>
      </w:pPr>
      <w:r w:rsidRPr="003D7F73">
        <w:rPr>
          <w:rFonts w:ascii="Arial" w:hAnsi="Arial" w:cs="Arial"/>
          <w:sz w:val="20"/>
          <w:szCs w:val="20"/>
          <w:lang w:val="fr-CA"/>
        </w:rPr>
        <w:t>organiser et soutenir les réunions du Cabinet et des comités du Cabinet</w:t>
      </w:r>
      <w:r>
        <w:rPr>
          <w:rFonts w:ascii="Arial" w:hAnsi="Arial" w:cs="Arial"/>
          <w:sz w:val="20"/>
          <w:szCs w:val="20"/>
          <w:lang w:val="fr-CA"/>
        </w:rPr>
        <w:t>;</w:t>
      </w:r>
    </w:p>
    <w:p w:rsidR="00807E0F" w:rsidRPr="00001E0D" w:rsidRDefault="00807E0F" w:rsidP="00711C36">
      <w:pPr>
        <w:numPr>
          <w:ilvl w:val="0"/>
          <w:numId w:val="16"/>
        </w:numPr>
        <w:spacing w:before="120" w:after="120"/>
        <w:rPr>
          <w:rFonts w:ascii="Arial" w:hAnsi="Arial" w:cs="Arial"/>
          <w:sz w:val="20"/>
          <w:szCs w:val="20"/>
          <w:lang w:val="fr-CA"/>
        </w:rPr>
      </w:pPr>
      <w:r w:rsidRPr="003D7F73">
        <w:rPr>
          <w:rFonts w:ascii="Arial" w:hAnsi="Arial" w:cs="Arial"/>
          <w:sz w:val="20"/>
          <w:szCs w:val="20"/>
          <w:lang w:val="fr-CA"/>
        </w:rPr>
        <w:t>faire avancer le programme d’action du gouvernement au sein de l’administration fédérale et auprès d’intervenants externes</w:t>
      </w:r>
      <w:r>
        <w:rPr>
          <w:rFonts w:ascii="Arial" w:hAnsi="Arial" w:cs="Arial"/>
          <w:sz w:val="20"/>
          <w:szCs w:val="20"/>
          <w:lang w:val="fr-CA"/>
        </w:rPr>
        <w:t>;</w:t>
      </w:r>
    </w:p>
    <w:p w:rsidR="00807E0F" w:rsidRPr="00001E0D" w:rsidRDefault="00807E0F" w:rsidP="00711C36">
      <w:pPr>
        <w:numPr>
          <w:ilvl w:val="0"/>
          <w:numId w:val="16"/>
        </w:numPr>
        <w:spacing w:before="120" w:after="120"/>
        <w:rPr>
          <w:rFonts w:ascii="Arial" w:hAnsi="Arial" w:cs="Arial"/>
          <w:sz w:val="20"/>
          <w:szCs w:val="20"/>
          <w:lang w:val="fr-CA"/>
        </w:rPr>
      </w:pPr>
      <w:r w:rsidRPr="003D7F73">
        <w:rPr>
          <w:rFonts w:ascii="Arial" w:hAnsi="Arial" w:cs="Arial"/>
          <w:sz w:val="20"/>
          <w:szCs w:val="20"/>
          <w:lang w:val="fr-CA"/>
        </w:rPr>
        <w:t>fournir des avis sur la structure et l’organisation de l’appareil gouvernemental</w:t>
      </w:r>
      <w:r>
        <w:rPr>
          <w:rFonts w:ascii="Arial" w:hAnsi="Arial" w:cs="Arial"/>
          <w:sz w:val="20"/>
          <w:szCs w:val="20"/>
          <w:lang w:val="fr-CA"/>
        </w:rPr>
        <w:t>;</w:t>
      </w:r>
    </w:p>
    <w:p w:rsidR="00807E0F" w:rsidRPr="00001E0D" w:rsidRDefault="00807E0F" w:rsidP="00711C36">
      <w:pPr>
        <w:numPr>
          <w:ilvl w:val="0"/>
          <w:numId w:val="16"/>
        </w:numPr>
        <w:spacing w:before="120" w:after="120"/>
        <w:rPr>
          <w:rFonts w:ascii="Arial" w:hAnsi="Arial" w:cs="Arial"/>
          <w:sz w:val="20"/>
          <w:szCs w:val="20"/>
          <w:lang w:val="fr-CA"/>
        </w:rPr>
      </w:pPr>
      <w:r w:rsidRPr="003D7F73">
        <w:rPr>
          <w:rFonts w:ascii="Arial" w:hAnsi="Arial" w:cs="Arial"/>
          <w:sz w:val="20"/>
          <w:szCs w:val="20"/>
          <w:lang w:val="fr-CA"/>
        </w:rPr>
        <w:t xml:space="preserve">gérer le processus des nominations aux échelons supérieurs des </w:t>
      </w:r>
      <w:r w:rsidR="00B9516F">
        <w:rPr>
          <w:rFonts w:ascii="Arial" w:hAnsi="Arial" w:cs="Arial"/>
          <w:sz w:val="20"/>
          <w:szCs w:val="20"/>
          <w:lang w:val="fr-CA"/>
        </w:rPr>
        <w:t>ministère</w:t>
      </w:r>
      <w:r w:rsidRPr="003D7F73">
        <w:rPr>
          <w:rFonts w:ascii="Arial" w:hAnsi="Arial" w:cs="Arial"/>
          <w:sz w:val="20"/>
          <w:szCs w:val="20"/>
          <w:lang w:val="fr-CA"/>
        </w:rPr>
        <w:t>s et organismes fédéraux ainsi que des sociétés d’État</w:t>
      </w:r>
      <w:r>
        <w:rPr>
          <w:rFonts w:ascii="Arial" w:hAnsi="Arial" w:cs="Arial"/>
          <w:sz w:val="20"/>
          <w:szCs w:val="20"/>
          <w:lang w:val="fr-CA"/>
        </w:rPr>
        <w:t>;</w:t>
      </w:r>
    </w:p>
    <w:p w:rsidR="00807E0F" w:rsidRPr="00001E0D" w:rsidRDefault="00807E0F" w:rsidP="00711C36">
      <w:pPr>
        <w:numPr>
          <w:ilvl w:val="0"/>
          <w:numId w:val="16"/>
        </w:numPr>
        <w:spacing w:before="120" w:after="120"/>
        <w:rPr>
          <w:rFonts w:ascii="Arial" w:hAnsi="Arial" w:cs="Arial"/>
          <w:sz w:val="20"/>
          <w:szCs w:val="20"/>
          <w:lang w:val="fr-CA"/>
        </w:rPr>
      </w:pPr>
      <w:r w:rsidRPr="003D7F73">
        <w:rPr>
          <w:rFonts w:ascii="Arial" w:hAnsi="Arial" w:cs="Arial"/>
          <w:sz w:val="20"/>
          <w:szCs w:val="20"/>
          <w:lang w:val="fr-CA"/>
        </w:rPr>
        <w:t>préparer les décrets et autres textes réglementaires donnant effet aux décisions de l’exécutif</w:t>
      </w:r>
      <w:r>
        <w:rPr>
          <w:rFonts w:ascii="Arial" w:hAnsi="Arial" w:cs="Arial"/>
          <w:sz w:val="20"/>
          <w:szCs w:val="20"/>
          <w:lang w:val="fr-CA"/>
        </w:rPr>
        <w:t>;</w:t>
      </w:r>
    </w:p>
    <w:p w:rsidR="00807E0F" w:rsidRPr="00001E0D" w:rsidRDefault="00807E0F" w:rsidP="00711C36">
      <w:pPr>
        <w:numPr>
          <w:ilvl w:val="0"/>
          <w:numId w:val="16"/>
        </w:numPr>
        <w:spacing w:before="120" w:after="120"/>
        <w:rPr>
          <w:rFonts w:ascii="Arial" w:hAnsi="Arial" w:cs="Arial"/>
          <w:sz w:val="20"/>
          <w:szCs w:val="20"/>
          <w:lang w:val="fr-CA"/>
        </w:rPr>
      </w:pPr>
      <w:r w:rsidRPr="003D7F73">
        <w:rPr>
          <w:rFonts w:ascii="Arial" w:hAnsi="Arial" w:cs="Arial"/>
          <w:sz w:val="20"/>
          <w:szCs w:val="20"/>
          <w:lang w:val="fr-CA"/>
        </w:rPr>
        <w:t>promouvoir le rendement et la responsabilisation au sein de la fonction publique</w:t>
      </w:r>
      <w:r>
        <w:rPr>
          <w:rFonts w:ascii="Arial" w:hAnsi="Arial" w:cs="Arial"/>
          <w:sz w:val="20"/>
          <w:szCs w:val="20"/>
          <w:lang w:val="fr-CA"/>
        </w:rPr>
        <w:t>;</w:t>
      </w:r>
    </w:p>
    <w:p w:rsidR="00807E0F" w:rsidRPr="00001E0D" w:rsidRDefault="00FD44B6" w:rsidP="00711C36">
      <w:pPr>
        <w:numPr>
          <w:ilvl w:val="0"/>
          <w:numId w:val="16"/>
        </w:numPr>
        <w:spacing w:before="120" w:after="120"/>
        <w:rPr>
          <w:rFonts w:ascii="Arial" w:hAnsi="Arial" w:cs="Arial"/>
          <w:sz w:val="20"/>
          <w:szCs w:val="20"/>
          <w:lang w:val="fr-CA"/>
        </w:rPr>
      </w:pPr>
      <w:r>
        <w:rPr>
          <w:rFonts w:ascii="Arial" w:hAnsi="Arial" w:cs="Arial"/>
          <w:sz w:val="20"/>
          <w:szCs w:val="20"/>
          <w:lang w:val="fr-CA"/>
        </w:rPr>
        <w:t>présenter un rapport annuel au P</w:t>
      </w:r>
      <w:r w:rsidR="00807E0F" w:rsidRPr="003D7F73">
        <w:rPr>
          <w:rFonts w:ascii="Arial" w:hAnsi="Arial" w:cs="Arial"/>
          <w:sz w:val="20"/>
          <w:szCs w:val="20"/>
          <w:lang w:val="fr-CA"/>
        </w:rPr>
        <w:t xml:space="preserve">remier </w:t>
      </w:r>
      <w:r>
        <w:rPr>
          <w:rFonts w:ascii="Arial" w:hAnsi="Arial" w:cs="Arial"/>
          <w:sz w:val="20"/>
          <w:szCs w:val="20"/>
          <w:lang w:val="fr-CA"/>
        </w:rPr>
        <w:t>M</w:t>
      </w:r>
      <w:r w:rsidR="00807E0F" w:rsidRPr="003D7F73">
        <w:rPr>
          <w:rFonts w:ascii="Arial" w:hAnsi="Arial" w:cs="Arial"/>
          <w:sz w:val="20"/>
          <w:szCs w:val="20"/>
          <w:lang w:val="fr-CA"/>
        </w:rPr>
        <w:t>inistre sur l’état de la fonction publique</w:t>
      </w:r>
      <w:r w:rsidR="00807E0F" w:rsidRPr="00001E0D">
        <w:rPr>
          <w:rFonts w:ascii="Arial" w:hAnsi="Arial" w:cs="Arial"/>
          <w:sz w:val="20"/>
          <w:szCs w:val="20"/>
          <w:lang w:val="fr-CA"/>
        </w:rPr>
        <w:t>.</w:t>
      </w:r>
    </w:p>
    <w:p w:rsidR="00807E0F" w:rsidRPr="00001E0D" w:rsidRDefault="00807E0F" w:rsidP="00807E0F">
      <w:pPr>
        <w:rPr>
          <w:rFonts w:ascii="Arial" w:hAnsi="Arial" w:cs="Arial"/>
          <w:sz w:val="20"/>
          <w:szCs w:val="20"/>
          <w:lang w:val="fr-CA"/>
        </w:rPr>
      </w:pPr>
    </w:p>
    <w:p w:rsidR="00807E0F" w:rsidRPr="00001E0D" w:rsidRDefault="00807E0F" w:rsidP="00807E0F">
      <w:pPr>
        <w:rPr>
          <w:rFonts w:ascii="Arial" w:hAnsi="Arial" w:cs="Arial"/>
          <w:b/>
          <w:sz w:val="20"/>
          <w:szCs w:val="20"/>
          <w:lang w:val="fr-CA"/>
        </w:rPr>
      </w:pPr>
      <w:r w:rsidRPr="00001E0D">
        <w:rPr>
          <w:rFonts w:ascii="Arial" w:hAnsi="Arial" w:cs="Arial"/>
          <w:b/>
          <w:sz w:val="20"/>
          <w:szCs w:val="20"/>
          <w:lang w:val="fr-CA"/>
        </w:rPr>
        <w:t xml:space="preserve">e) </w:t>
      </w:r>
      <w:r>
        <w:rPr>
          <w:rFonts w:ascii="Arial" w:hAnsi="Arial" w:cs="Arial"/>
          <w:b/>
          <w:sz w:val="20"/>
          <w:szCs w:val="20"/>
          <w:lang w:val="fr-CA"/>
        </w:rPr>
        <w:t>Directeur parlementaire du budget :</w:t>
      </w:r>
    </w:p>
    <w:p w:rsidR="00807E0F" w:rsidRPr="00001E0D" w:rsidRDefault="00807E0F" w:rsidP="00807E0F">
      <w:pPr>
        <w:rPr>
          <w:rFonts w:ascii="Arial" w:hAnsi="Arial" w:cs="Arial"/>
          <w:sz w:val="20"/>
          <w:szCs w:val="20"/>
          <w:lang w:val="fr-CA"/>
        </w:rPr>
      </w:pPr>
    </w:p>
    <w:p w:rsidR="00807E0F" w:rsidRPr="00001E0D" w:rsidRDefault="00807E0F" w:rsidP="00807E0F">
      <w:pPr>
        <w:pStyle w:val="NormalWeb"/>
        <w:spacing w:before="0" w:beforeAutospacing="0" w:after="0" w:afterAutospacing="0"/>
        <w:rPr>
          <w:lang w:val="fr-CA"/>
        </w:rPr>
      </w:pPr>
      <w:r w:rsidRPr="003D7F73">
        <w:rPr>
          <w:lang w:val="fr-CA"/>
        </w:rPr>
        <w:t xml:space="preserve">Le poste de </w:t>
      </w:r>
      <w:r w:rsidR="00FD44B6">
        <w:rPr>
          <w:lang w:val="fr-CA"/>
        </w:rPr>
        <w:t>D</w:t>
      </w:r>
      <w:r w:rsidRPr="003D7F73">
        <w:rPr>
          <w:lang w:val="fr-CA"/>
        </w:rPr>
        <w:t xml:space="preserve">irecteur parlementaire du budget a été établi au sein de la Bibliothèque du Parlement au moyen de modifications à la </w:t>
      </w:r>
      <w:r w:rsidRPr="003D7F73">
        <w:rPr>
          <w:i/>
          <w:lang w:val="fr-CA"/>
        </w:rPr>
        <w:t>Loi sur le Parlement</w:t>
      </w:r>
      <w:r>
        <w:rPr>
          <w:lang w:val="fr-CA"/>
        </w:rPr>
        <w:t>.</w:t>
      </w:r>
    </w:p>
    <w:p w:rsidR="00807E0F" w:rsidRPr="00001E0D" w:rsidRDefault="00807E0F" w:rsidP="00807E0F">
      <w:pPr>
        <w:pStyle w:val="NormalWeb"/>
        <w:spacing w:before="0" w:beforeAutospacing="0" w:after="0" w:afterAutospacing="0"/>
        <w:rPr>
          <w:lang w:val="fr-CA"/>
        </w:rPr>
      </w:pPr>
    </w:p>
    <w:p w:rsidR="00807E0F" w:rsidRPr="00001E0D" w:rsidRDefault="00807E0F" w:rsidP="00807E0F">
      <w:pPr>
        <w:pStyle w:val="NormalWeb"/>
        <w:spacing w:before="0" w:beforeAutospacing="0" w:after="0" w:afterAutospacing="0"/>
        <w:rPr>
          <w:lang w:val="fr-CA"/>
        </w:rPr>
      </w:pPr>
      <w:r w:rsidRPr="003D7F73">
        <w:rPr>
          <w:lang w:val="fr-CA"/>
        </w:rPr>
        <w:t xml:space="preserve">Le </w:t>
      </w:r>
      <w:r w:rsidR="00FD44B6">
        <w:rPr>
          <w:lang w:val="fr-CA"/>
        </w:rPr>
        <w:t>D</w:t>
      </w:r>
      <w:r w:rsidRPr="003D7F73">
        <w:rPr>
          <w:lang w:val="fr-CA"/>
        </w:rPr>
        <w:t xml:space="preserve">irecteur parlementaire du budget a pour mandat de présenter au Parlement une analyse indépendante sur l’état des finances </w:t>
      </w:r>
      <w:r w:rsidR="00FD44B6">
        <w:rPr>
          <w:lang w:val="fr-CA"/>
        </w:rPr>
        <w:t>nationales</w:t>
      </w:r>
      <w:r w:rsidRPr="003D7F73">
        <w:rPr>
          <w:lang w:val="fr-CA"/>
        </w:rPr>
        <w:t>, le budget des dépenses du gouvernement, ainsi que les tendances de l’économie nationale; et, à la demande de tout comité parlementaire ou de tout parlementaire, de faire une estimation des coûts de toute proposition concernant des questions qui relèvent de la compétence du Parlement</w:t>
      </w:r>
      <w:r w:rsidRPr="00001E0D">
        <w:rPr>
          <w:lang w:val="fr-CA"/>
        </w:rPr>
        <w:t>.</w:t>
      </w:r>
    </w:p>
    <w:p w:rsidR="00807E0F" w:rsidRPr="00001E0D" w:rsidRDefault="00807E0F" w:rsidP="00807E0F">
      <w:pPr>
        <w:rPr>
          <w:rFonts w:ascii="Arial" w:hAnsi="Arial" w:cs="Arial"/>
          <w:sz w:val="20"/>
          <w:szCs w:val="20"/>
          <w:lang w:val="fr-CA"/>
        </w:rPr>
      </w:pPr>
    </w:p>
    <w:p w:rsidR="00807E0F" w:rsidRPr="00001E0D" w:rsidRDefault="00807E0F" w:rsidP="00807E0F">
      <w:pPr>
        <w:rPr>
          <w:rFonts w:ascii="Arial" w:hAnsi="Arial" w:cs="Arial"/>
          <w:b/>
          <w:sz w:val="20"/>
          <w:szCs w:val="20"/>
          <w:lang w:val="fr-CA"/>
        </w:rPr>
      </w:pPr>
      <w:r w:rsidRPr="00001E0D">
        <w:rPr>
          <w:rFonts w:ascii="Arial" w:hAnsi="Arial" w:cs="Arial"/>
          <w:b/>
          <w:sz w:val="20"/>
          <w:szCs w:val="20"/>
          <w:lang w:val="fr-CA"/>
        </w:rPr>
        <w:t xml:space="preserve">f) </w:t>
      </w:r>
      <w:r>
        <w:rPr>
          <w:rFonts w:ascii="Arial" w:hAnsi="Arial" w:cs="Arial"/>
          <w:b/>
          <w:sz w:val="20"/>
          <w:szCs w:val="20"/>
          <w:lang w:val="fr-CA"/>
        </w:rPr>
        <w:t xml:space="preserve">Bureau du vérificateur général </w:t>
      </w:r>
      <w:r w:rsidRPr="00001E0D">
        <w:rPr>
          <w:rFonts w:ascii="Arial" w:hAnsi="Arial" w:cs="Arial"/>
          <w:b/>
          <w:sz w:val="20"/>
          <w:szCs w:val="20"/>
          <w:lang w:val="fr-CA"/>
        </w:rPr>
        <w:t>:</w:t>
      </w:r>
    </w:p>
    <w:p w:rsidR="00807E0F" w:rsidRPr="00001E0D" w:rsidRDefault="00807E0F" w:rsidP="00807E0F">
      <w:pPr>
        <w:rPr>
          <w:rFonts w:ascii="Arial" w:hAnsi="Arial" w:cs="Arial"/>
          <w:sz w:val="20"/>
          <w:szCs w:val="20"/>
          <w:lang w:val="fr-CA"/>
        </w:rPr>
      </w:pPr>
    </w:p>
    <w:p w:rsidR="00807E0F" w:rsidRPr="00001E0D" w:rsidRDefault="00807E0F" w:rsidP="00807E0F">
      <w:pPr>
        <w:rPr>
          <w:rFonts w:ascii="Arial" w:hAnsi="Arial" w:cs="Arial"/>
          <w:sz w:val="20"/>
          <w:szCs w:val="20"/>
          <w:lang w:val="fr-CA"/>
        </w:rPr>
      </w:pPr>
      <w:r w:rsidRPr="00322B41">
        <w:rPr>
          <w:rFonts w:ascii="Arial" w:hAnsi="Arial" w:cs="Arial"/>
          <w:sz w:val="20"/>
          <w:szCs w:val="20"/>
          <w:lang w:val="fr-CA"/>
        </w:rPr>
        <w:t xml:space="preserve">Le Bureau du vérificateur général vérifie les activités du gouvernement fédéral et fournit au Parlement, de manière indépendante, de l’information, une assurance et des conseils pour aider le gouvernement à rendre compte de sa gestion des fonds publics. Il est chargé d’effectuer des vérifications et des études du rendement de </w:t>
      </w:r>
      <w:r w:rsidR="00B9516F">
        <w:rPr>
          <w:rFonts w:ascii="Arial" w:hAnsi="Arial" w:cs="Arial"/>
          <w:sz w:val="20"/>
          <w:szCs w:val="20"/>
          <w:lang w:val="fr-CA"/>
        </w:rPr>
        <w:t>ministère</w:t>
      </w:r>
      <w:r w:rsidRPr="00322B41">
        <w:rPr>
          <w:rFonts w:ascii="Arial" w:hAnsi="Arial" w:cs="Arial"/>
          <w:sz w:val="20"/>
          <w:szCs w:val="20"/>
          <w:lang w:val="fr-CA"/>
        </w:rPr>
        <w:t>s et d’organismes fédéraux. Il effectue des vérifications des états financiers (</w:t>
      </w:r>
      <w:r w:rsidR="00FD44B6">
        <w:rPr>
          <w:rFonts w:ascii="Arial" w:hAnsi="Arial" w:cs="Arial"/>
          <w:sz w:val="20"/>
          <w:szCs w:val="20"/>
          <w:lang w:val="fr-CA"/>
        </w:rPr>
        <w:t>C</w:t>
      </w:r>
      <w:r w:rsidRPr="00322B41">
        <w:rPr>
          <w:rFonts w:ascii="Arial" w:hAnsi="Arial" w:cs="Arial"/>
          <w:sz w:val="20"/>
          <w:szCs w:val="20"/>
          <w:lang w:val="fr-CA"/>
        </w:rPr>
        <w:t>omptes publics) du gouvernement ainsi que des examens spéciaux et des vérifications financières annuelles des sociétés d’État</w:t>
      </w:r>
      <w:r w:rsidRPr="00001E0D">
        <w:rPr>
          <w:rFonts w:ascii="Arial" w:hAnsi="Arial" w:cs="Arial"/>
          <w:sz w:val="20"/>
          <w:szCs w:val="20"/>
          <w:lang w:val="fr-CA"/>
        </w:rPr>
        <w:t>.</w:t>
      </w:r>
    </w:p>
    <w:p w:rsidR="00807E0F" w:rsidRDefault="00807E0F" w:rsidP="00807E0F">
      <w:pPr>
        <w:rPr>
          <w:rFonts w:ascii="Arial" w:hAnsi="Arial" w:cs="Arial"/>
          <w:sz w:val="20"/>
          <w:szCs w:val="20"/>
          <w:lang w:val="fr-CA"/>
        </w:rPr>
      </w:pPr>
    </w:p>
    <w:p w:rsidR="00807E0F" w:rsidRPr="00001E0D" w:rsidRDefault="00807E0F" w:rsidP="00807E0F">
      <w:pPr>
        <w:rPr>
          <w:rFonts w:ascii="Arial" w:hAnsi="Arial" w:cs="Arial"/>
          <w:b/>
          <w:sz w:val="20"/>
          <w:szCs w:val="20"/>
          <w:lang w:val="fr-CA"/>
        </w:rPr>
      </w:pPr>
      <w:r w:rsidRPr="00001E0D">
        <w:rPr>
          <w:rFonts w:ascii="Arial" w:hAnsi="Arial" w:cs="Arial"/>
          <w:b/>
          <w:sz w:val="20"/>
          <w:szCs w:val="20"/>
          <w:lang w:val="fr-CA"/>
        </w:rPr>
        <w:t xml:space="preserve">g) </w:t>
      </w:r>
      <w:r>
        <w:rPr>
          <w:rFonts w:ascii="Arial" w:hAnsi="Arial" w:cs="Arial"/>
          <w:b/>
          <w:sz w:val="20"/>
          <w:szCs w:val="20"/>
          <w:lang w:val="fr-CA"/>
        </w:rPr>
        <w:t xml:space="preserve">Bureau du contrôleur général </w:t>
      </w:r>
      <w:r w:rsidRPr="00001E0D">
        <w:rPr>
          <w:rFonts w:ascii="Arial" w:hAnsi="Arial" w:cs="Arial"/>
          <w:b/>
          <w:sz w:val="20"/>
          <w:szCs w:val="20"/>
          <w:lang w:val="fr-CA"/>
        </w:rPr>
        <w:t>:</w:t>
      </w:r>
    </w:p>
    <w:p w:rsidR="00807E0F" w:rsidRPr="00001E0D" w:rsidRDefault="00807E0F" w:rsidP="00807E0F">
      <w:pPr>
        <w:rPr>
          <w:rFonts w:ascii="Arial" w:hAnsi="Arial" w:cs="Arial"/>
          <w:sz w:val="20"/>
          <w:szCs w:val="20"/>
          <w:lang w:val="fr-CA"/>
        </w:rPr>
      </w:pPr>
    </w:p>
    <w:p w:rsidR="00807E0F" w:rsidRDefault="00807E0F" w:rsidP="00807E0F">
      <w:pPr>
        <w:rPr>
          <w:rFonts w:ascii="Arial" w:hAnsi="Arial" w:cs="Arial"/>
          <w:sz w:val="20"/>
          <w:szCs w:val="20"/>
          <w:lang w:val="fr-CA"/>
        </w:rPr>
      </w:pPr>
      <w:r w:rsidRPr="007A3BBB">
        <w:rPr>
          <w:rFonts w:ascii="Arial" w:hAnsi="Arial" w:cs="Arial"/>
          <w:sz w:val="20"/>
          <w:szCs w:val="20"/>
          <w:lang w:val="fr-CA"/>
        </w:rPr>
        <w:t>Le Bureau du contrôleur général</w:t>
      </w:r>
      <w:r w:rsidR="00FD44B6">
        <w:rPr>
          <w:rFonts w:ascii="Arial" w:hAnsi="Arial" w:cs="Arial"/>
          <w:sz w:val="20"/>
          <w:szCs w:val="20"/>
          <w:lang w:val="fr-CA"/>
        </w:rPr>
        <w:t xml:space="preserve"> (BDG)</w:t>
      </w:r>
      <w:r w:rsidRPr="007A3BBB">
        <w:rPr>
          <w:rFonts w:ascii="Arial" w:hAnsi="Arial" w:cs="Arial"/>
          <w:sz w:val="20"/>
          <w:szCs w:val="20"/>
          <w:lang w:val="fr-CA"/>
        </w:rPr>
        <w:t xml:space="preserve"> doit fournir une orientation fonctionnelle et une assurance, en matière de gestion financière</w:t>
      </w:r>
      <w:r>
        <w:rPr>
          <w:rFonts w:ascii="Arial" w:hAnsi="Arial" w:cs="Arial"/>
          <w:sz w:val="20"/>
          <w:szCs w:val="20"/>
          <w:lang w:val="fr-CA"/>
        </w:rPr>
        <w:t>,</w:t>
      </w:r>
      <w:r w:rsidRPr="007A3BBB">
        <w:rPr>
          <w:rFonts w:ascii="Arial" w:hAnsi="Arial" w:cs="Arial"/>
          <w:sz w:val="20"/>
          <w:szCs w:val="20"/>
          <w:lang w:val="fr-CA"/>
        </w:rPr>
        <w:t xml:space="preserve"> </w:t>
      </w:r>
      <w:r w:rsidR="00FD44B6">
        <w:rPr>
          <w:rFonts w:ascii="Arial" w:hAnsi="Arial" w:cs="Arial"/>
          <w:sz w:val="20"/>
          <w:szCs w:val="20"/>
          <w:lang w:val="fr-CA"/>
        </w:rPr>
        <w:t xml:space="preserve">de </w:t>
      </w:r>
      <w:r w:rsidRPr="007A3BBB">
        <w:rPr>
          <w:rFonts w:ascii="Arial" w:hAnsi="Arial" w:cs="Arial"/>
          <w:sz w:val="20"/>
          <w:szCs w:val="20"/>
          <w:lang w:val="fr-CA"/>
        </w:rPr>
        <w:t>vérification interne</w:t>
      </w:r>
      <w:r>
        <w:rPr>
          <w:rFonts w:ascii="Arial" w:hAnsi="Arial" w:cs="Arial"/>
          <w:sz w:val="20"/>
          <w:szCs w:val="20"/>
          <w:lang w:val="fr-CA"/>
        </w:rPr>
        <w:t>,</w:t>
      </w:r>
      <w:r w:rsidR="00FD44B6">
        <w:rPr>
          <w:rFonts w:ascii="Arial" w:hAnsi="Arial" w:cs="Arial"/>
          <w:sz w:val="20"/>
          <w:szCs w:val="20"/>
          <w:lang w:val="fr-CA"/>
        </w:rPr>
        <w:t xml:space="preserve"> de</w:t>
      </w:r>
      <w:r>
        <w:rPr>
          <w:rFonts w:ascii="Arial" w:hAnsi="Arial" w:cs="Arial"/>
          <w:sz w:val="20"/>
          <w:szCs w:val="20"/>
          <w:lang w:val="fr-CA"/>
        </w:rPr>
        <w:t xml:space="preserve"> planification des investissements,</w:t>
      </w:r>
      <w:r w:rsidR="00FD44B6">
        <w:rPr>
          <w:rFonts w:ascii="Arial" w:hAnsi="Arial" w:cs="Arial"/>
          <w:sz w:val="20"/>
          <w:szCs w:val="20"/>
          <w:lang w:val="fr-CA"/>
        </w:rPr>
        <w:t xml:space="preserve"> de</w:t>
      </w:r>
      <w:r>
        <w:rPr>
          <w:rFonts w:ascii="Arial" w:hAnsi="Arial" w:cs="Arial"/>
          <w:sz w:val="20"/>
          <w:szCs w:val="20"/>
          <w:lang w:val="fr-CA"/>
        </w:rPr>
        <w:t xml:space="preserve"> l’approvisionnement, </w:t>
      </w:r>
      <w:r w:rsidR="00FD44B6">
        <w:rPr>
          <w:rFonts w:ascii="Arial" w:hAnsi="Arial" w:cs="Arial"/>
          <w:sz w:val="20"/>
          <w:szCs w:val="20"/>
          <w:lang w:val="fr-CA"/>
        </w:rPr>
        <w:t xml:space="preserve">de </w:t>
      </w:r>
      <w:r>
        <w:rPr>
          <w:rFonts w:ascii="Arial" w:hAnsi="Arial" w:cs="Arial"/>
          <w:sz w:val="20"/>
          <w:szCs w:val="20"/>
          <w:lang w:val="fr-CA"/>
        </w:rPr>
        <w:t>la gestion de projet et la gestion des biens immobiliers et du matériel dans à l’échelle du gouvernement fédéral</w:t>
      </w:r>
      <w:r w:rsidRPr="007A3BBB">
        <w:rPr>
          <w:rFonts w:ascii="Arial" w:hAnsi="Arial" w:cs="Arial"/>
          <w:sz w:val="20"/>
          <w:szCs w:val="20"/>
          <w:lang w:val="fr-CA"/>
        </w:rPr>
        <w:t xml:space="preserve">. </w:t>
      </w:r>
    </w:p>
    <w:p w:rsidR="00807E0F" w:rsidRDefault="00807E0F" w:rsidP="00807E0F">
      <w:pPr>
        <w:rPr>
          <w:rFonts w:ascii="Arial" w:hAnsi="Arial" w:cs="Arial"/>
          <w:sz w:val="20"/>
          <w:szCs w:val="20"/>
          <w:lang w:val="fr-CA"/>
        </w:rPr>
      </w:pPr>
    </w:p>
    <w:p w:rsidR="00807E0F" w:rsidRPr="007A3BBB" w:rsidRDefault="00807E0F" w:rsidP="00807E0F">
      <w:pPr>
        <w:rPr>
          <w:rFonts w:ascii="Arial" w:hAnsi="Arial" w:cs="Arial"/>
          <w:sz w:val="20"/>
          <w:szCs w:val="20"/>
          <w:lang w:val="fr-CA"/>
        </w:rPr>
      </w:pPr>
      <w:r>
        <w:rPr>
          <w:rFonts w:ascii="Arial" w:hAnsi="Arial" w:cs="Arial"/>
          <w:sz w:val="20"/>
          <w:szCs w:val="20"/>
          <w:lang w:val="fr-CA"/>
        </w:rPr>
        <w:t xml:space="preserve">Le BCG soutient le </w:t>
      </w:r>
      <w:r w:rsidR="00FD44B6">
        <w:rPr>
          <w:rFonts w:ascii="Arial" w:hAnsi="Arial" w:cs="Arial"/>
          <w:sz w:val="20"/>
          <w:szCs w:val="20"/>
          <w:lang w:val="fr-CA"/>
        </w:rPr>
        <w:t>C</w:t>
      </w:r>
      <w:r>
        <w:rPr>
          <w:rFonts w:ascii="Arial" w:hAnsi="Arial" w:cs="Arial"/>
          <w:sz w:val="20"/>
          <w:szCs w:val="20"/>
          <w:lang w:val="fr-CA"/>
        </w:rPr>
        <w:t xml:space="preserve">ontrôleur général du Canada en ce qui concerne la mise en place de politiques, de normes et de pratiques </w:t>
      </w:r>
      <w:r w:rsidR="00FD44B6">
        <w:rPr>
          <w:rFonts w:ascii="Arial" w:hAnsi="Arial" w:cs="Arial"/>
          <w:sz w:val="20"/>
          <w:szCs w:val="20"/>
          <w:lang w:val="fr-CA"/>
        </w:rPr>
        <w:t>judicieuses, la supervision de la performance</w:t>
      </w:r>
      <w:r>
        <w:rPr>
          <w:rFonts w:ascii="Arial" w:hAnsi="Arial" w:cs="Arial"/>
          <w:sz w:val="20"/>
          <w:szCs w:val="20"/>
          <w:lang w:val="fr-CA"/>
        </w:rPr>
        <w:t xml:space="preserve"> et de la conformité dans l’ensemble du gouvernement et le maintien et </w:t>
      </w:r>
      <w:r w:rsidR="00FD44B6">
        <w:rPr>
          <w:rFonts w:ascii="Arial" w:hAnsi="Arial" w:cs="Arial"/>
          <w:sz w:val="20"/>
          <w:szCs w:val="20"/>
          <w:lang w:val="fr-CA"/>
        </w:rPr>
        <w:t>le développement</w:t>
      </w:r>
      <w:r>
        <w:rPr>
          <w:rFonts w:ascii="Arial" w:hAnsi="Arial" w:cs="Arial"/>
          <w:sz w:val="20"/>
          <w:szCs w:val="20"/>
          <w:lang w:val="fr-CA"/>
        </w:rPr>
        <w:t xml:space="preserve"> de communautés professionnelles dynamiques grâce à une série d’activités de recrutement et de développement. </w:t>
      </w:r>
    </w:p>
    <w:p w:rsidR="00807E0F" w:rsidRDefault="00807E0F" w:rsidP="00807E0F">
      <w:pPr>
        <w:ind w:left="454"/>
        <w:rPr>
          <w:rFonts w:ascii="Arial" w:hAnsi="Arial" w:cs="Arial"/>
          <w:sz w:val="20"/>
          <w:szCs w:val="20"/>
          <w:lang w:val="fr-CA"/>
        </w:rPr>
      </w:pPr>
    </w:p>
    <w:p w:rsidR="00807E0F" w:rsidRDefault="00807E0F" w:rsidP="00807E0F">
      <w:pPr>
        <w:ind w:left="454"/>
        <w:rPr>
          <w:rFonts w:ascii="Arial" w:hAnsi="Arial" w:cs="Arial"/>
          <w:sz w:val="20"/>
          <w:szCs w:val="20"/>
          <w:lang w:val="fr-CA"/>
        </w:rPr>
      </w:pPr>
    </w:p>
    <w:p w:rsidR="00807E0F" w:rsidRPr="00001E0D" w:rsidRDefault="00807E0F" w:rsidP="00807E0F">
      <w:pPr>
        <w:pStyle w:val="Heading2"/>
        <w:rPr>
          <w:lang w:val="fr-CA"/>
        </w:rPr>
      </w:pPr>
      <w:bookmarkStart w:id="105" w:name="_Annex_D:_"/>
      <w:bookmarkStart w:id="106" w:name="_Toc299694692"/>
      <w:bookmarkStart w:id="107" w:name="_Toc485812748"/>
      <w:bookmarkEnd w:id="105"/>
      <w:r w:rsidRPr="00001E0D">
        <w:rPr>
          <w:lang w:val="fr-CA"/>
        </w:rPr>
        <w:lastRenderedPageBreak/>
        <w:t>Annex</w:t>
      </w:r>
      <w:r>
        <w:rPr>
          <w:lang w:val="fr-CA"/>
        </w:rPr>
        <w:t>e</w:t>
      </w:r>
      <w:r w:rsidRPr="00001E0D">
        <w:rPr>
          <w:lang w:val="fr-CA"/>
        </w:rPr>
        <w:t xml:space="preserve"> D</w:t>
      </w:r>
      <w:r>
        <w:rPr>
          <w:lang w:val="fr-CA"/>
        </w:rPr>
        <w:t> </w:t>
      </w:r>
      <w:r w:rsidRPr="00001E0D">
        <w:rPr>
          <w:lang w:val="fr-CA"/>
        </w:rPr>
        <w:t xml:space="preserve">: </w:t>
      </w:r>
      <w:bookmarkEnd w:id="106"/>
      <w:r>
        <w:rPr>
          <w:lang w:val="fr-CA"/>
        </w:rPr>
        <w:t>Comités ministériels d’EDSC</w:t>
      </w:r>
      <w:bookmarkEnd w:id="107"/>
    </w:p>
    <w:p w:rsidR="00807E0F" w:rsidRDefault="00807E0F" w:rsidP="00807E0F">
      <w:pPr>
        <w:rPr>
          <w:lang w:val="fr-CA"/>
        </w:rPr>
      </w:pPr>
    </w:p>
    <w:p w:rsidR="00807E0F" w:rsidRPr="00F6757A" w:rsidRDefault="00807E0F" w:rsidP="00807E0F">
      <w:pPr>
        <w:rPr>
          <w:rFonts w:ascii="Arial" w:hAnsi="Arial"/>
          <w:sz w:val="20"/>
          <w:lang w:val="fr-CA"/>
        </w:rPr>
      </w:pPr>
      <w:r w:rsidRPr="00F6757A">
        <w:rPr>
          <w:rFonts w:ascii="Arial" w:hAnsi="Arial"/>
          <w:sz w:val="20"/>
          <w:lang w:val="fr-CA"/>
        </w:rPr>
        <w:t xml:space="preserve">La structure de gouvernance du portefeuille d’Emploi et développement social (EDS) compte plusieurs </w:t>
      </w:r>
      <w:hyperlink r:id="rId55" w:history="1">
        <w:r w:rsidRPr="009A73D2">
          <w:rPr>
            <w:rStyle w:val="Hyperlink"/>
            <w:rFonts w:ascii="Arial" w:hAnsi="Arial"/>
            <w:sz w:val="20"/>
            <w:lang w:val="fr-CA"/>
          </w:rPr>
          <w:t>comités exécutifs</w:t>
        </w:r>
      </w:hyperlink>
      <w:r w:rsidRPr="00F6757A">
        <w:rPr>
          <w:rFonts w:ascii="Arial" w:hAnsi="Arial"/>
          <w:sz w:val="20"/>
          <w:lang w:val="fr-CA"/>
        </w:rPr>
        <w:t xml:space="preserve"> qui jouent un rôle clé dans le soutien du mandat législatif et des priorités en matière de politique, de programme et de prestation de services du portefeuille. En plus de soutenir la prise de décision, ces comités fournissent un lieu</w:t>
      </w:r>
      <w:r w:rsidR="00FD44B6">
        <w:rPr>
          <w:rFonts w:ascii="Arial" w:hAnsi="Arial"/>
          <w:sz w:val="20"/>
          <w:lang w:val="fr-CA"/>
        </w:rPr>
        <w:t xml:space="preserve">  pour assurer l’utilisation d’</w:t>
      </w:r>
      <w:r w:rsidRPr="00F6757A">
        <w:rPr>
          <w:rFonts w:ascii="Arial" w:hAnsi="Arial"/>
          <w:sz w:val="20"/>
          <w:lang w:val="fr-CA"/>
        </w:rPr>
        <w:t>approches horizontales et la coordination des activités pour l’ensemble du portefeuille.</w:t>
      </w:r>
    </w:p>
    <w:p w:rsidR="00807E0F" w:rsidRPr="00001E0D" w:rsidRDefault="00807E0F" w:rsidP="00807E0F">
      <w:pPr>
        <w:rPr>
          <w:rFonts w:ascii="Arial" w:hAnsi="Arial"/>
          <w:sz w:val="20"/>
          <w:lang w:val="fr-CA"/>
        </w:rPr>
      </w:pPr>
    </w:p>
    <w:p w:rsidR="00807E0F" w:rsidRDefault="00807E0F" w:rsidP="00807E0F">
      <w:pPr>
        <w:rPr>
          <w:rFonts w:ascii="Arial" w:hAnsi="Arial"/>
          <w:b/>
          <w:sz w:val="20"/>
          <w:lang w:val="fr-CA"/>
        </w:rPr>
      </w:pPr>
      <w:r w:rsidRPr="00001E0D">
        <w:rPr>
          <w:rFonts w:ascii="Arial" w:hAnsi="Arial"/>
          <w:b/>
          <w:sz w:val="20"/>
          <w:lang w:val="fr-CA"/>
        </w:rPr>
        <w:t xml:space="preserve">a) </w:t>
      </w:r>
      <w:r>
        <w:rPr>
          <w:rFonts w:ascii="Arial" w:hAnsi="Arial"/>
          <w:b/>
          <w:sz w:val="20"/>
          <w:lang w:val="fr-CA"/>
        </w:rPr>
        <w:t>Comité directeur du Conseil de gestion du portefeuille (CDCGP)</w:t>
      </w:r>
    </w:p>
    <w:p w:rsidR="00807E0F" w:rsidRDefault="00807E0F" w:rsidP="00807E0F">
      <w:pPr>
        <w:rPr>
          <w:rFonts w:ascii="Arial" w:hAnsi="Arial"/>
          <w:b/>
          <w:sz w:val="20"/>
          <w:lang w:val="fr-CA"/>
        </w:rPr>
      </w:pPr>
    </w:p>
    <w:p w:rsidR="00807E0F" w:rsidRDefault="00807E0F" w:rsidP="00807E0F">
      <w:pPr>
        <w:rPr>
          <w:rFonts w:ascii="Arial" w:hAnsi="Arial"/>
          <w:sz w:val="20"/>
          <w:lang w:val="fr-CA"/>
        </w:rPr>
      </w:pPr>
      <w:r w:rsidRPr="00D81C37">
        <w:rPr>
          <w:rFonts w:ascii="Arial" w:hAnsi="Arial"/>
          <w:sz w:val="20"/>
          <w:lang w:val="fr-CA"/>
        </w:rPr>
        <w:t>Le Comité directeur du Conseil de gestion du portefeuille (</w:t>
      </w:r>
      <w:r w:rsidR="00FD44B6">
        <w:rPr>
          <w:rFonts w:ascii="Arial" w:hAnsi="Arial"/>
          <w:sz w:val="20"/>
          <w:lang w:val="fr-CA"/>
        </w:rPr>
        <w:t>CD</w:t>
      </w:r>
      <w:r w:rsidRPr="00D81C37">
        <w:rPr>
          <w:rFonts w:ascii="Arial" w:hAnsi="Arial"/>
          <w:sz w:val="20"/>
          <w:lang w:val="fr-CA"/>
        </w:rPr>
        <w:t xml:space="preserve">CGP) est, de facto, le comité du risque du </w:t>
      </w:r>
      <w:r w:rsidR="00A65707">
        <w:rPr>
          <w:rFonts w:ascii="Arial" w:hAnsi="Arial"/>
          <w:sz w:val="20"/>
          <w:lang w:val="fr-CA"/>
        </w:rPr>
        <w:t>ministère</w:t>
      </w:r>
      <w:r w:rsidRPr="00D81C37">
        <w:rPr>
          <w:rFonts w:ascii="Arial" w:hAnsi="Arial"/>
          <w:sz w:val="20"/>
          <w:lang w:val="fr-CA"/>
        </w:rPr>
        <w:t xml:space="preserve"> qui supervise les principales initiatives de transformation du </w:t>
      </w:r>
      <w:r w:rsidR="00A65707">
        <w:rPr>
          <w:rFonts w:ascii="Arial" w:hAnsi="Arial"/>
          <w:sz w:val="20"/>
          <w:lang w:val="fr-CA"/>
        </w:rPr>
        <w:t>ministère</w:t>
      </w:r>
      <w:r w:rsidRPr="00D81C37">
        <w:rPr>
          <w:rFonts w:ascii="Arial" w:hAnsi="Arial"/>
          <w:sz w:val="20"/>
          <w:lang w:val="fr-CA"/>
        </w:rPr>
        <w:t xml:space="preserve"> jugées à haut risque et ayant des incidences concrètes et vastes pour le portefeuille.</w:t>
      </w:r>
    </w:p>
    <w:p w:rsidR="00807E0F" w:rsidRPr="00D81C37" w:rsidRDefault="00807E0F" w:rsidP="00807E0F">
      <w:pPr>
        <w:rPr>
          <w:rFonts w:ascii="Arial" w:hAnsi="Arial"/>
          <w:sz w:val="20"/>
          <w:lang w:val="fr-CA"/>
        </w:rPr>
      </w:pPr>
    </w:p>
    <w:p w:rsidR="00807E0F" w:rsidRDefault="00807E0F" w:rsidP="00807E0F">
      <w:pPr>
        <w:rPr>
          <w:rFonts w:ascii="Arial" w:hAnsi="Arial"/>
          <w:b/>
          <w:sz w:val="20"/>
          <w:lang w:val="fr-CA"/>
        </w:rPr>
      </w:pPr>
    </w:p>
    <w:p w:rsidR="00807E0F" w:rsidRPr="00001E0D" w:rsidRDefault="00807E0F" w:rsidP="00807E0F">
      <w:pPr>
        <w:rPr>
          <w:rFonts w:ascii="Arial" w:hAnsi="Arial"/>
          <w:b/>
          <w:sz w:val="20"/>
          <w:lang w:val="fr-CA"/>
        </w:rPr>
      </w:pPr>
      <w:r>
        <w:rPr>
          <w:rFonts w:ascii="Arial" w:hAnsi="Arial"/>
          <w:b/>
          <w:sz w:val="20"/>
          <w:lang w:val="fr-CA"/>
        </w:rPr>
        <w:t>b) Comité de gestion du portefeuille</w:t>
      </w:r>
      <w:r w:rsidRPr="00001E0D">
        <w:rPr>
          <w:rFonts w:ascii="Arial" w:hAnsi="Arial"/>
          <w:b/>
          <w:sz w:val="20"/>
          <w:lang w:val="fr-CA"/>
        </w:rPr>
        <w:t xml:space="preserve"> (</w:t>
      </w:r>
      <w:r>
        <w:rPr>
          <w:rFonts w:ascii="Arial" w:hAnsi="Arial"/>
          <w:b/>
          <w:sz w:val="20"/>
          <w:lang w:val="fr-CA"/>
        </w:rPr>
        <w:t>CGP</w:t>
      </w:r>
      <w:r w:rsidRPr="00001E0D">
        <w:rPr>
          <w:rFonts w:ascii="Arial" w:hAnsi="Arial"/>
          <w:b/>
          <w:sz w:val="20"/>
          <w:lang w:val="fr-CA"/>
        </w:rPr>
        <w:t>)</w:t>
      </w:r>
    </w:p>
    <w:p w:rsidR="00807E0F" w:rsidRPr="00001E0D" w:rsidRDefault="00807E0F" w:rsidP="00807E0F">
      <w:pPr>
        <w:rPr>
          <w:rFonts w:ascii="Arial" w:hAnsi="Arial"/>
          <w:sz w:val="20"/>
          <w:lang w:val="fr-CA"/>
        </w:rPr>
      </w:pPr>
    </w:p>
    <w:p w:rsidR="00807E0F" w:rsidRPr="000963CE" w:rsidRDefault="00807E0F" w:rsidP="00807E0F">
      <w:pPr>
        <w:rPr>
          <w:rFonts w:ascii="Arial" w:hAnsi="Arial"/>
          <w:sz w:val="20"/>
          <w:lang w:val="fr-CA"/>
        </w:rPr>
      </w:pPr>
      <w:r w:rsidRPr="00D5283B">
        <w:rPr>
          <w:rFonts w:ascii="Arial" w:hAnsi="Arial"/>
          <w:sz w:val="20"/>
          <w:lang w:val="fr-CA"/>
        </w:rPr>
        <w:t xml:space="preserve">Le </w:t>
      </w:r>
      <w:r>
        <w:rPr>
          <w:rFonts w:ascii="Arial" w:hAnsi="Arial"/>
          <w:sz w:val="20"/>
          <w:lang w:val="fr-CA"/>
        </w:rPr>
        <w:t>Comité</w:t>
      </w:r>
      <w:r w:rsidRPr="00D5283B">
        <w:rPr>
          <w:rFonts w:ascii="Arial" w:hAnsi="Arial"/>
          <w:sz w:val="20"/>
          <w:lang w:val="fr-CA"/>
        </w:rPr>
        <w:t xml:space="preserve"> de gestion du portefeuille (CGP) agit comme principal organisme décisionnel du portefeuille (EDSC, </w:t>
      </w:r>
      <w:r w:rsidRPr="007A3BBB">
        <w:rPr>
          <w:rFonts w:ascii="Arial" w:hAnsi="Arial"/>
          <w:sz w:val="20"/>
          <w:lang w:val="fr-CA"/>
        </w:rPr>
        <w:t>Programme du travail et Service Canada) en effectuant les tâches suivantes </w:t>
      </w:r>
      <w:r w:rsidRPr="000963CE">
        <w:rPr>
          <w:rFonts w:ascii="Arial" w:hAnsi="Arial"/>
          <w:sz w:val="20"/>
          <w:lang w:val="fr-CA"/>
        </w:rPr>
        <w:t>:</w:t>
      </w:r>
    </w:p>
    <w:p w:rsidR="00807E0F" w:rsidRPr="00B5239D" w:rsidRDefault="00807E0F" w:rsidP="00807E0F">
      <w:pPr>
        <w:rPr>
          <w:rFonts w:ascii="Arial" w:hAnsi="Arial"/>
          <w:sz w:val="20"/>
          <w:lang w:val="fr-CA"/>
        </w:rPr>
      </w:pPr>
    </w:p>
    <w:p w:rsidR="00807E0F" w:rsidRPr="007A3BBB" w:rsidRDefault="00807E0F" w:rsidP="00807E0F">
      <w:pPr>
        <w:numPr>
          <w:ilvl w:val="0"/>
          <w:numId w:val="18"/>
        </w:numPr>
        <w:rPr>
          <w:rFonts w:ascii="Arial" w:hAnsi="Arial"/>
          <w:sz w:val="20"/>
          <w:lang w:val="fr-CA"/>
        </w:rPr>
      </w:pPr>
      <w:r w:rsidRPr="007A3BBB">
        <w:rPr>
          <w:rFonts w:ascii="Arial" w:hAnsi="Arial"/>
          <w:sz w:val="20"/>
          <w:lang w:val="fr-CA"/>
        </w:rPr>
        <w:t>déterminer les orientations et priorités stratégiques;</w:t>
      </w:r>
    </w:p>
    <w:p w:rsidR="00807E0F" w:rsidRPr="007A3BBB" w:rsidRDefault="00807E0F" w:rsidP="00807E0F">
      <w:pPr>
        <w:numPr>
          <w:ilvl w:val="0"/>
          <w:numId w:val="18"/>
        </w:numPr>
        <w:rPr>
          <w:rFonts w:ascii="Arial" w:hAnsi="Arial"/>
          <w:sz w:val="20"/>
          <w:lang w:val="fr-CA"/>
        </w:rPr>
      </w:pPr>
      <w:r w:rsidRPr="007A3BBB">
        <w:rPr>
          <w:rFonts w:ascii="Arial" w:hAnsi="Arial"/>
          <w:sz w:val="20"/>
          <w:lang w:val="fr-CA"/>
        </w:rPr>
        <w:t>approuver les plans et les stratégies touchant l’ensemble du portefeuille;</w:t>
      </w:r>
    </w:p>
    <w:p w:rsidR="00807E0F" w:rsidRPr="007A3BBB" w:rsidRDefault="00807E0F" w:rsidP="00807E0F">
      <w:pPr>
        <w:numPr>
          <w:ilvl w:val="0"/>
          <w:numId w:val="18"/>
        </w:numPr>
        <w:rPr>
          <w:rFonts w:ascii="Arial" w:hAnsi="Arial"/>
          <w:color w:val="000000" w:themeColor="text1"/>
          <w:sz w:val="20"/>
          <w:lang w:val="fr-CA"/>
        </w:rPr>
      </w:pPr>
      <w:r w:rsidRPr="007A3BBB">
        <w:rPr>
          <w:rFonts w:ascii="Arial" w:hAnsi="Arial"/>
          <w:sz w:val="20"/>
          <w:lang w:val="fr-CA"/>
        </w:rPr>
        <w:t>prendre des décisions au sujet de questions stratégiques qui concernent le portefeuille dans son ensemble</w:t>
      </w:r>
      <w:r w:rsidRPr="007A3BBB">
        <w:rPr>
          <w:rFonts w:ascii="Arial" w:hAnsi="Arial"/>
          <w:color w:val="000000" w:themeColor="text1"/>
          <w:sz w:val="20"/>
          <w:lang w:val="fr-CA"/>
        </w:rPr>
        <w:t>.</w:t>
      </w:r>
    </w:p>
    <w:p w:rsidR="00807E0F" w:rsidRDefault="00807E0F" w:rsidP="00807E0F">
      <w:pPr>
        <w:rPr>
          <w:rFonts w:ascii="Arial" w:hAnsi="Arial"/>
          <w:b/>
          <w:color w:val="000000" w:themeColor="text1"/>
          <w:sz w:val="20"/>
          <w:lang w:val="fr-CA"/>
        </w:rPr>
      </w:pPr>
    </w:p>
    <w:p w:rsidR="00807E0F" w:rsidRPr="00F6757A" w:rsidRDefault="00807E0F" w:rsidP="00807E0F">
      <w:pPr>
        <w:rPr>
          <w:rFonts w:ascii="Arial" w:hAnsi="Arial"/>
          <w:sz w:val="20"/>
          <w:lang w:val="fr-CA"/>
        </w:rPr>
      </w:pPr>
      <w:r w:rsidRPr="00F6757A">
        <w:rPr>
          <w:rFonts w:ascii="Arial" w:hAnsi="Arial"/>
          <w:sz w:val="20"/>
          <w:lang w:val="fr-CA"/>
        </w:rPr>
        <w:t xml:space="preserve">En outre, le CGP agit à titre de véhicule clé du portefeuille pour le partage de l’information, la consultation et la collaboration au niveau du </w:t>
      </w:r>
      <w:r w:rsidR="00FD44B6">
        <w:rPr>
          <w:rFonts w:ascii="Arial" w:hAnsi="Arial"/>
          <w:sz w:val="20"/>
          <w:lang w:val="fr-CA"/>
        </w:rPr>
        <w:t>Sous-ministre et des S</w:t>
      </w:r>
      <w:r w:rsidRPr="00F6757A">
        <w:rPr>
          <w:rFonts w:ascii="Arial" w:hAnsi="Arial"/>
          <w:sz w:val="20"/>
          <w:lang w:val="fr-CA"/>
        </w:rPr>
        <w:t>ous-ministre</w:t>
      </w:r>
      <w:r w:rsidR="00FD44B6">
        <w:rPr>
          <w:rFonts w:ascii="Arial" w:hAnsi="Arial"/>
          <w:sz w:val="20"/>
          <w:lang w:val="fr-CA"/>
        </w:rPr>
        <w:t>s</w:t>
      </w:r>
      <w:r w:rsidRPr="00F6757A">
        <w:rPr>
          <w:rFonts w:ascii="Arial" w:hAnsi="Arial"/>
          <w:sz w:val="20"/>
          <w:lang w:val="fr-CA"/>
        </w:rPr>
        <w:t xml:space="preserve"> adjoint</w:t>
      </w:r>
      <w:r w:rsidR="00FD44B6">
        <w:rPr>
          <w:rFonts w:ascii="Arial" w:hAnsi="Arial"/>
          <w:sz w:val="20"/>
          <w:lang w:val="fr-CA"/>
        </w:rPr>
        <w:t>s</w:t>
      </w:r>
      <w:r w:rsidRPr="00F6757A">
        <w:rPr>
          <w:rFonts w:ascii="Arial" w:hAnsi="Arial"/>
          <w:sz w:val="20"/>
          <w:lang w:val="fr-CA"/>
        </w:rPr>
        <w:t>.</w:t>
      </w:r>
    </w:p>
    <w:p w:rsidR="00807E0F" w:rsidRDefault="00807E0F" w:rsidP="00807E0F">
      <w:pPr>
        <w:rPr>
          <w:rFonts w:ascii="Arial" w:hAnsi="Arial"/>
          <w:b/>
          <w:color w:val="000000" w:themeColor="text1"/>
          <w:sz w:val="20"/>
          <w:lang w:val="fr-CA"/>
        </w:rPr>
      </w:pPr>
      <w:r>
        <w:rPr>
          <w:rFonts w:ascii="Arial" w:hAnsi="Arial"/>
          <w:b/>
          <w:color w:val="000000" w:themeColor="text1"/>
          <w:sz w:val="20"/>
          <w:lang w:val="fr-CA"/>
        </w:rPr>
        <w:t xml:space="preserve"> </w:t>
      </w:r>
    </w:p>
    <w:p w:rsidR="00807E0F" w:rsidRDefault="00807E0F" w:rsidP="00807E0F">
      <w:pPr>
        <w:spacing w:before="120"/>
        <w:rPr>
          <w:rFonts w:ascii="Arial" w:hAnsi="Arial"/>
          <w:b/>
          <w:color w:val="000000" w:themeColor="text1"/>
          <w:sz w:val="20"/>
          <w:lang w:val="fr-CA"/>
        </w:rPr>
      </w:pPr>
      <w:r>
        <w:rPr>
          <w:rFonts w:ascii="Arial" w:hAnsi="Arial"/>
          <w:b/>
          <w:color w:val="000000" w:themeColor="text1"/>
          <w:sz w:val="20"/>
          <w:lang w:val="fr-CA"/>
        </w:rPr>
        <w:t>c</w:t>
      </w:r>
      <w:r w:rsidRPr="00D81C37">
        <w:rPr>
          <w:rFonts w:ascii="Arial" w:hAnsi="Arial"/>
          <w:b/>
          <w:color w:val="000000" w:themeColor="text1"/>
          <w:sz w:val="20"/>
          <w:lang w:val="fr-CA"/>
        </w:rPr>
        <w:t>) Comité ministériel de vérification (CMV)</w:t>
      </w:r>
    </w:p>
    <w:p w:rsidR="00807E0F" w:rsidRDefault="00807E0F" w:rsidP="00807E0F">
      <w:pPr>
        <w:spacing w:before="120"/>
        <w:rPr>
          <w:rFonts w:ascii="Arial" w:hAnsi="Arial"/>
          <w:b/>
          <w:color w:val="000000" w:themeColor="text1"/>
          <w:sz w:val="20"/>
          <w:lang w:val="fr-CA"/>
        </w:rPr>
      </w:pPr>
    </w:p>
    <w:p w:rsidR="00807E0F" w:rsidRPr="009D5C39" w:rsidRDefault="00807E0F" w:rsidP="00807E0F">
      <w:pPr>
        <w:rPr>
          <w:rFonts w:ascii="Arial" w:hAnsi="Arial"/>
          <w:sz w:val="20"/>
          <w:lang w:val="fr-CA"/>
        </w:rPr>
      </w:pPr>
      <w:r w:rsidRPr="009D5C39">
        <w:rPr>
          <w:rFonts w:ascii="Arial" w:hAnsi="Arial"/>
          <w:sz w:val="20"/>
          <w:lang w:val="fr-CA"/>
        </w:rPr>
        <w:t>Le CMV est une ressource stratégique qui fournit des conseils objectifs et</w:t>
      </w:r>
      <w:r>
        <w:rPr>
          <w:rFonts w:ascii="Arial" w:hAnsi="Arial"/>
          <w:sz w:val="20"/>
          <w:lang w:val="fr-CA"/>
        </w:rPr>
        <w:t xml:space="preserve"> </w:t>
      </w:r>
      <w:r w:rsidRPr="009D5C39">
        <w:rPr>
          <w:rFonts w:ascii="Arial" w:hAnsi="Arial"/>
          <w:sz w:val="20"/>
          <w:lang w:val="fr-CA"/>
        </w:rPr>
        <w:t>des recommandations au S</w:t>
      </w:r>
      <w:r w:rsidR="00FD44B6">
        <w:rPr>
          <w:rFonts w:ascii="Arial" w:hAnsi="Arial"/>
          <w:sz w:val="20"/>
          <w:lang w:val="fr-CA"/>
        </w:rPr>
        <w:t>ous-ministre</w:t>
      </w:r>
      <w:r w:rsidRPr="009D5C39">
        <w:rPr>
          <w:rFonts w:ascii="Arial" w:hAnsi="Arial"/>
          <w:sz w:val="20"/>
          <w:lang w:val="fr-CA"/>
        </w:rPr>
        <w:t xml:space="preserve"> sur la suffisance, la qualité et l'assurance de la pertinence</w:t>
      </w:r>
      <w:r>
        <w:rPr>
          <w:rFonts w:ascii="Arial" w:hAnsi="Arial"/>
          <w:sz w:val="20"/>
          <w:lang w:val="fr-CA"/>
        </w:rPr>
        <w:t xml:space="preserve"> </w:t>
      </w:r>
      <w:r w:rsidRPr="009D5C39">
        <w:rPr>
          <w:rFonts w:ascii="Arial" w:hAnsi="Arial"/>
          <w:sz w:val="20"/>
          <w:lang w:val="fr-CA"/>
        </w:rPr>
        <w:t>et du fonctionnement de la gestion des risques et des cadres et processus de contrôle</w:t>
      </w:r>
      <w:r>
        <w:rPr>
          <w:rFonts w:ascii="Arial" w:hAnsi="Arial"/>
          <w:sz w:val="20"/>
          <w:lang w:val="fr-CA"/>
        </w:rPr>
        <w:t xml:space="preserve"> </w:t>
      </w:r>
      <w:r w:rsidRPr="009D5C39">
        <w:rPr>
          <w:rFonts w:ascii="Arial" w:hAnsi="Arial"/>
          <w:sz w:val="20"/>
          <w:lang w:val="fr-CA"/>
        </w:rPr>
        <w:t xml:space="preserve">et de gouvernance du </w:t>
      </w:r>
      <w:r w:rsidR="00A65707">
        <w:rPr>
          <w:rFonts w:ascii="Arial" w:hAnsi="Arial"/>
          <w:sz w:val="20"/>
          <w:lang w:val="fr-CA"/>
        </w:rPr>
        <w:t>ministère</w:t>
      </w:r>
      <w:r w:rsidRPr="009D5C39">
        <w:rPr>
          <w:rFonts w:ascii="Arial" w:hAnsi="Arial"/>
          <w:sz w:val="20"/>
          <w:lang w:val="fr-CA"/>
        </w:rPr>
        <w:t>, y compris les systèmes de</w:t>
      </w:r>
      <w:r>
        <w:rPr>
          <w:rFonts w:ascii="Arial" w:hAnsi="Arial"/>
          <w:sz w:val="20"/>
          <w:lang w:val="fr-CA"/>
        </w:rPr>
        <w:t xml:space="preserve"> </w:t>
      </w:r>
      <w:r w:rsidRPr="009D5C39">
        <w:rPr>
          <w:rFonts w:ascii="Arial" w:hAnsi="Arial"/>
          <w:sz w:val="20"/>
          <w:lang w:val="fr-CA"/>
        </w:rPr>
        <w:t>responsabilisation et de</w:t>
      </w:r>
      <w:r>
        <w:rPr>
          <w:rFonts w:ascii="Arial" w:hAnsi="Arial"/>
          <w:sz w:val="20"/>
          <w:lang w:val="fr-CA"/>
        </w:rPr>
        <w:t xml:space="preserve"> </w:t>
      </w:r>
      <w:r w:rsidRPr="009D5C39">
        <w:rPr>
          <w:rFonts w:ascii="Arial" w:hAnsi="Arial"/>
          <w:sz w:val="20"/>
          <w:lang w:val="fr-CA"/>
        </w:rPr>
        <w:t>vérification.</w:t>
      </w:r>
    </w:p>
    <w:p w:rsidR="00807E0F" w:rsidRDefault="00807E0F" w:rsidP="00807E0F">
      <w:pPr>
        <w:rPr>
          <w:rFonts w:ascii="Arial" w:hAnsi="Arial"/>
          <w:b/>
          <w:color w:val="000000" w:themeColor="text1"/>
          <w:sz w:val="20"/>
          <w:lang w:val="fr-CA"/>
        </w:rPr>
      </w:pPr>
    </w:p>
    <w:p w:rsidR="00807E0F" w:rsidRPr="007A3BBB" w:rsidRDefault="00807E0F" w:rsidP="00807E0F">
      <w:pPr>
        <w:rPr>
          <w:rFonts w:ascii="Arial" w:hAnsi="Arial"/>
          <w:b/>
          <w:color w:val="000000" w:themeColor="text1"/>
          <w:sz w:val="20"/>
          <w:lang w:val="fr-CA"/>
        </w:rPr>
      </w:pPr>
      <w:r>
        <w:rPr>
          <w:rFonts w:ascii="Arial" w:hAnsi="Arial"/>
          <w:b/>
          <w:color w:val="000000" w:themeColor="text1"/>
          <w:sz w:val="20"/>
          <w:lang w:val="fr-CA"/>
        </w:rPr>
        <w:t>d</w:t>
      </w:r>
      <w:r w:rsidRPr="007A3BBB">
        <w:rPr>
          <w:rFonts w:ascii="Arial" w:hAnsi="Arial"/>
          <w:b/>
          <w:color w:val="000000" w:themeColor="text1"/>
          <w:sz w:val="20"/>
          <w:lang w:val="fr-CA"/>
        </w:rPr>
        <w:t>) Comité ministériel d’évaluation (CME)</w:t>
      </w:r>
    </w:p>
    <w:p w:rsidR="00807E0F" w:rsidRPr="007A3BBB" w:rsidRDefault="00807E0F" w:rsidP="00807E0F">
      <w:pPr>
        <w:rPr>
          <w:rFonts w:ascii="Arial" w:hAnsi="Arial"/>
          <w:b/>
          <w:color w:val="000000" w:themeColor="text1"/>
          <w:sz w:val="20"/>
          <w:lang w:val="fr-CA"/>
        </w:rPr>
      </w:pPr>
    </w:p>
    <w:p w:rsidR="00807E0F" w:rsidRDefault="00807E0F" w:rsidP="00807E0F">
      <w:pPr>
        <w:spacing w:before="120"/>
        <w:rPr>
          <w:rFonts w:ascii="Arial" w:hAnsi="Arial"/>
          <w:color w:val="000000" w:themeColor="text1"/>
          <w:sz w:val="20"/>
          <w:lang w:val="fr-CA"/>
        </w:rPr>
      </w:pPr>
      <w:r w:rsidRPr="007A3BBB">
        <w:rPr>
          <w:rFonts w:ascii="Arial" w:hAnsi="Arial"/>
          <w:color w:val="000000" w:themeColor="text1"/>
          <w:sz w:val="20"/>
          <w:lang w:val="fr-CA"/>
        </w:rPr>
        <w:t xml:space="preserve">Le Comité ministériel d’évaluation (CME) donne au </w:t>
      </w:r>
      <w:r w:rsidR="00FD44B6">
        <w:rPr>
          <w:rFonts w:ascii="Arial" w:hAnsi="Arial"/>
          <w:color w:val="000000" w:themeColor="text1"/>
          <w:sz w:val="20"/>
          <w:lang w:val="fr-CA"/>
        </w:rPr>
        <w:t>S</w:t>
      </w:r>
      <w:r w:rsidRPr="007A3BBB">
        <w:rPr>
          <w:rFonts w:ascii="Arial" w:hAnsi="Arial"/>
          <w:color w:val="000000" w:themeColor="text1"/>
          <w:sz w:val="20"/>
          <w:lang w:val="fr-CA"/>
        </w:rPr>
        <w:t xml:space="preserve">ous-ministre des conseils relatifs au plan d’évaluation ministériel, à l’affectation des ressources et aux rapports d’évaluation finaux. Il peut également prendre les décisions ultimes concernant toutes les autres activités d’évaluation et activités connexes du </w:t>
      </w:r>
      <w:r w:rsidR="00A65707">
        <w:rPr>
          <w:rFonts w:ascii="Arial" w:hAnsi="Arial"/>
          <w:color w:val="000000" w:themeColor="text1"/>
          <w:sz w:val="20"/>
          <w:lang w:val="fr-CA"/>
        </w:rPr>
        <w:t>ministère</w:t>
      </w:r>
      <w:r w:rsidRPr="007A3BBB">
        <w:rPr>
          <w:rFonts w:ascii="Arial" w:hAnsi="Arial"/>
          <w:color w:val="000000" w:themeColor="text1"/>
          <w:sz w:val="20"/>
          <w:lang w:val="fr-CA"/>
        </w:rPr>
        <w:t>.</w:t>
      </w:r>
    </w:p>
    <w:p w:rsidR="00807E0F" w:rsidRPr="00001E0D" w:rsidRDefault="00807E0F" w:rsidP="00807E0F">
      <w:pPr>
        <w:rPr>
          <w:rFonts w:ascii="Arial" w:hAnsi="Arial"/>
          <w:b/>
          <w:color w:val="000000" w:themeColor="text1"/>
          <w:sz w:val="20"/>
          <w:lang w:val="fr-CA"/>
        </w:rPr>
      </w:pPr>
    </w:p>
    <w:p w:rsidR="00807E0F" w:rsidRPr="00001E0D" w:rsidRDefault="00807E0F" w:rsidP="00807E0F">
      <w:pPr>
        <w:rPr>
          <w:rFonts w:ascii="Arial" w:hAnsi="Arial"/>
          <w:b/>
          <w:color w:val="000000" w:themeColor="text1"/>
          <w:sz w:val="20"/>
          <w:lang w:val="fr-CA"/>
        </w:rPr>
      </w:pPr>
      <w:r>
        <w:rPr>
          <w:rFonts w:ascii="Arial" w:hAnsi="Arial"/>
          <w:b/>
          <w:color w:val="000000" w:themeColor="text1"/>
          <w:sz w:val="20"/>
          <w:lang w:val="fr-CA"/>
        </w:rPr>
        <w:t>e</w:t>
      </w:r>
      <w:r w:rsidRPr="00001E0D">
        <w:rPr>
          <w:rFonts w:ascii="Arial" w:hAnsi="Arial"/>
          <w:b/>
          <w:color w:val="000000" w:themeColor="text1"/>
          <w:sz w:val="20"/>
          <w:lang w:val="fr-CA"/>
        </w:rPr>
        <w:t xml:space="preserve">) </w:t>
      </w:r>
      <w:r>
        <w:rPr>
          <w:rFonts w:ascii="Arial" w:hAnsi="Arial"/>
          <w:b/>
          <w:color w:val="000000" w:themeColor="text1"/>
          <w:sz w:val="20"/>
          <w:lang w:val="fr-CA"/>
        </w:rPr>
        <w:t>Comité du sous-ministre sur les politiques</w:t>
      </w:r>
      <w:r w:rsidRPr="00001E0D">
        <w:rPr>
          <w:rFonts w:ascii="Arial" w:hAnsi="Arial"/>
          <w:b/>
          <w:color w:val="000000" w:themeColor="text1"/>
          <w:sz w:val="20"/>
          <w:lang w:val="fr-CA"/>
        </w:rPr>
        <w:t xml:space="preserve"> (</w:t>
      </w:r>
      <w:r>
        <w:rPr>
          <w:rFonts w:ascii="Arial" w:hAnsi="Arial"/>
          <w:b/>
          <w:color w:val="000000" w:themeColor="text1"/>
          <w:sz w:val="20"/>
          <w:lang w:val="fr-CA"/>
        </w:rPr>
        <w:t>CSMP</w:t>
      </w:r>
      <w:r w:rsidRPr="00001E0D">
        <w:rPr>
          <w:rFonts w:ascii="Arial" w:hAnsi="Arial"/>
          <w:b/>
          <w:color w:val="000000" w:themeColor="text1"/>
          <w:sz w:val="20"/>
          <w:lang w:val="fr-CA"/>
        </w:rPr>
        <w:t>)</w:t>
      </w:r>
    </w:p>
    <w:p w:rsidR="00807E0F" w:rsidRPr="00001E0D" w:rsidRDefault="00807E0F" w:rsidP="00807E0F">
      <w:pPr>
        <w:rPr>
          <w:rFonts w:ascii="Arial" w:hAnsi="Arial"/>
          <w:color w:val="000000" w:themeColor="text1"/>
          <w:sz w:val="20"/>
          <w:lang w:val="fr-CA"/>
        </w:rPr>
      </w:pPr>
    </w:p>
    <w:p w:rsidR="00807E0F" w:rsidRPr="00001E0D" w:rsidRDefault="00807E0F" w:rsidP="00807E0F">
      <w:pPr>
        <w:rPr>
          <w:rFonts w:ascii="Arial" w:hAnsi="Arial"/>
          <w:color w:val="000000" w:themeColor="text1"/>
          <w:sz w:val="20"/>
          <w:lang w:val="fr-CA"/>
        </w:rPr>
      </w:pPr>
      <w:r>
        <w:rPr>
          <w:rFonts w:ascii="Arial" w:hAnsi="Arial"/>
          <w:color w:val="000000" w:themeColor="text1"/>
          <w:sz w:val="20"/>
          <w:lang w:val="fr-CA"/>
        </w:rPr>
        <w:t>Le Comité du sous-ministre sur les politiques (CSMP)</w:t>
      </w:r>
      <w:r w:rsidRPr="00001E0D">
        <w:rPr>
          <w:rFonts w:ascii="Arial" w:hAnsi="Arial"/>
          <w:color w:val="000000" w:themeColor="text1"/>
          <w:sz w:val="20"/>
          <w:lang w:val="fr-CA"/>
        </w:rPr>
        <w:t xml:space="preserve"> </w:t>
      </w:r>
      <w:r>
        <w:rPr>
          <w:rFonts w:ascii="Arial" w:hAnsi="Arial"/>
          <w:color w:val="000000" w:themeColor="text1"/>
          <w:sz w:val="20"/>
          <w:lang w:val="fr-CA"/>
        </w:rPr>
        <w:t>est un</w:t>
      </w:r>
      <w:r w:rsidRPr="00001E0D">
        <w:rPr>
          <w:rFonts w:ascii="Arial" w:hAnsi="Arial"/>
          <w:color w:val="000000" w:themeColor="text1"/>
          <w:sz w:val="20"/>
          <w:lang w:val="fr-CA"/>
        </w:rPr>
        <w:t xml:space="preserve"> forum </w:t>
      </w:r>
      <w:r>
        <w:rPr>
          <w:rFonts w:ascii="Arial" w:hAnsi="Arial"/>
          <w:color w:val="000000" w:themeColor="text1"/>
          <w:sz w:val="20"/>
          <w:lang w:val="fr-CA"/>
        </w:rPr>
        <w:t>permettant d’aborder les questions sérieuses liées aux</w:t>
      </w:r>
      <w:r w:rsidRPr="00001E0D">
        <w:rPr>
          <w:rFonts w:ascii="Arial" w:hAnsi="Arial"/>
          <w:color w:val="000000" w:themeColor="text1"/>
          <w:sz w:val="20"/>
          <w:lang w:val="fr-CA"/>
        </w:rPr>
        <w:t xml:space="preserve"> </w:t>
      </w:r>
      <w:r>
        <w:rPr>
          <w:rFonts w:ascii="Arial" w:hAnsi="Arial"/>
          <w:color w:val="000000" w:themeColor="text1"/>
          <w:sz w:val="20"/>
          <w:lang w:val="fr-CA"/>
        </w:rPr>
        <w:t>politiques stratégiques et aux programmes</w:t>
      </w:r>
      <w:r w:rsidRPr="00001E0D">
        <w:rPr>
          <w:rFonts w:ascii="Arial" w:hAnsi="Arial"/>
          <w:color w:val="000000" w:themeColor="text1"/>
          <w:sz w:val="20"/>
          <w:lang w:val="fr-CA"/>
        </w:rPr>
        <w:t xml:space="preserve">. </w:t>
      </w:r>
      <w:r>
        <w:rPr>
          <w:rFonts w:ascii="Arial" w:hAnsi="Arial"/>
          <w:color w:val="000000" w:themeColor="text1"/>
          <w:sz w:val="20"/>
          <w:lang w:val="fr-CA"/>
        </w:rPr>
        <w:t>On y discute notamment des diagnostics, des</w:t>
      </w:r>
      <w:r w:rsidRPr="00001E0D">
        <w:rPr>
          <w:rFonts w:ascii="Arial" w:hAnsi="Arial"/>
          <w:color w:val="000000" w:themeColor="text1"/>
          <w:sz w:val="20"/>
          <w:lang w:val="fr-CA"/>
        </w:rPr>
        <w:t xml:space="preserve"> </w:t>
      </w:r>
      <w:r>
        <w:rPr>
          <w:rFonts w:ascii="Arial" w:hAnsi="Arial"/>
          <w:color w:val="000000" w:themeColor="text1"/>
          <w:sz w:val="20"/>
          <w:lang w:val="fr-CA"/>
        </w:rPr>
        <w:t>principaux facteurs</w:t>
      </w:r>
      <w:r w:rsidRPr="00001E0D">
        <w:rPr>
          <w:rFonts w:ascii="Arial" w:hAnsi="Arial"/>
          <w:color w:val="000000" w:themeColor="text1"/>
          <w:sz w:val="20"/>
          <w:lang w:val="fr-CA"/>
        </w:rPr>
        <w:t xml:space="preserve">, </w:t>
      </w:r>
      <w:r>
        <w:rPr>
          <w:rFonts w:ascii="Arial" w:hAnsi="Arial"/>
          <w:color w:val="000000" w:themeColor="text1"/>
          <w:sz w:val="20"/>
          <w:lang w:val="fr-CA"/>
        </w:rPr>
        <w:t>des cadres stratégiques</w:t>
      </w:r>
      <w:r w:rsidRPr="00001E0D">
        <w:rPr>
          <w:rFonts w:ascii="Arial" w:hAnsi="Arial"/>
          <w:color w:val="000000" w:themeColor="text1"/>
          <w:sz w:val="20"/>
          <w:lang w:val="fr-CA"/>
        </w:rPr>
        <w:t xml:space="preserve">, </w:t>
      </w:r>
      <w:r>
        <w:rPr>
          <w:rFonts w:ascii="Arial" w:hAnsi="Arial"/>
          <w:color w:val="000000" w:themeColor="text1"/>
          <w:sz w:val="20"/>
          <w:lang w:val="fr-CA"/>
        </w:rPr>
        <w:t>des tendances émergentes et des problèmes rencontrés</w:t>
      </w:r>
      <w:r w:rsidRPr="00001E0D">
        <w:rPr>
          <w:rFonts w:ascii="Arial" w:hAnsi="Arial"/>
          <w:color w:val="000000" w:themeColor="text1"/>
          <w:sz w:val="20"/>
          <w:lang w:val="fr-CA"/>
        </w:rPr>
        <w:t xml:space="preserve">, </w:t>
      </w:r>
      <w:r>
        <w:rPr>
          <w:rFonts w:ascii="Arial" w:hAnsi="Arial"/>
          <w:color w:val="000000" w:themeColor="text1"/>
          <w:sz w:val="20"/>
          <w:lang w:val="fr-CA"/>
        </w:rPr>
        <w:t>ainsi que de la planification stratégique à moyen et à long terme</w:t>
      </w:r>
      <w:r w:rsidRPr="00001E0D">
        <w:rPr>
          <w:rFonts w:ascii="Arial" w:hAnsi="Arial"/>
          <w:color w:val="000000" w:themeColor="text1"/>
          <w:sz w:val="20"/>
          <w:lang w:val="fr-CA"/>
        </w:rPr>
        <w:t xml:space="preserve">. </w:t>
      </w:r>
      <w:r>
        <w:rPr>
          <w:rFonts w:ascii="Arial" w:hAnsi="Arial"/>
          <w:color w:val="000000" w:themeColor="text1"/>
          <w:sz w:val="20"/>
          <w:lang w:val="fr-CA"/>
        </w:rPr>
        <w:t>Entre autres domaines d’intérêt, le CSMP aborde également</w:t>
      </w:r>
      <w:r w:rsidRPr="00001E0D">
        <w:rPr>
          <w:rFonts w:ascii="Arial" w:hAnsi="Arial"/>
          <w:color w:val="000000" w:themeColor="text1"/>
          <w:sz w:val="20"/>
          <w:lang w:val="fr-CA"/>
        </w:rPr>
        <w:t xml:space="preserve"> </w:t>
      </w:r>
      <w:r>
        <w:rPr>
          <w:rFonts w:ascii="Arial" w:hAnsi="Arial"/>
          <w:color w:val="000000" w:themeColor="text1"/>
          <w:sz w:val="20"/>
          <w:lang w:val="fr-CA"/>
        </w:rPr>
        <w:t>les stratégies et les enjeux liés aux relations entre le gouvernement fédéral et les provinces/territoires, les autres pays et les différents intervenants</w:t>
      </w:r>
      <w:r w:rsidRPr="00001E0D">
        <w:rPr>
          <w:rFonts w:ascii="Arial" w:hAnsi="Arial"/>
          <w:color w:val="000000" w:themeColor="text1"/>
          <w:sz w:val="20"/>
          <w:lang w:val="fr-CA"/>
        </w:rPr>
        <w:t>.</w:t>
      </w:r>
    </w:p>
    <w:p w:rsidR="00807E0F" w:rsidRPr="00001E0D" w:rsidRDefault="00807E0F" w:rsidP="00807E0F">
      <w:pPr>
        <w:rPr>
          <w:rFonts w:ascii="Arial" w:hAnsi="Arial"/>
          <w:color w:val="FF0000"/>
          <w:sz w:val="20"/>
          <w:lang w:val="fr-CA"/>
        </w:rPr>
      </w:pPr>
    </w:p>
    <w:p w:rsidR="00807E0F" w:rsidRPr="00001E0D" w:rsidRDefault="00807E0F" w:rsidP="00807E0F">
      <w:pPr>
        <w:rPr>
          <w:rFonts w:ascii="Arial" w:hAnsi="Arial"/>
          <w:b/>
          <w:sz w:val="20"/>
          <w:lang w:val="fr-CA"/>
        </w:rPr>
      </w:pPr>
      <w:r>
        <w:rPr>
          <w:rFonts w:ascii="Arial" w:hAnsi="Arial"/>
          <w:b/>
          <w:sz w:val="20"/>
          <w:lang w:val="fr-CA"/>
        </w:rPr>
        <w:t>f</w:t>
      </w:r>
      <w:r w:rsidRPr="00001E0D">
        <w:rPr>
          <w:rFonts w:ascii="Arial" w:hAnsi="Arial"/>
          <w:b/>
          <w:sz w:val="20"/>
          <w:lang w:val="fr-CA"/>
        </w:rPr>
        <w:t xml:space="preserve">) </w:t>
      </w:r>
      <w:r>
        <w:rPr>
          <w:rFonts w:ascii="Arial" w:hAnsi="Arial"/>
          <w:b/>
          <w:sz w:val="20"/>
          <w:lang w:val="fr-CA"/>
        </w:rPr>
        <w:t>Comité de gestion ministériel</w:t>
      </w:r>
      <w:r w:rsidRPr="00001E0D">
        <w:rPr>
          <w:rFonts w:ascii="Arial" w:hAnsi="Arial"/>
          <w:b/>
          <w:sz w:val="20"/>
          <w:lang w:val="fr-CA"/>
        </w:rPr>
        <w:t xml:space="preserve"> (</w:t>
      </w:r>
      <w:r>
        <w:rPr>
          <w:rFonts w:ascii="Arial" w:hAnsi="Arial"/>
          <w:b/>
          <w:sz w:val="20"/>
          <w:lang w:val="fr-CA"/>
        </w:rPr>
        <w:t>CGM</w:t>
      </w:r>
      <w:r w:rsidRPr="00001E0D">
        <w:rPr>
          <w:rFonts w:ascii="Arial" w:hAnsi="Arial"/>
          <w:b/>
          <w:sz w:val="20"/>
          <w:lang w:val="fr-CA"/>
        </w:rPr>
        <w:t>)</w:t>
      </w:r>
    </w:p>
    <w:p w:rsidR="00807E0F" w:rsidRPr="00001E0D" w:rsidRDefault="00807E0F" w:rsidP="00807E0F">
      <w:pPr>
        <w:rPr>
          <w:rFonts w:ascii="Arial" w:hAnsi="Arial"/>
          <w:sz w:val="20"/>
          <w:lang w:val="fr-CA"/>
        </w:rPr>
      </w:pPr>
    </w:p>
    <w:p w:rsidR="00807E0F" w:rsidRPr="00001E0D" w:rsidRDefault="00807E0F" w:rsidP="00807E0F">
      <w:pPr>
        <w:rPr>
          <w:rFonts w:ascii="Arial" w:hAnsi="Arial"/>
          <w:sz w:val="20"/>
          <w:lang w:val="fr-CA"/>
        </w:rPr>
      </w:pPr>
      <w:r>
        <w:rPr>
          <w:rFonts w:ascii="Arial" w:hAnsi="Arial"/>
          <w:sz w:val="20"/>
          <w:lang w:val="fr-CA"/>
        </w:rPr>
        <w:t>Le Comité de gestion ministériel</w:t>
      </w:r>
      <w:r w:rsidRPr="00001E0D">
        <w:rPr>
          <w:rFonts w:ascii="Arial" w:hAnsi="Arial"/>
          <w:sz w:val="20"/>
          <w:lang w:val="fr-CA"/>
        </w:rPr>
        <w:t xml:space="preserve"> (</w:t>
      </w:r>
      <w:r>
        <w:rPr>
          <w:rFonts w:ascii="Arial" w:hAnsi="Arial"/>
          <w:sz w:val="20"/>
          <w:lang w:val="fr-CA"/>
        </w:rPr>
        <w:t>CGM</w:t>
      </w:r>
      <w:r w:rsidRPr="00001E0D">
        <w:rPr>
          <w:rFonts w:ascii="Arial" w:hAnsi="Arial"/>
          <w:sz w:val="20"/>
          <w:lang w:val="fr-CA"/>
        </w:rPr>
        <w:t xml:space="preserve">), </w:t>
      </w:r>
      <w:r w:rsidRPr="006F3B21">
        <w:rPr>
          <w:rFonts w:ascii="Arial" w:hAnsi="Arial"/>
          <w:sz w:val="20"/>
          <w:lang w:val="fr-CA"/>
        </w:rPr>
        <w:t xml:space="preserve">un comité permanent du CGP, supervise la mise en </w:t>
      </w:r>
      <w:r>
        <w:rPr>
          <w:rFonts w:ascii="Arial" w:hAnsi="Arial"/>
          <w:sz w:val="20"/>
          <w:lang w:val="fr-CA"/>
        </w:rPr>
        <w:t xml:space="preserve">œuvre </w:t>
      </w:r>
      <w:r w:rsidRPr="006F3B21">
        <w:rPr>
          <w:rFonts w:ascii="Arial" w:hAnsi="Arial"/>
          <w:sz w:val="20"/>
          <w:lang w:val="fr-CA"/>
        </w:rPr>
        <w:t xml:space="preserve">du plan de gestion du portefeuille selon l’approbation du </w:t>
      </w:r>
      <w:r>
        <w:rPr>
          <w:rFonts w:ascii="Arial" w:hAnsi="Arial"/>
          <w:sz w:val="20"/>
          <w:lang w:val="fr-CA"/>
        </w:rPr>
        <w:t>CGP</w:t>
      </w:r>
      <w:r w:rsidRPr="006F3B21">
        <w:rPr>
          <w:rFonts w:ascii="Arial" w:hAnsi="Arial"/>
          <w:sz w:val="20"/>
          <w:lang w:val="fr-CA"/>
        </w:rPr>
        <w:t xml:space="preserve">, y compris l’atteinte des résultats et des objectifs déterminés dans le Plan d’activités intégré, le CRG et les processus budgétaire </w:t>
      </w:r>
      <w:r>
        <w:rPr>
          <w:rFonts w:ascii="Arial" w:hAnsi="Arial"/>
          <w:sz w:val="20"/>
          <w:lang w:val="fr-CA"/>
        </w:rPr>
        <w:t>et de planification ministérielle</w:t>
      </w:r>
      <w:r w:rsidRPr="00001E0D">
        <w:rPr>
          <w:rFonts w:ascii="Arial" w:hAnsi="Arial"/>
          <w:sz w:val="20"/>
          <w:lang w:val="fr-CA"/>
        </w:rPr>
        <w:t>.</w:t>
      </w:r>
    </w:p>
    <w:p w:rsidR="00807E0F" w:rsidRPr="00001E0D" w:rsidRDefault="00807E0F" w:rsidP="00807E0F">
      <w:pPr>
        <w:rPr>
          <w:rFonts w:ascii="Arial" w:hAnsi="Arial"/>
          <w:sz w:val="20"/>
          <w:lang w:val="fr-CA"/>
        </w:rPr>
      </w:pPr>
    </w:p>
    <w:p w:rsidR="00807E0F" w:rsidRPr="00001E0D" w:rsidRDefault="00807E0F" w:rsidP="00807E0F">
      <w:pPr>
        <w:rPr>
          <w:rFonts w:ascii="Arial" w:hAnsi="Arial"/>
          <w:sz w:val="20"/>
          <w:lang w:val="fr-CA"/>
        </w:rPr>
      </w:pPr>
      <w:r>
        <w:rPr>
          <w:rFonts w:ascii="Arial" w:hAnsi="Arial"/>
          <w:sz w:val="20"/>
          <w:lang w:val="fr-CA"/>
        </w:rPr>
        <w:lastRenderedPageBreak/>
        <w:t>Le</w:t>
      </w:r>
      <w:r w:rsidRPr="006F3B21">
        <w:rPr>
          <w:rFonts w:ascii="Arial" w:hAnsi="Arial"/>
          <w:sz w:val="20"/>
          <w:lang w:val="fr-CA"/>
        </w:rPr>
        <w:t xml:space="preserve"> CGM est chargé de surveiller </w:t>
      </w:r>
      <w:r>
        <w:rPr>
          <w:rFonts w:ascii="Arial" w:hAnsi="Arial"/>
          <w:sz w:val="20"/>
          <w:lang w:val="fr-CA"/>
        </w:rPr>
        <w:t>les activités ministérielles liées à l’opérationnalisation des mesures de sécurité ministérielle.</w:t>
      </w:r>
    </w:p>
    <w:p w:rsidR="00807E0F" w:rsidRPr="00001E0D" w:rsidRDefault="00807E0F" w:rsidP="00807E0F">
      <w:pPr>
        <w:rPr>
          <w:rFonts w:ascii="Arial" w:hAnsi="Arial"/>
          <w:sz w:val="20"/>
          <w:lang w:val="fr-CA"/>
        </w:rPr>
      </w:pPr>
    </w:p>
    <w:p w:rsidR="00807E0F" w:rsidRDefault="00807E0F" w:rsidP="00807E0F">
      <w:pPr>
        <w:rPr>
          <w:rFonts w:ascii="Arial" w:hAnsi="Arial"/>
          <w:b/>
          <w:sz w:val="20"/>
          <w:lang w:val="fr-CA"/>
        </w:rPr>
      </w:pPr>
      <w:r w:rsidRPr="0058728B">
        <w:rPr>
          <w:rFonts w:ascii="Arial" w:hAnsi="Arial"/>
          <w:b/>
          <w:sz w:val="20"/>
          <w:lang w:val="fr-CA"/>
        </w:rPr>
        <w:t xml:space="preserve">g) Comité de gestion </w:t>
      </w:r>
      <w:r>
        <w:rPr>
          <w:rFonts w:ascii="Arial" w:hAnsi="Arial"/>
          <w:b/>
          <w:sz w:val="20"/>
          <w:lang w:val="fr-CA"/>
        </w:rPr>
        <w:t>d</w:t>
      </w:r>
      <w:r w:rsidRPr="0058728B">
        <w:rPr>
          <w:rFonts w:ascii="Arial" w:hAnsi="Arial"/>
          <w:b/>
          <w:sz w:val="20"/>
          <w:lang w:val="fr-CA"/>
        </w:rPr>
        <w:t>es services (CGS)</w:t>
      </w:r>
    </w:p>
    <w:p w:rsidR="00807E0F" w:rsidRPr="0058728B" w:rsidRDefault="00807E0F" w:rsidP="00807E0F">
      <w:pPr>
        <w:rPr>
          <w:rFonts w:ascii="Arial" w:hAnsi="Arial"/>
          <w:sz w:val="20"/>
          <w:lang w:val="fr-CA"/>
        </w:rPr>
      </w:pPr>
    </w:p>
    <w:p w:rsidR="00807E0F" w:rsidRPr="0058728B" w:rsidRDefault="00807E0F" w:rsidP="00807E0F">
      <w:pPr>
        <w:rPr>
          <w:rFonts w:ascii="Arial" w:hAnsi="Arial"/>
          <w:sz w:val="20"/>
          <w:lang w:val="fr-CA"/>
        </w:rPr>
      </w:pPr>
      <w:r w:rsidRPr="0058728B">
        <w:rPr>
          <w:rFonts w:ascii="Arial" w:hAnsi="Arial"/>
          <w:sz w:val="20"/>
          <w:lang w:val="fr-CA"/>
        </w:rPr>
        <w:t>Le Comité de gestion des services (SGS), un comité permanent du CGP :</w:t>
      </w:r>
    </w:p>
    <w:p w:rsidR="00807E0F" w:rsidRDefault="00807E0F" w:rsidP="00807E0F">
      <w:pPr>
        <w:rPr>
          <w:rFonts w:ascii="Arial" w:hAnsi="Arial"/>
          <w:sz w:val="20"/>
          <w:lang w:val="fr-CA"/>
        </w:rPr>
      </w:pPr>
    </w:p>
    <w:p w:rsidR="00807E0F" w:rsidRPr="0058728B" w:rsidRDefault="00807E0F" w:rsidP="00807E0F">
      <w:pPr>
        <w:pStyle w:val="ListParagraph"/>
        <w:numPr>
          <w:ilvl w:val="0"/>
          <w:numId w:val="23"/>
        </w:numPr>
        <w:rPr>
          <w:rFonts w:ascii="Arial" w:hAnsi="Arial" w:cs="Arial"/>
          <w:sz w:val="20"/>
          <w:szCs w:val="20"/>
          <w:lang w:val="fr-CA"/>
        </w:rPr>
      </w:pPr>
      <w:r w:rsidRPr="0058728B">
        <w:rPr>
          <w:rFonts w:ascii="Arial" w:hAnsi="Arial" w:cs="Arial"/>
          <w:sz w:val="20"/>
          <w:szCs w:val="20"/>
          <w:lang w:val="fr-CA"/>
        </w:rPr>
        <w:t xml:space="preserve">fournit un leadership à l’ensemble de l’organisation au chapitre de l’établissement des orientations stratégiques et des priorités ministérielles de façon à respecter le programme d’élaboration des politiques et les objectifs liés à l’excellence des services; </w:t>
      </w:r>
    </w:p>
    <w:p w:rsidR="00807E0F" w:rsidRDefault="00807E0F" w:rsidP="00807E0F">
      <w:pPr>
        <w:pStyle w:val="ListParagraph"/>
        <w:rPr>
          <w:rFonts w:ascii="Arial" w:hAnsi="Arial" w:cs="Arial"/>
          <w:sz w:val="20"/>
          <w:szCs w:val="20"/>
          <w:lang w:val="fr-CA"/>
        </w:rPr>
      </w:pPr>
    </w:p>
    <w:p w:rsidR="00807E0F" w:rsidRPr="00F6757A" w:rsidRDefault="00807E0F" w:rsidP="00FD44B6">
      <w:pPr>
        <w:pStyle w:val="ListParagraph"/>
        <w:numPr>
          <w:ilvl w:val="0"/>
          <w:numId w:val="23"/>
        </w:numPr>
        <w:rPr>
          <w:rFonts w:ascii="Arial" w:hAnsi="Arial" w:cs="Arial"/>
          <w:sz w:val="20"/>
          <w:szCs w:val="20"/>
          <w:lang w:val="fr-CA"/>
        </w:rPr>
      </w:pPr>
      <w:r w:rsidRPr="00F6757A">
        <w:rPr>
          <w:rFonts w:ascii="Arial" w:hAnsi="Arial" w:cs="Arial"/>
          <w:sz w:val="20"/>
          <w:szCs w:val="20"/>
          <w:lang w:val="fr-CA"/>
        </w:rPr>
        <w:t xml:space="preserve">agit comme principal organisme décisionnel du mandat de prestation de services du </w:t>
      </w:r>
      <w:r w:rsidR="00A65707">
        <w:rPr>
          <w:rFonts w:ascii="Arial" w:hAnsi="Arial" w:cs="Arial"/>
          <w:sz w:val="20"/>
          <w:szCs w:val="20"/>
          <w:lang w:val="fr-CA"/>
        </w:rPr>
        <w:t>ministère</w:t>
      </w:r>
      <w:r w:rsidRPr="00F6757A">
        <w:rPr>
          <w:rFonts w:ascii="Arial" w:hAnsi="Arial" w:cs="Arial"/>
          <w:sz w:val="20"/>
          <w:szCs w:val="20"/>
          <w:lang w:val="fr-CA"/>
        </w:rPr>
        <w:t>, en se concentrant surtout sur l’exécution efficace du programme de transformation de la prestation de services.</w:t>
      </w:r>
    </w:p>
    <w:p w:rsidR="00807E0F" w:rsidRDefault="00807E0F" w:rsidP="00807E0F">
      <w:pPr>
        <w:rPr>
          <w:rFonts w:ascii="Arial" w:hAnsi="Arial"/>
          <w:sz w:val="20"/>
          <w:lang w:val="fr-CA"/>
        </w:rPr>
      </w:pPr>
    </w:p>
    <w:p w:rsidR="00807E0F" w:rsidRDefault="00807E0F" w:rsidP="00807E0F">
      <w:pPr>
        <w:rPr>
          <w:rFonts w:ascii="Arial" w:hAnsi="Arial"/>
          <w:b/>
          <w:sz w:val="20"/>
          <w:lang w:val="fr-CA"/>
        </w:rPr>
      </w:pPr>
      <w:r w:rsidRPr="0058728B">
        <w:rPr>
          <w:rFonts w:ascii="Arial" w:hAnsi="Arial"/>
          <w:b/>
          <w:sz w:val="20"/>
          <w:lang w:val="fr-CA"/>
        </w:rPr>
        <w:t>h) Comité d’examen interne (CEI)</w:t>
      </w:r>
    </w:p>
    <w:p w:rsidR="00807E0F" w:rsidRDefault="00807E0F" w:rsidP="00807E0F">
      <w:pPr>
        <w:rPr>
          <w:rFonts w:ascii="Arial" w:hAnsi="Arial"/>
          <w:b/>
          <w:sz w:val="20"/>
          <w:lang w:val="fr-CA"/>
        </w:rPr>
      </w:pPr>
    </w:p>
    <w:p w:rsidR="00807E0F" w:rsidRDefault="00807E0F" w:rsidP="00807E0F">
      <w:pPr>
        <w:rPr>
          <w:rFonts w:ascii="Arial" w:hAnsi="Arial"/>
          <w:sz w:val="20"/>
          <w:lang w:val="fr-CA"/>
        </w:rPr>
      </w:pPr>
      <w:r w:rsidRPr="0058728B">
        <w:rPr>
          <w:rFonts w:ascii="Arial" w:hAnsi="Arial"/>
          <w:sz w:val="20"/>
          <w:lang w:val="fr-CA"/>
        </w:rPr>
        <w:t xml:space="preserve">Le Comité d’examen interne (CEI) est un sous-comité du </w:t>
      </w:r>
      <w:r w:rsidR="00FD44B6">
        <w:rPr>
          <w:rFonts w:ascii="Arial" w:hAnsi="Arial"/>
          <w:sz w:val="20"/>
          <w:lang w:val="fr-CA"/>
        </w:rPr>
        <w:t>CGM</w:t>
      </w:r>
      <w:r w:rsidRPr="0058728B">
        <w:rPr>
          <w:rFonts w:ascii="Arial" w:hAnsi="Arial"/>
          <w:sz w:val="20"/>
          <w:lang w:val="fr-CA"/>
        </w:rPr>
        <w:t>, auquel il fournit des conseils et des recommandations sur les vérifications internes et externes effectuées à EDS</w:t>
      </w:r>
      <w:r>
        <w:rPr>
          <w:rFonts w:ascii="Arial" w:hAnsi="Arial"/>
          <w:sz w:val="20"/>
          <w:lang w:val="fr-CA"/>
        </w:rPr>
        <w:t>C</w:t>
      </w:r>
      <w:r w:rsidRPr="0058728B">
        <w:rPr>
          <w:rFonts w:ascii="Arial" w:hAnsi="Arial"/>
          <w:sz w:val="20"/>
          <w:lang w:val="fr-CA"/>
        </w:rPr>
        <w:t>, y compris les plans d’action de gestion correspondants, dans le cadre du processus de consultatio</w:t>
      </w:r>
      <w:r w:rsidR="00FD44B6">
        <w:rPr>
          <w:rFonts w:ascii="Arial" w:hAnsi="Arial"/>
          <w:sz w:val="20"/>
          <w:lang w:val="fr-CA"/>
        </w:rPr>
        <w:t xml:space="preserve">n préalable aux discussions du </w:t>
      </w:r>
      <w:r w:rsidRPr="0058728B">
        <w:rPr>
          <w:rFonts w:ascii="Arial" w:hAnsi="Arial"/>
          <w:sz w:val="20"/>
          <w:lang w:val="fr-CA"/>
        </w:rPr>
        <w:t>CMV. Plus précisément, le CEI fournit au CGM des conseils sur les aspects suivants :</w:t>
      </w:r>
    </w:p>
    <w:p w:rsidR="00807E0F" w:rsidRPr="0058728B" w:rsidRDefault="00807E0F" w:rsidP="00807E0F">
      <w:pPr>
        <w:rPr>
          <w:rFonts w:ascii="Arial" w:hAnsi="Arial"/>
          <w:sz w:val="20"/>
          <w:lang w:val="fr-CA"/>
        </w:rPr>
      </w:pPr>
    </w:p>
    <w:p w:rsidR="00807E0F" w:rsidRDefault="00807E0F" w:rsidP="00807E0F">
      <w:pPr>
        <w:pStyle w:val="ListParagraph"/>
        <w:numPr>
          <w:ilvl w:val="0"/>
          <w:numId w:val="24"/>
        </w:numPr>
        <w:rPr>
          <w:rFonts w:ascii="Arial" w:hAnsi="Arial"/>
          <w:sz w:val="20"/>
          <w:lang w:val="fr-CA"/>
        </w:rPr>
      </w:pPr>
      <w:r w:rsidRPr="0058728B">
        <w:rPr>
          <w:rFonts w:ascii="Arial" w:hAnsi="Arial"/>
          <w:sz w:val="20"/>
          <w:lang w:val="fr-CA"/>
        </w:rPr>
        <w:t>plans de vérification, mandats, et résultats;</w:t>
      </w:r>
    </w:p>
    <w:p w:rsidR="00807E0F" w:rsidRDefault="00807E0F" w:rsidP="00807E0F">
      <w:pPr>
        <w:pStyle w:val="ListParagraph"/>
        <w:numPr>
          <w:ilvl w:val="0"/>
          <w:numId w:val="24"/>
        </w:numPr>
        <w:rPr>
          <w:rFonts w:ascii="Arial" w:hAnsi="Arial"/>
          <w:sz w:val="20"/>
          <w:lang w:val="fr-CA"/>
        </w:rPr>
      </w:pPr>
      <w:r w:rsidRPr="0058728B">
        <w:rPr>
          <w:rFonts w:ascii="Arial" w:hAnsi="Arial"/>
          <w:sz w:val="20"/>
          <w:lang w:val="fr-CA"/>
        </w:rPr>
        <w:t>réponses de la direction et plans d’action correspondants;</w:t>
      </w:r>
    </w:p>
    <w:p w:rsidR="00807E0F" w:rsidRPr="0058728B" w:rsidRDefault="00807E0F" w:rsidP="00807E0F">
      <w:pPr>
        <w:pStyle w:val="ListParagraph"/>
        <w:numPr>
          <w:ilvl w:val="0"/>
          <w:numId w:val="24"/>
        </w:numPr>
        <w:rPr>
          <w:rFonts w:ascii="Arial" w:hAnsi="Arial"/>
          <w:sz w:val="20"/>
          <w:lang w:val="fr-CA"/>
        </w:rPr>
      </w:pPr>
      <w:r w:rsidRPr="0058728B">
        <w:rPr>
          <w:rFonts w:ascii="Arial" w:hAnsi="Arial"/>
          <w:sz w:val="20"/>
          <w:lang w:val="fr-CA"/>
        </w:rPr>
        <w:t>plan de vérification pluriannuel d’EDS</w:t>
      </w:r>
      <w:r>
        <w:rPr>
          <w:rFonts w:ascii="Arial" w:hAnsi="Arial"/>
          <w:sz w:val="20"/>
          <w:lang w:val="fr-CA"/>
        </w:rPr>
        <w:t>C</w:t>
      </w:r>
      <w:r w:rsidRPr="0058728B">
        <w:rPr>
          <w:rFonts w:ascii="Arial" w:hAnsi="Arial"/>
          <w:sz w:val="20"/>
          <w:lang w:val="fr-CA"/>
        </w:rPr>
        <w:t>.</w:t>
      </w:r>
    </w:p>
    <w:p w:rsidR="00807E0F" w:rsidRDefault="00807E0F" w:rsidP="00807E0F">
      <w:pPr>
        <w:rPr>
          <w:rFonts w:ascii="Arial" w:hAnsi="Arial"/>
          <w:sz w:val="20"/>
          <w:lang w:val="fr-CA"/>
        </w:rPr>
      </w:pPr>
    </w:p>
    <w:p w:rsidR="00807E0F" w:rsidRDefault="00807E0F" w:rsidP="00807E0F">
      <w:pPr>
        <w:rPr>
          <w:rFonts w:ascii="Arial" w:hAnsi="Arial"/>
          <w:sz w:val="20"/>
          <w:lang w:val="fr-CA"/>
        </w:rPr>
      </w:pPr>
      <w:r w:rsidRPr="0058728B">
        <w:rPr>
          <w:rFonts w:ascii="Arial" w:hAnsi="Arial"/>
          <w:b/>
          <w:sz w:val="20"/>
          <w:lang w:val="fr-CA"/>
        </w:rPr>
        <w:t>i) Comité de gestion des questions juridiques (CGQJ)</w:t>
      </w:r>
    </w:p>
    <w:p w:rsidR="00807E0F" w:rsidRDefault="00807E0F" w:rsidP="00807E0F">
      <w:pPr>
        <w:rPr>
          <w:rFonts w:ascii="Arial" w:hAnsi="Arial"/>
          <w:sz w:val="20"/>
          <w:lang w:val="fr-CA"/>
        </w:rPr>
      </w:pPr>
    </w:p>
    <w:p w:rsidR="00807E0F" w:rsidRDefault="00807E0F" w:rsidP="00807E0F">
      <w:pPr>
        <w:rPr>
          <w:rFonts w:ascii="Arial" w:hAnsi="Arial"/>
          <w:sz w:val="20"/>
          <w:lang w:val="fr-CA"/>
        </w:rPr>
      </w:pPr>
      <w:r w:rsidRPr="0058728B">
        <w:rPr>
          <w:rFonts w:ascii="Arial" w:hAnsi="Arial"/>
          <w:sz w:val="20"/>
          <w:lang w:val="fr-CA"/>
        </w:rPr>
        <w:t xml:space="preserve">Le Comité de gestion des questions juridiques (CGQJ) a pour objectif de permettre à </w:t>
      </w:r>
      <w:r w:rsidR="00FD44B6">
        <w:rPr>
          <w:rFonts w:ascii="Arial" w:hAnsi="Arial"/>
          <w:sz w:val="20"/>
          <w:lang w:val="fr-CA"/>
        </w:rPr>
        <w:t>EDSC</w:t>
      </w:r>
      <w:r w:rsidRPr="0058728B">
        <w:rPr>
          <w:rFonts w:ascii="Arial" w:hAnsi="Arial"/>
          <w:sz w:val="20"/>
          <w:lang w:val="fr-CA"/>
        </w:rPr>
        <w:t xml:space="preserve"> d'améliorer sa gestion des questions et des risques juridiques importants liés aux lois, aux règlements, aux activités, aux politiques et aux procédures du </w:t>
      </w:r>
      <w:r w:rsidR="00A65707">
        <w:rPr>
          <w:rFonts w:ascii="Arial" w:hAnsi="Arial"/>
          <w:sz w:val="20"/>
          <w:lang w:val="fr-CA"/>
        </w:rPr>
        <w:t>ministère</w:t>
      </w:r>
      <w:r w:rsidRPr="0058728B">
        <w:rPr>
          <w:rFonts w:ascii="Arial" w:hAnsi="Arial"/>
          <w:sz w:val="20"/>
          <w:lang w:val="fr-CA"/>
        </w:rPr>
        <w:t xml:space="preserve"> et de renforcer les procédures de contrôle des frais juridiques engagés par le </w:t>
      </w:r>
      <w:r w:rsidR="00A65707">
        <w:rPr>
          <w:rFonts w:ascii="Arial" w:hAnsi="Arial"/>
          <w:sz w:val="20"/>
          <w:lang w:val="fr-CA"/>
        </w:rPr>
        <w:t>ministère</w:t>
      </w:r>
      <w:r w:rsidRPr="0058728B">
        <w:rPr>
          <w:rFonts w:ascii="Arial" w:hAnsi="Arial"/>
          <w:sz w:val="20"/>
          <w:lang w:val="fr-CA"/>
        </w:rPr>
        <w:t>.</w:t>
      </w:r>
    </w:p>
    <w:p w:rsidR="00807E0F" w:rsidRPr="00001E0D" w:rsidRDefault="00807E0F" w:rsidP="00807E0F">
      <w:pPr>
        <w:rPr>
          <w:rFonts w:ascii="Arial" w:hAnsi="Arial"/>
          <w:sz w:val="20"/>
          <w:lang w:val="fr-CA"/>
        </w:rPr>
      </w:pPr>
    </w:p>
    <w:p w:rsidR="00807E0F" w:rsidRPr="00001E0D" w:rsidRDefault="00807E0F" w:rsidP="00807E0F">
      <w:pPr>
        <w:rPr>
          <w:rFonts w:ascii="Arial" w:hAnsi="Arial"/>
          <w:sz w:val="20"/>
          <w:lang w:val="fr-CA"/>
        </w:rPr>
      </w:pPr>
    </w:p>
    <w:p w:rsidR="00807E0F" w:rsidRPr="00001E0D" w:rsidRDefault="00807E0F" w:rsidP="00807E0F">
      <w:pPr>
        <w:rPr>
          <w:rFonts w:ascii="Arial" w:hAnsi="Arial"/>
          <w:b/>
          <w:sz w:val="20"/>
          <w:lang w:val="fr-CA"/>
        </w:rPr>
      </w:pPr>
      <w:r>
        <w:rPr>
          <w:rFonts w:ascii="Arial" w:hAnsi="Arial"/>
          <w:b/>
          <w:sz w:val="20"/>
          <w:lang w:val="fr-CA"/>
        </w:rPr>
        <w:t>j</w:t>
      </w:r>
      <w:r w:rsidRPr="00001E0D">
        <w:rPr>
          <w:rFonts w:ascii="Arial" w:hAnsi="Arial"/>
          <w:b/>
          <w:sz w:val="20"/>
          <w:lang w:val="fr-CA"/>
        </w:rPr>
        <w:t xml:space="preserve">) </w:t>
      </w:r>
      <w:r>
        <w:rPr>
          <w:rFonts w:ascii="Arial" w:hAnsi="Arial"/>
          <w:b/>
          <w:sz w:val="20"/>
          <w:lang w:val="fr-CA"/>
        </w:rPr>
        <w:t>Conseil des grands projets et investissements</w:t>
      </w:r>
      <w:r w:rsidRPr="00001E0D">
        <w:rPr>
          <w:rFonts w:ascii="Arial" w:hAnsi="Arial"/>
          <w:b/>
          <w:sz w:val="20"/>
          <w:lang w:val="fr-CA"/>
        </w:rPr>
        <w:t xml:space="preserve"> (</w:t>
      </w:r>
      <w:r>
        <w:rPr>
          <w:rFonts w:ascii="Arial" w:hAnsi="Arial"/>
          <w:b/>
          <w:sz w:val="20"/>
          <w:lang w:val="fr-CA"/>
        </w:rPr>
        <w:t>CGPI</w:t>
      </w:r>
      <w:r w:rsidRPr="00001E0D">
        <w:rPr>
          <w:rFonts w:ascii="Arial" w:hAnsi="Arial"/>
          <w:b/>
          <w:sz w:val="20"/>
          <w:lang w:val="fr-CA"/>
        </w:rPr>
        <w:t>)</w:t>
      </w:r>
    </w:p>
    <w:p w:rsidR="00807E0F" w:rsidRPr="00001E0D" w:rsidRDefault="00807E0F" w:rsidP="00807E0F">
      <w:pPr>
        <w:rPr>
          <w:rFonts w:ascii="Arial" w:hAnsi="Arial"/>
          <w:sz w:val="20"/>
          <w:lang w:val="fr-CA"/>
        </w:rPr>
      </w:pPr>
    </w:p>
    <w:p w:rsidR="00807E0F" w:rsidRPr="00001E0D" w:rsidRDefault="00FD44B6" w:rsidP="00807E0F">
      <w:pPr>
        <w:rPr>
          <w:rFonts w:ascii="Arial" w:hAnsi="Arial"/>
          <w:sz w:val="20"/>
          <w:lang w:val="fr-CA"/>
        </w:rPr>
      </w:pPr>
      <w:r>
        <w:rPr>
          <w:rFonts w:ascii="Arial" w:hAnsi="Arial"/>
          <w:sz w:val="20"/>
          <w:lang w:val="fr-CA"/>
        </w:rPr>
        <w:t xml:space="preserve">Le Conseil des grands projets et investissements (CGPI) relève du CGM et a pour </w:t>
      </w:r>
      <w:r w:rsidR="00807E0F" w:rsidRPr="00881551">
        <w:rPr>
          <w:rFonts w:ascii="Arial" w:hAnsi="Arial"/>
          <w:sz w:val="20"/>
          <w:lang w:val="fr-CA"/>
        </w:rPr>
        <w:t>mandat de favoriser la rigueur et la transparence dans la planification et la gestion des projets</w:t>
      </w:r>
      <w:r>
        <w:rPr>
          <w:rFonts w:ascii="Arial" w:hAnsi="Arial"/>
          <w:sz w:val="20"/>
          <w:lang w:val="fr-CA"/>
        </w:rPr>
        <w:t>,</w:t>
      </w:r>
      <w:r w:rsidR="00807E0F" w:rsidRPr="00881551">
        <w:rPr>
          <w:rFonts w:ascii="Arial" w:hAnsi="Arial"/>
          <w:sz w:val="20"/>
          <w:lang w:val="fr-CA"/>
        </w:rPr>
        <w:t xml:space="preserve"> ainsi que dans les décisions en matière d’investissement, en réalisant les tâches suivantes</w:t>
      </w:r>
      <w:r w:rsidR="00807E0F">
        <w:rPr>
          <w:rFonts w:ascii="Arial" w:hAnsi="Arial"/>
          <w:sz w:val="20"/>
          <w:lang w:val="fr-CA"/>
        </w:rPr>
        <w:t> </w:t>
      </w:r>
      <w:r w:rsidR="00807E0F" w:rsidRPr="00001E0D">
        <w:rPr>
          <w:rFonts w:ascii="Arial" w:hAnsi="Arial"/>
          <w:sz w:val="20"/>
          <w:lang w:val="fr-CA"/>
        </w:rPr>
        <w:t>:</w:t>
      </w:r>
    </w:p>
    <w:p w:rsidR="00807E0F" w:rsidRPr="00001E0D" w:rsidRDefault="00807E0F" w:rsidP="00807E0F">
      <w:pPr>
        <w:rPr>
          <w:rFonts w:ascii="Arial" w:hAnsi="Arial"/>
          <w:sz w:val="20"/>
          <w:lang w:val="fr-CA"/>
        </w:rPr>
      </w:pPr>
    </w:p>
    <w:p w:rsidR="00807E0F" w:rsidRPr="00001E0D" w:rsidRDefault="00807E0F" w:rsidP="00807E0F">
      <w:pPr>
        <w:numPr>
          <w:ilvl w:val="0"/>
          <w:numId w:val="19"/>
        </w:numPr>
        <w:rPr>
          <w:rFonts w:ascii="Arial" w:hAnsi="Arial"/>
          <w:sz w:val="20"/>
          <w:lang w:val="fr-CA"/>
        </w:rPr>
      </w:pPr>
      <w:r w:rsidRPr="00407165">
        <w:rPr>
          <w:rFonts w:ascii="Arial" w:hAnsi="Arial"/>
          <w:sz w:val="20"/>
          <w:lang w:val="fr-CA"/>
        </w:rPr>
        <w:t>offrir une supervision objective</w:t>
      </w:r>
      <w:r w:rsidR="00FD44B6">
        <w:rPr>
          <w:rFonts w:ascii="Arial" w:hAnsi="Arial"/>
          <w:sz w:val="20"/>
          <w:lang w:val="fr-CA"/>
        </w:rPr>
        <w:t>,</w:t>
      </w:r>
      <w:r w:rsidRPr="00407165">
        <w:rPr>
          <w:rFonts w:ascii="Arial" w:hAnsi="Arial"/>
          <w:sz w:val="20"/>
          <w:lang w:val="fr-CA"/>
        </w:rPr>
        <w:t xml:space="preserve"> en temps opportun</w:t>
      </w:r>
      <w:r w:rsidR="00FD44B6">
        <w:rPr>
          <w:rFonts w:ascii="Arial" w:hAnsi="Arial"/>
          <w:sz w:val="20"/>
          <w:lang w:val="fr-CA"/>
        </w:rPr>
        <w:t>,</w:t>
      </w:r>
      <w:r w:rsidRPr="00407165">
        <w:rPr>
          <w:rFonts w:ascii="Arial" w:hAnsi="Arial"/>
          <w:sz w:val="20"/>
          <w:lang w:val="fr-CA"/>
        </w:rPr>
        <w:t xml:space="preserve"> de tous les grands projets réalisés dans l’ensemble du portefeuille lorsqu’ils en sont aux troisième, quatrième et cinquième point</w:t>
      </w:r>
      <w:r>
        <w:rPr>
          <w:rFonts w:ascii="Arial" w:hAnsi="Arial"/>
          <w:sz w:val="20"/>
          <w:lang w:val="fr-CA"/>
        </w:rPr>
        <w:t>s</w:t>
      </w:r>
      <w:r w:rsidRPr="00407165">
        <w:rPr>
          <w:rFonts w:ascii="Arial" w:hAnsi="Arial"/>
          <w:sz w:val="20"/>
          <w:lang w:val="fr-CA"/>
        </w:rPr>
        <w:t xml:space="preserve"> de contrôles du processus d’établissement des étapes et des points de contrôle</w:t>
      </w:r>
      <w:r>
        <w:rPr>
          <w:rFonts w:ascii="Arial" w:hAnsi="Arial"/>
          <w:sz w:val="20"/>
          <w:lang w:val="fr-CA"/>
        </w:rPr>
        <w:t>;</w:t>
      </w:r>
    </w:p>
    <w:p w:rsidR="00807E0F" w:rsidRPr="00001E0D" w:rsidRDefault="00807E0F" w:rsidP="00807E0F">
      <w:pPr>
        <w:numPr>
          <w:ilvl w:val="0"/>
          <w:numId w:val="19"/>
        </w:numPr>
        <w:rPr>
          <w:rFonts w:ascii="Arial" w:hAnsi="Arial"/>
          <w:sz w:val="20"/>
          <w:lang w:val="fr-CA"/>
        </w:rPr>
      </w:pPr>
      <w:r w:rsidRPr="00407165">
        <w:rPr>
          <w:rFonts w:ascii="Arial" w:hAnsi="Arial"/>
          <w:sz w:val="20"/>
          <w:lang w:val="fr-CA"/>
        </w:rPr>
        <w:t xml:space="preserve">jouer un rôle clé, dans le contexte du processus annuel de détermination des priorités et de planification des activités du </w:t>
      </w:r>
      <w:r w:rsidR="00A65707">
        <w:rPr>
          <w:rFonts w:ascii="Arial" w:hAnsi="Arial"/>
          <w:sz w:val="20"/>
          <w:lang w:val="fr-CA"/>
        </w:rPr>
        <w:t>ministère</w:t>
      </w:r>
      <w:r w:rsidRPr="00407165">
        <w:rPr>
          <w:rFonts w:ascii="Arial" w:hAnsi="Arial"/>
          <w:sz w:val="20"/>
          <w:lang w:val="fr-CA"/>
        </w:rPr>
        <w:t>, dans l’élaboration d’un plan d’investissement pluriannuel pour le portefeuille et l’établissement de priorités annuelles en matière d’investissement</w:t>
      </w:r>
      <w:r>
        <w:rPr>
          <w:rFonts w:ascii="Arial" w:hAnsi="Arial"/>
          <w:sz w:val="20"/>
          <w:lang w:val="fr-CA"/>
        </w:rPr>
        <w:t>;</w:t>
      </w:r>
    </w:p>
    <w:p w:rsidR="00807E0F" w:rsidRPr="00001E0D" w:rsidRDefault="00807E0F" w:rsidP="00807E0F">
      <w:pPr>
        <w:numPr>
          <w:ilvl w:val="0"/>
          <w:numId w:val="19"/>
        </w:numPr>
        <w:rPr>
          <w:rFonts w:ascii="Arial" w:hAnsi="Arial"/>
          <w:sz w:val="20"/>
          <w:lang w:val="fr-CA"/>
        </w:rPr>
      </w:pPr>
      <w:r w:rsidRPr="00407165">
        <w:rPr>
          <w:rFonts w:ascii="Arial" w:hAnsi="Arial"/>
          <w:sz w:val="20"/>
          <w:lang w:val="fr-CA"/>
        </w:rPr>
        <w:t>approuver les stratégies d’approvisionnement des plans en lien avec les projets et les actifs</w:t>
      </w:r>
      <w:r>
        <w:rPr>
          <w:rFonts w:ascii="Arial" w:hAnsi="Arial"/>
          <w:sz w:val="20"/>
          <w:lang w:val="fr-CA"/>
        </w:rPr>
        <w:t>;</w:t>
      </w:r>
    </w:p>
    <w:p w:rsidR="00807E0F" w:rsidRPr="00001E0D" w:rsidRDefault="00807E0F" w:rsidP="00807E0F">
      <w:pPr>
        <w:numPr>
          <w:ilvl w:val="0"/>
          <w:numId w:val="19"/>
        </w:numPr>
        <w:rPr>
          <w:rFonts w:ascii="Arial" w:hAnsi="Arial"/>
          <w:sz w:val="20"/>
          <w:lang w:val="fr-CA"/>
        </w:rPr>
      </w:pPr>
      <w:r w:rsidRPr="00407165">
        <w:rPr>
          <w:rFonts w:ascii="Arial" w:hAnsi="Arial"/>
          <w:sz w:val="20"/>
          <w:lang w:val="fr-CA"/>
        </w:rPr>
        <w:t>appuyer le renforcement des capacités dans l’ensemble du portefeuille en ce qui concerne la planification et la gestion de projets</w:t>
      </w:r>
      <w:r w:rsidRPr="00001E0D">
        <w:rPr>
          <w:rFonts w:ascii="Arial" w:hAnsi="Arial"/>
          <w:sz w:val="20"/>
          <w:lang w:val="fr-CA"/>
        </w:rPr>
        <w:t>.</w:t>
      </w:r>
    </w:p>
    <w:p w:rsidR="00807E0F" w:rsidRPr="0058728B" w:rsidRDefault="00807E0F" w:rsidP="00807E0F">
      <w:pPr>
        <w:rPr>
          <w:rFonts w:ascii="Arial" w:hAnsi="Arial"/>
          <w:b/>
          <w:sz w:val="20"/>
          <w:lang w:val="fr-CA"/>
        </w:rPr>
      </w:pPr>
    </w:p>
    <w:p w:rsidR="00807E0F" w:rsidRPr="0058728B" w:rsidRDefault="00807E0F" w:rsidP="00807E0F">
      <w:pPr>
        <w:rPr>
          <w:rFonts w:ascii="Arial" w:hAnsi="Arial"/>
          <w:b/>
          <w:sz w:val="20"/>
          <w:lang w:val="fr-CA"/>
        </w:rPr>
      </w:pPr>
      <w:r w:rsidRPr="0058728B">
        <w:rPr>
          <w:rFonts w:ascii="Arial" w:hAnsi="Arial"/>
          <w:b/>
          <w:sz w:val="20"/>
          <w:lang w:val="fr-CA"/>
        </w:rPr>
        <w:t>k) Comité de la protection des renseignements personnels et de la sécurité de l’information (CPRPSI)</w:t>
      </w:r>
    </w:p>
    <w:p w:rsidR="00807E0F" w:rsidRDefault="00807E0F" w:rsidP="00807E0F">
      <w:pPr>
        <w:rPr>
          <w:rFonts w:ascii="Arial" w:hAnsi="Arial"/>
          <w:sz w:val="20"/>
          <w:lang w:val="fr-CA"/>
        </w:rPr>
      </w:pPr>
    </w:p>
    <w:p w:rsidR="00807E0F" w:rsidRPr="00001E0D" w:rsidRDefault="00807E0F" w:rsidP="00807E0F">
      <w:pPr>
        <w:rPr>
          <w:rFonts w:ascii="Arial" w:hAnsi="Arial"/>
          <w:sz w:val="20"/>
          <w:lang w:val="fr-CA"/>
        </w:rPr>
      </w:pPr>
      <w:r w:rsidRPr="0058728B">
        <w:rPr>
          <w:rFonts w:ascii="Arial" w:hAnsi="Arial"/>
          <w:sz w:val="20"/>
          <w:lang w:val="fr-CA"/>
        </w:rPr>
        <w:t>Le Comité sur la protection des renseignements personnels et la sécurité</w:t>
      </w:r>
      <w:r w:rsidR="00394E42">
        <w:rPr>
          <w:rFonts w:ascii="Arial" w:hAnsi="Arial"/>
          <w:sz w:val="20"/>
          <w:lang w:val="fr-CA"/>
        </w:rPr>
        <w:t xml:space="preserve"> de l’information (CPRPSI) est le</w:t>
      </w:r>
      <w:r w:rsidRPr="0058728B">
        <w:rPr>
          <w:rFonts w:ascii="Arial" w:hAnsi="Arial"/>
          <w:sz w:val="20"/>
          <w:lang w:val="fr-CA"/>
        </w:rPr>
        <w:t xml:space="preserve"> sous-comité CGM responsable des questions relatives à la vie privée et à la protection des renseignements personnels.</w:t>
      </w:r>
    </w:p>
    <w:p w:rsidR="00807E0F" w:rsidRDefault="00807E0F" w:rsidP="00807E0F">
      <w:pPr>
        <w:rPr>
          <w:rFonts w:ascii="Arial" w:hAnsi="Arial"/>
          <w:sz w:val="20"/>
          <w:lang w:val="fr-CA"/>
        </w:rPr>
      </w:pPr>
    </w:p>
    <w:p w:rsidR="00807E0F" w:rsidRDefault="00807E0F" w:rsidP="00807E0F">
      <w:pPr>
        <w:rPr>
          <w:rFonts w:ascii="Arial" w:hAnsi="Arial"/>
          <w:sz w:val="20"/>
          <w:lang w:val="fr-CA"/>
        </w:rPr>
      </w:pPr>
    </w:p>
    <w:p w:rsidR="00807E0F" w:rsidRDefault="00807E0F" w:rsidP="00807E0F">
      <w:pPr>
        <w:rPr>
          <w:rFonts w:ascii="Arial" w:hAnsi="Arial"/>
          <w:sz w:val="20"/>
          <w:lang w:val="fr-CA"/>
        </w:rPr>
      </w:pPr>
    </w:p>
    <w:p w:rsidR="00807E0F" w:rsidRDefault="00807E0F" w:rsidP="00807E0F">
      <w:pPr>
        <w:rPr>
          <w:rFonts w:ascii="Arial" w:hAnsi="Arial"/>
          <w:sz w:val="20"/>
          <w:lang w:val="fr-CA"/>
        </w:rPr>
      </w:pPr>
    </w:p>
    <w:p w:rsidR="00807E0F" w:rsidRPr="00001E0D" w:rsidRDefault="00394E42" w:rsidP="00807E0F">
      <w:pPr>
        <w:pStyle w:val="Heading2"/>
        <w:rPr>
          <w:lang w:val="fr-CA"/>
        </w:rPr>
      </w:pPr>
      <w:bookmarkStart w:id="108" w:name="_Annex_E:_"/>
      <w:bookmarkStart w:id="109" w:name="_Toc299694693"/>
      <w:bookmarkStart w:id="110" w:name="_Toc485812749"/>
      <w:bookmarkEnd w:id="108"/>
      <w:r>
        <w:rPr>
          <w:lang w:val="fr-CA"/>
        </w:rPr>
        <w:lastRenderedPageBreak/>
        <w:t>A</w:t>
      </w:r>
      <w:r w:rsidR="00807E0F" w:rsidRPr="00001E0D">
        <w:rPr>
          <w:lang w:val="fr-CA"/>
        </w:rPr>
        <w:t>nnex</w:t>
      </w:r>
      <w:r w:rsidR="00807E0F">
        <w:rPr>
          <w:lang w:val="fr-CA"/>
        </w:rPr>
        <w:t>e</w:t>
      </w:r>
      <w:r w:rsidR="00807E0F" w:rsidRPr="00001E0D">
        <w:rPr>
          <w:lang w:val="fr-CA"/>
        </w:rPr>
        <w:t xml:space="preserve"> E</w:t>
      </w:r>
      <w:r w:rsidR="00807E0F">
        <w:rPr>
          <w:lang w:val="fr-CA"/>
        </w:rPr>
        <w:t xml:space="preserve"> </w:t>
      </w:r>
      <w:r w:rsidR="00807E0F" w:rsidRPr="00001E0D">
        <w:rPr>
          <w:lang w:val="fr-CA"/>
        </w:rPr>
        <w:t xml:space="preserve">: </w:t>
      </w:r>
      <w:bookmarkEnd w:id="109"/>
      <w:r w:rsidR="00807E0F">
        <w:rPr>
          <w:lang w:val="fr-CA"/>
        </w:rPr>
        <w:t>Processus d’ajustement budgétaire</w:t>
      </w:r>
      <w:bookmarkEnd w:id="110"/>
    </w:p>
    <w:p w:rsidR="00807E0F" w:rsidRPr="00001E0D" w:rsidRDefault="00807E0F" w:rsidP="00807E0F">
      <w:pPr>
        <w:rPr>
          <w:rFonts w:ascii="Arial" w:hAnsi="Arial" w:cs="Arial"/>
          <w:sz w:val="20"/>
          <w:szCs w:val="20"/>
          <w:lang w:val="fr-CA"/>
        </w:rPr>
      </w:pPr>
    </w:p>
    <w:p w:rsidR="00807E0F" w:rsidRPr="00001E0D" w:rsidRDefault="00807E0F" w:rsidP="00807E0F">
      <w:pPr>
        <w:rPr>
          <w:rFonts w:ascii="Arial" w:hAnsi="Arial"/>
          <w:b/>
          <w:sz w:val="20"/>
          <w:lang w:val="fr-CA"/>
        </w:rPr>
      </w:pPr>
      <w:bookmarkStart w:id="111" w:name="_Toc297887512"/>
      <w:r w:rsidRPr="00001E0D">
        <w:rPr>
          <w:rFonts w:ascii="Arial" w:hAnsi="Arial"/>
          <w:b/>
          <w:sz w:val="20"/>
          <w:lang w:val="fr-CA"/>
        </w:rPr>
        <w:t xml:space="preserve">a) </w:t>
      </w:r>
      <w:bookmarkEnd w:id="111"/>
      <w:r w:rsidRPr="00407165">
        <w:rPr>
          <w:rFonts w:ascii="Arial" w:hAnsi="Arial"/>
          <w:b/>
          <w:sz w:val="20"/>
          <w:lang w:val="fr-CA"/>
        </w:rPr>
        <w:t xml:space="preserve">Augmentation ou diminution du niveau de financement – Fonds affectés au fonctionnement et </w:t>
      </w:r>
      <w:r w:rsidR="005E080F">
        <w:rPr>
          <w:rFonts w:ascii="Arial" w:hAnsi="Arial"/>
          <w:b/>
          <w:sz w:val="20"/>
          <w:lang w:val="fr-CA"/>
        </w:rPr>
        <w:t>aux</w:t>
      </w:r>
      <w:r>
        <w:rPr>
          <w:rFonts w:ascii="Arial" w:hAnsi="Arial"/>
          <w:b/>
          <w:sz w:val="20"/>
          <w:lang w:val="fr-CA"/>
        </w:rPr>
        <w:t xml:space="preserve"> subventions et contributions</w:t>
      </w:r>
    </w:p>
    <w:p w:rsidR="00807E0F" w:rsidRPr="00001E0D" w:rsidRDefault="00807E0F" w:rsidP="00807E0F">
      <w:pPr>
        <w:rPr>
          <w:rFonts w:ascii="Arial" w:hAnsi="Arial"/>
          <w:sz w:val="20"/>
          <w:highlight w:val="yellow"/>
          <w:lang w:val="fr-CA"/>
        </w:rPr>
      </w:pPr>
    </w:p>
    <w:p w:rsidR="00807E0F" w:rsidRPr="00001E0D" w:rsidRDefault="00807E0F" w:rsidP="00807E0F">
      <w:pPr>
        <w:rPr>
          <w:rFonts w:ascii="Arial" w:hAnsi="Arial"/>
          <w:sz w:val="20"/>
          <w:lang w:val="fr-CA"/>
        </w:rPr>
      </w:pPr>
      <w:r>
        <w:rPr>
          <w:rFonts w:ascii="Arial" w:hAnsi="Arial"/>
          <w:sz w:val="20"/>
          <w:lang w:val="fr-CA"/>
        </w:rPr>
        <w:t>Une hausse de budget est nécessaire pour augmenter le financement lorsqu’une présentation au CT est approuvée</w:t>
      </w:r>
      <w:r w:rsidRPr="00001E0D">
        <w:rPr>
          <w:rFonts w:ascii="Arial" w:hAnsi="Arial"/>
          <w:sz w:val="20"/>
          <w:lang w:val="fr-CA"/>
        </w:rPr>
        <w:t xml:space="preserve">, </w:t>
      </w:r>
      <w:r>
        <w:rPr>
          <w:rFonts w:ascii="Arial" w:hAnsi="Arial"/>
          <w:sz w:val="20"/>
          <w:lang w:val="fr-CA"/>
        </w:rPr>
        <w:t>qu’une convention collective est conclue ou lors de toute autre décision/annonce du CT</w:t>
      </w:r>
      <w:r w:rsidRPr="00001E0D">
        <w:rPr>
          <w:rFonts w:ascii="Arial" w:hAnsi="Arial"/>
          <w:sz w:val="20"/>
          <w:lang w:val="fr-CA"/>
        </w:rPr>
        <w:t xml:space="preserve">. </w:t>
      </w:r>
      <w:r>
        <w:rPr>
          <w:rFonts w:ascii="Arial" w:hAnsi="Arial"/>
          <w:sz w:val="20"/>
          <w:lang w:val="fr-CA"/>
        </w:rPr>
        <w:t>Une fois que le CT a donné son approbation</w:t>
      </w:r>
      <w:r w:rsidRPr="00001E0D">
        <w:rPr>
          <w:rFonts w:ascii="Arial" w:hAnsi="Arial"/>
          <w:sz w:val="20"/>
          <w:lang w:val="fr-CA"/>
        </w:rPr>
        <w:t xml:space="preserve">, </w:t>
      </w:r>
      <w:r>
        <w:rPr>
          <w:rFonts w:ascii="Arial" w:hAnsi="Arial"/>
          <w:sz w:val="20"/>
          <w:lang w:val="fr-CA"/>
        </w:rPr>
        <w:t>le financement est</w:t>
      </w:r>
      <w:r w:rsidRPr="00001E0D">
        <w:rPr>
          <w:rFonts w:ascii="Arial" w:hAnsi="Arial"/>
          <w:sz w:val="20"/>
          <w:lang w:val="fr-CA"/>
        </w:rPr>
        <w:t xml:space="preserve"> </w:t>
      </w:r>
      <w:r>
        <w:rPr>
          <w:rFonts w:ascii="Arial" w:hAnsi="Arial"/>
          <w:sz w:val="20"/>
          <w:lang w:val="fr-CA"/>
        </w:rPr>
        <w:t>inscrit dans le RFA</w:t>
      </w:r>
      <w:r w:rsidRPr="00001E0D">
        <w:rPr>
          <w:rFonts w:ascii="Arial" w:hAnsi="Arial"/>
          <w:sz w:val="20"/>
          <w:lang w:val="fr-CA"/>
        </w:rPr>
        <w:t xml:space="preserve"> </w:t>
      </w:r>
      <w:r>
        <w:rPr>
          <w:rFonts w:ascii="Arial" w:hAnsi="Arial"/>
          <w:sz w:val="20"/>
          <w:lang w:val="fr-CA"/>
        </w:rPr>
        <w:t>et le Budget supplémentaire des dépenses</w:t>
      </w:r>
      <w:r w:rsidRPr="00001E0D">
        <w:rPr>
          <w:rFonts w:ascii="Arial" w:hAnsi="Arial"/>
          <w:sz w:val="20"/>
          <w:lang w:val="fr-CA"/>
        </w:rPr>
        <w:t xml:space="preserve"> </w:t>
      </w:r>
      <w:r>
        <w:rPr>
          <w:rFonts w:ascii="Arial" w:hAnsi="Arial"/>
          <w:sz w:val="20"/>
          <w:lang w:val="fr-CA"/>
        </w:rPr>
        <w:t>est voté au Parlement</w:t>
      </w:r>
      <w:r w:rsidRPr="00001E0D">
        <w:rPr>
          <w:rFonts w:ascii="Arial" w:hAnsi="Arial"/>
          <w:sz w:val="20"/>
          <w:lang w:val="fr-CA"/>
        </w:rPr>
        <w:t xml:space="preserve">. </w:t>
      </w:r>
      <w:r>
        <w:rPr>
          <w:rFonts w:ascii="Arial" w:hAnsi="Arial"/>
          <w:sz w:val="20"/>
          <w:lang w:val="fr-CA"/>
        </w:rPr>
        <w:t>Une fois que le Budget supplémentaire des dépenses</w:t>
      </w:r>
      <w:r w:rsidRPr="00001E0D">
        <w:rPr>
          <w:rFonts w:ascii="Arial" w:hAnsi="Arial"/>
          <w:sz w:val="20"/>
          <w:lang w:val="fr-CA"/>
        </w:rPr>
        <w:t xml:space="preserve"> (A, B, C)</w:t>
      </w:r>
      <w:r>
        <w:rPr>
          <w:rFonts w:ascii="Arial" w:hAnsi="Arial"/>
          <w:sz w:val="20"/>
          <w:lang w:val="fr-CA"/>
        </w:rPr>
        <w:t xml:space="preserve"> a reçu la sanction royale</w:t>
      </w:r>
      <w:r w:rsidRPr="00001E0D">
        <w:rPr>
          <w:rFonts w:ascii="Arial" w:hAnsi="Arial"/>
          <w:sz w:val="20"/>
          <w:lang w:val="fr-CA"/>
        </w:rPr>
        <w:t xml:space="preserve">, </w:t>
      </w:r>
      <w:r>
        <w:rPr>
          <w:rFonts w:ascii="Arial" w:hAnsi="Arial"/>
          <w:sz w:val="20"/>
          <w:lang w:val="fr-CA"/>
        </w:rPr>
        <w:t>une mise à jour des</w:t>
      </w:r>
      <w:r w:rsidRPr="00001E0D">
        <w:rPr>
          <w:rFonts w:ascii="Arial" w:hAnsi="Arial"/>
          <w:sz w:val="20"/>
          <w:lang w:val="fr-CA"/>
        </w:rPr>
        <w:t xml:space="preserve"> </w:t>
      </w:r>
      <w:r>
        <w:rPr>
          <w:rFonts w:ascii="Arial" w:hAnsi="Arial"/>
          <w:sz w:val="20"/>
          <w:lang w:val="fr-CA"/>
        </w:rPr>
        <w:t>niveaux de référence ministériels est requise</w:t>
      </w:r>
      <w:r w:rsidRPr="00001E0D">
        <w:rPr>
          <w:rFonts w:ascii="Arial" w:hAnsi="Arial"/>
          <w:sz w:val="20"/>
          <w:lang w:val="fr-CA"/>
        </w:rPr>
        <w:t xml:space="preserve">. </w:t>
      </w:r>
      <w:r>
        <w:rPr>
          <w:rFonts w:ascii="Arial" w:hAnsi="Arial"/>
          <w:sz w:val="20"/>
          <w:lang w:val="fr-CA"/>
        </w:rPr>
        <w:t>En se fondant sur les présentations au CT</w:t>
      </w:r>
      <w:r w:rsidRPr="00001E0D">
        <w:rPr>
          <w:rFonts w:ascii="Arial" w:hAnsi="Arial"/>
          <w:sz w:val="20"/>
          <w:lang w:val="fr-CA"/>
        </w:rPr>
        <w:t xml:space="preserve">, </w:t>
      </w:r>
      <w:r>
        <w:rPr>
          <w:rFonts w:ascii="Arial" w:hAnsi="Arial"/>
          <w:sz w:val="20"/>
          <w:lang w:val="fr-CA"/>
        </w:rPr>
        <w:t>les lettres interministérielles</w:t>
      </w:r>
      <w:r w:rsidRPr="00001E0D">
        <w:rPr>
          <w:rFonts w:ascii="Arial" w:hAnsi="Arial"/>
          <w:sz w:val="20"/>
          <w:lang w:val="fr-CA"/>
        </w:rPr>
        <w:t xml:space="preserve">, </w:t>
      </w:r>
      <w:r>
        <w:rPr>
          <w:rFonts w:ascii="Arial" w:hAnsi="Arial"/>
          <w:sz w:val="20"/>
          <w:lang w:val="fr-CA"/>
        </w:rPr>
        <w:t>les lettres du CT</w:t>
      </w:r>
      <w:r w:rsidRPr="00001E0D">
        <w:rPr>
          <w:rFonts w:ascii="Arial" w:hAnsi="Arial"/>
          <w:sz w:val="20"/>
          <w:lang w:val="fr-CA"/>
        </w:rPr>
        <w:t xml:space="preserve"> </w:t>
      </w:r>
      <w:r>
        <w:rPr>
          <w:rFonts w:ascii="Arial" w:hAnsi="Arial"/>
          <w:sz w:val="20"/>
          <w:lang w:val="fr-CA"/>
        </w:rPr>
        <w:t>ou autres documents d’appui</w:t>
      </w:r>
      <w:r w:rsidRPr="00001E0D">
        <w:rPr>
          <w:rFonts w:ascii="Arial" w:hAnsi="Arial"/>
          <w:sz w:val="20"/>
          <w:lang w:val="fr-CA"/>
        </w:rPr>
        <w:t xml:space="preserve">, </w:t>
      </w:r>
      <w:r>
        <w:rPr>
          <w:rFonts w:ascii="Arial" w:hAnsi="Arial"/>
          <w:sz w:val="20"/>
          <w:lang w:val="fr-CA"/>
        </w:rPr>
        <w:t>le</w:t>
      </w:r>
      <w:r w:rsidRPr="00001E0D">
        <w:rPr>
          <w:rFonts w:ascii="Arial" w:hAnsi="Arial"/>
          <w:sz w:val="20"/>
          <w:lang w:val="fr-CA"/>
        </w:rPr>
        <w:t xml:space="preserve"> </w:t>
      </w:r>
      <w:r>
        <w:rPr>
          <w:rFonts w:ascii="Arial" w:hAnsi="Arial"/>
          <w:sz w:val="20"/>
          <w:lang w:val="fr-CA"/>
        </w:rPr>
        <w:t>GRM envoie une demande au</w:t>
      </w:r>
      <w:r w:rsidRPr="00001E0D">
        <w:rPr>
          <w:rFonts w:ascii="Arial" w:hAnsi="Arial"/>
          <w:sz w:val="20"/>
          <w:lang w:val="fr-CA"/>
        </w:rPr>
        <w:t xml:space="preserve"> </w:t>
      </w:r>
      <w:r>
        <w:rPr>
          <w:rFonts w:ascii="Arial" w:hAnsi="Arial"/>
          <w:sz w:val="20"/>
          <w:lang w:val="fr-CA"/>
        </w:rPr>
        <w:t>CGF responsable</w:t>
      </w:r>
      <w:r w:rsidRPr="00001E0D">
        <w:rPr>
          <w:rFonts w:ascii="Arial" w:hAnsi="Arial"/>
          <w:sz w:val="20"/>
          <w:lang w:val="fr-CA"/>
        </w:rPr>
        <w:t xml:space="preserve"> </w:t>
      </w:r>
      <w:r>
        <w:rPr>
          <w:rFonts w:ascii="Arial" w:hAnsi="Arial"/>
          <w:sz w:val="20"/>
          <w:lang w:val="fr-CA"/>
        </w:rPr>
        <w:t>en vue d’élaborer un modèle de distribution</w:t>
      </w:r>
      <w:r w:rsidRPr="00001E0D">
        <w:rPr>
          <w:rFonts w:ascii="Arial" w:hAnsi="Arial"/>
          <w:sz w:val="20"/>
          <w:lang w:val="fr-CA"/>
        </w:rPr>
        <w:t xml:space="preserve"> </w:t>
      </w:r>
      <w:r>
        <w:rPr>
          <w:rFonts w:ascii="Arial" w:hAnsi="Arial"/>
          <w:sz w:val="20"/>
          <w:lang w:val="fr-CA"/>
        </w:rPr>
        <w:t>pour une</w:t>
      </w:r>
      <w:r w:rsidRPr="00001E0D">
        <w:rPr>
          <w:rFonts w:ascii="Arial" w:hAnsi="Arial"/>
          <w:sz w:val="20"/>
          <w:lang w:val="fr-CA"/>
        </w:rPr>
        <w:t xml:space="preserve"> </w:t>
      </w:r>
      <w:r>
        <w:rPr>
          <w:rFonts w:ascii="Arial" w:hAnsi="Arial"/>
          <w:sz w:val="20"/>
          <w:lang w:val="fr-CA"/>
        </w:rPr>
        <w:t>affectation budgétaire interne</w:t>
      </w:r>
      <w:r w:rsidRPr="00001E0D">
        <w:rPr>
          <w:rFonts w:ascii="Arial" w:hAnsi="Arial"/>
          <w:sz w:val="20"/>
          <w:lang w:val="fr-CA"/>
        </w:rPr>
        <w:t xml:space="preserve">. </w:t>
      </w:r>
      <w:r>
        <w:rPr>
          <w:rFonts w:ascii="Arial" w:hAnsi="Arial"/>
          <w:sz w:val="20"/>
          <w:lang w:val="fr-CA"/>
        </w:rPr>
        <w:t>Le financement est ensuite entré dans</w:t>
      </w:r>
      <w:r w:rsidRPr="00001E0D">
        <w:rPr>
          <w:rFonts w:ascii="Arial" w:hAnsi="Arial"/>
          <w:sz w:val="20"/>
          <w:lang w:val="fr-CA"/>
        </w:rPr>
        <w:t xml:space="preserve"> </w:t>
      </w:r>
      <w:r>
        <w:rPr>
          <w:rFonts w:ascii="Arial" w:hAnsi="Arial"/>
          <w:sz w:val="20"/>
          <w:lang w:val="fr-CA"/>
        </w:rPr>
        <w:t>maSGE</w:t>
      </w:r>
      <w:r w:rsidRPr="00001E0D">
        <w:rPr>
          <w:rFonts w:ascii="Arial" w:hAnsi="Arial"/>
          <w:sz w:val="20"/>
          <w:lang w:val="fr-CA"/>
        </w:rPr>
        <w:t xml:space="preserve"> </w:t>
      </w:r>
      <w:r>
        <w:rPr>
          <w:rFonts w:ascii="Arial" w:hAnsi="Arial"/>
          <w:sz w:val="20"/>
          <w:lang w:val="fr-CA"/>
        </w:rPr>
        <w:t>comme il se doit par le GRM</w:t>
      </w:r>
      <w:r w:rsidRPr="00001E0D">
        <w:rPr>
          <w:rFonts w:ascii="Arial" w:hAnsi="Arial"/>
          <w:sz w:val="20"/>
          <w:lang w:val="fr-CA"/>
        </w:rPr>
        <w:t>.</w:t>
      </w:r>
    </w:p>
    <w:p w:rsidR="00807E0F" w:rsidRPr="00001E0D" w:rsidRDefault="00807E0F" w:rsidP="00807E0F">
      <w:pPr>
        <w:rPr>
          <w:rFonts w:ascii="Arial" w:hAnsi="Arial"/>
          <w:sz w:val="20"/>
          <w:lang w:val="fr-CA"/>
        </w:rPr>
      </w:pPr>
    </w:p>
    <w:p w:rsidR="00807E0F" w:rsidRPr="00001E0D" w:rsidRDefault="00807E0F" w:rsidP="00807E0F">
      <w:pPr>
        <w:rPr>
          <w:rFonts w:ascii="Arial" w:hAnsi="Arial"/>
          <w:sz w:val="20"/>
          <w:highlight w:val="yellow"/>
          <w:lang w:val="fr-CA"/>
        </w:rPr>
      </w:pPr>
      <w:r>
        <w:rPr>
          <w:rFonts w:ascii="Arial" w:hAnsi="Arial"/>
          <w:sz w:val="20"/>
          <w:lang w:val="fr-CA"/>
        </w:rPr>
        <w:t>Une exception s’applique dans les cas où le financement est entièrement recouvrable à même le Compte des opérations de l’assurance-emploi ou du RPC, ou</w:t>
      </w:r>
      <w:r w:rsidRPr="00001E0D">
        <w:rPr>
          <w:rFonts w:ascii="Arial" w:hAnsi="Arial"/>
          <w:sz w:val="20"/>
          <w:lang w:val="fr-CA"/>
        </w:rPr>
        <w:t xml:space="preserve"> </w:t>
      </w:r>
      <w:r>
        <w:rPr>
          <w:rFonts w:ascii="Arial" w:hAnsi="Arial"/>
          <w:sz w:val="20"/>
          <w:lang w:val="fr-CA"/>
        </w:rPr>
        <w:t>qu’il est issu d’une</w:t>
      </w:r>
      <w:r w:rsidRPr="00001E0D">
        <w:rPr>
          <w:rFonts w:ascii="Arial" w:hAnsi="Arial"/>
          <w:sz w:val="20"/>
          <w:lang w:val="fr-CA"/>
        </w:rPr>
        <w:t xml:space="preserve"> </w:t>
      </w:r>
      <w:r w:rsidRPr="00D719D2">
        <w:rPr>
          <w:rFonts w:ascii="Arial" w:hAnsi="Arial"/>
          <w:sz w:val="20"/>
          <w:lang w:val="fr-CA"/>
        </w:rPr>
        <w:t>autorisation de revenus nets en vertu d’un crédit</w:t>
      </w:r>
      <w:r w:rsidRPr="00001E0D">
        <w:rPr>
          <w:rFonts w:ascii="Arial" w:hAnsi="Arial"/>
          <w:sz w:val="20"/>
          <w:lang w:val="fr-CA"/>
        </w:rPr>
        <w:t xml:space="preserve">. </w:t>
      </w:r>
      <w:r>
        <w:rPr>
          <w:rFonts w:ascii="Arial" w:hAnsi="Arial"/>
          <w:sz w:val="20"/>
          <w:lang w:val="fr-CA"/>
        </w:rPr>
        <w:t>L’affectation de tels fonds peut se faire avant d’avoir reçu la sanction royale,</w:t>
      </w:r>
      <w:r w:rsidRPr="00001E0D">
        <w:rPr>
          <w:rFonts w:ascii="Arial" w:hAnsi="Arial"/>
          <w:sz w:val="20"/>
          <w:lang w:val="fr-CA"/>
        </w:rPr>
        <w:t xml:space="preserve"> </w:t>
      </w:r>
      <w:r>
        <w:rPr>
          <w:rFonts w:ascii="Arial" w:hAnsi="Arial"/>
          <w:sz w:val="20"/>
          <w:lang w:val="fr-CA"/>
        </w:rPr>
        <w:t>pourvu que le pouvoir de recouvrer les fonds ait été approuvé</w:t>
      </w:r>
      <w:r w:rsidRPr="00001E0D">
        <w:rPr>
          <w:rFonts w:ascii="Arial" w:hAnsi="Arial"/>
          <w:sz w:val="20"/>
          <w:lang w:val="fr-CA"/>
        </w:rPr>
        <w:t>.</w:t>
      </w:r>
    </w:p>
    <w:p w:rsidR="00807E0F" w:rsidRDefault="00807E0F" w:rsidP="00807E0F">
      <w:pPr>
        <w:rPr>
          <w:rFonts w:ascii="Arial" w:hAnsi="Arial"/>
          <w:sz w:val="20"/>
          <w:lang w:val="fr-CA"/>
        </w:rPr>
      </w:pPr>
    </w:p>
    <w:p w:rsidR="005E080F" w:rsidRPr="00001E0D" w:rsidRDefault="005E080F" w:rsidP="00807E0F">
      <w:pPr>
        <w:rPr>
          <w:rFonts w:ascii="Arial" w:hAnsi="Arial"/>
          <w:sz w:val="20"/>
          <w:lang w:val="fr-CA"/>
        </w:rPr>
      </w:pPr>
    </w:p>
    <w:p w:rsidR="00807E0F" w:rsidRPr="00001E0D" w:rsidRDefault="00807E0F" w:rsidP="00807E0F">
      <w:pPr>
        <w:rPr>
          <w:rFonts w:ascii="Arial" w:hAnsi="Arial"/>
          <w:b/>
          <w:sz w:val="20"/>
          <w:lang w:val="fr-CA"/>
        </w:rPr>
      </w:pPr>
      <w:bookmarkStart w:id="112" w:name="_Toc297887513"/>
      <w:r w:rsidRPr="00001E0D">
        <w:rPr>
          <w:rFonts w:ascii="Arial" w:hAnsi="Arial"/>
          <w:b/>
          <w:sz w:val="20"/>
          <w:lang w:val="fr-CA"/>
        </w:rPr>
        <w:t xml:space="preserve">b) </w:t>
      </w:r>
      <w:bookmarkEnd w:id="112"/>
      <w:r w:rsidRPr="00700F68">
        <w:rPr>
          <w:rFonts w:ascii="Arial" w:hAnsi="Arial"/>
          <w:b/>
          <w:sz w:val="20"/>
          <w:lang w:val="fr-CA"/>
        </w:rPr>
        <w:t>Transferts entre les secteurs d’activité régionaux – Fonds affectés au fonctionnement</w:t>
      </w:r>
    </w:p>
    <w:p w:rsidR="00807E0F" w:rsidRPr="00001E0D" w:rsidRDefault="00807E0F" w:rsidP="00807E0F">
      <w:pPr>
        <w:rPr>
          <w:rFonts w:ascii="Arial" w:hAnsi="Arial"/>
          <w:sz w:val="20"/>
          <w:lang w:val="fr-CA"/>
        </w:rPr>
      </w:pPr>
    </w:p>
    <w:p w:rsidR="00807E0F" w:rsidRPr="00001E0D" w:rsidRDefault="00807E0F" w:rsidP="00807E0F">
      <w:pPr>
        <w:rPr>
          <w:rFonts w:ascii="Arial" w:hAnsi="Arial"/>
          <w:sz w:val="20"/>
          <w:lang w:val="fr-CA"/>
        </w:rPr>
      </w:pPr>
      <w:r w:rsidRPr="0006644B">
        <w:rPr>
          <w:rFonts w:ascii="Arial" w:hAnsi="Arial"/>
          <w:sz w:val="20"/>
          <w:lang w:val="fr-CA"/>
        </w:rPr>
        <w:t>Tous les secteurs d’activité régionaux de Service Canada sont gérés à l’échelle nationale et sont sous la direction fonctionnelle d’un SMA</w:t>
      </w:r>
      <w:r>
        <w:rPr>
          <w:rFonts w:ascii="Arial" w:hAnsi="Arial"/>
          <w:sz w:val="20"/>
          <w:lang w:val="fr-CA"/>
        </w:rPr>
        <w:t xml:space="preserve"> de l’administration centrale (AC)</w:t>
      </w:r>
      <w:r w:rsidRPr="0006644B">
        <w:rPr>
          <w:rFonts w:ascii="Arial" w:hAnsi="Arial"/>
          <w:sz w:val="20"/>
          <w:lang w:val="fr-CA"/>
        </w:rPr>
        <w:t>. Les transferts vers et depuis ces secteurs d’activité nécessitent l</w:t>
      </w:r>
      <w:r>
        <w:rPr>
          <w:rFonts w:ascii="Arial" w:hAnsi="Arial"/>
          <w:sz w:val="20"/>
          <w:lang w:val="fr-CA"/>
        </w:rPr>
        <w:t xml:space="preserve">’approbation </w:t>
      </w:r>
      <w:r w:rsidRPr="0006644B">
        <w:rPr>
          <w:rFonts w:ascii="Arial" w:hAnsi="Arial"/>
          <w:sz w:val="20"/>
          <w:lang w:val="fr-CA"/>
        </w:rPr>
        <w:t xml:space="preserve"> des </w:t>
      </w:r>
      <w:r w:rsidR="005E080F">
        <w:rPr>
          <w:rFonts w:ascii="Arial" w:hAnsi="Arial"/>
          <w:sz w:val="20"/>
          <w:lang w:val="fr-CA"/>
        </w:rPr>
        <w:t>SMA</w:t>
      </w:r>
      <w:r w:rsidRPr="0006644B">
        <w:rPr>
          <w:rFonts w:ascii="Arial" w:hAnsi="Arial"/>
          <w:sz w:val="20"/>
          <w:lang w:val="fr-CA"/>
        </w:rPr>
        <w:t xml:space="preserve"> </w:t>
      </w:r>
      <w:r>
        <w:rPr>
          <w:rFonts w:ascii="Arial" w:hAnsi="Arial"/>
          <w:sz w:val="20"/>
          <w:lang w:val="fr-CA"/>
        </w:rPr>
        <w:t xml:space="preserve">de l’AC </w:t>
      </w:r>
      <w:r w:rsidRPr="0006644B">
        <w:rPr>
          <w:rFonts w:ascii="Arial" w:hAnsi="Arial"/>
          <w:sz w:val="20"/>
          <w:lang w:val="fr-CA"/>
        </w:rPr>
        <w:t xml:space="preserve">des secteurs d’activité respectifs et l’approbation du SMA </w:t>
      </w:r>
      <w:r>
        <w:rPr>
          <w:rFonts w:ascii="Arial" w:hAnsi="Arial"/>
          <w:sz w:val="20"/>
          <w:lang w:val="fr-CA"/>
        </w:rPr>
        <w:t>régional</w:t>
      </w:r>
      <w:r w:rsidRPr="00001E0D">
        <w:rPr>
          <w:rFonts w:ascii="Arial" w:hAnsi="Arial"/>
          <w:sz w:val="20"/>
          <w:lang w:val="fr-CA"/>
        </w:rPr>
        <w:t>.</w:t>
      </w:r>
    </w:p>
    <w:p w:rsidR="00807E0F" w:rsidRPr="00001E0D" w:rsidRDefault="00807E0F" w:rsidP="00807E0F">
      <w:pPr>
        <w:rPr>
          <w:rFonts w:ascii="Arial" w:hAnsi="Arial"/>
          <w:sz w:val="20"/>
          <w:lang w:val="fr-CA"/>
        </w:rPr>
      </w:pPr>
    </w:p>
    <w:p w:rsidR="00807E0F" w:rsidRPr="00001E0D" w:rsidRDefault="00807E0F" w:rsidP="00807E0F">
      <w:pPr>
        <w:rPr>
          <w:rFonts w:ascii="Arial" w:hAnsi="Arial"/>
          <w:sz w:val="20"/>
          <w:lang w:val="fr-CA"/>
        </w:rPr>
      </w:pPr>
      <w:r w:rsidRPr="00112FBC">
        <w:rPr>
          <w:rFonts w:ascii="Arial" w:hAnsi="Arial"/>
          <w:sz w:val="20"/>
          <w:lang w:val="fr-CA"/>
        </w:rPr>
        <w:t xml:space="preserve">Toutefois, pour faciliter la gestion des opérations quotidiennes, les </w:t>
      </w:r>
      <w:r>
        <w:rPr>
          <w:rFonts w:ascii="Arial" w:hAnsi="Arial"/>
          <w:sz w:val="20"/>
          <w:lang w:val="fr-CA"/>
        </w:rPr>
        <w:t>SMA</w:t>
      </w:r>
      <w:r w:rsidRPr="00112FBC">
        <w:rPr>
          <w:rFonts w:ascii="Arial" w:hAnsi="Arial"/>
          <w:sz w:val="20"/>
          <w:lang w:val="fr-CA"/>
        </w:rPr>
        <w:t xml:space="preserve"> régionaux disposent de la latitude voulue pour effectuer des transferts temporaires (c.-à-d. qui n’ont pas d’incidence sur le niveau de financement des secteurs d’activité régionaux pour les</w:t>
      </w:r>
      <w:r>
        <w:rPr>
          <w:rFonts w:ascii="Arial" w:hAnsi="Arial"/>
          <w:sz w:val="20"/>
          <w:lang w:val="fr-CA"/>
        </w:rPr>
        <w:t xml:space="preserve"> années subséquentes) jusqu’à 2 </w:t>
      </w:r>
      <w:r w:rsidRPr="00112FBC">
        <w:rPr>
          <w:rFonts w:ascii="Arial" w:hAnsi="Arial"/>
          <w:sz w:val="20"/>
          <w:lang w:val="fr-CA"/>
        </w:rPr>
        <w:t xml:space="preserve">% du total de leurs ressources de fonctionnement, sans l’approbation préalable du SMA </w:t>
      </w:r>
      <w:r>
        <w:rPr>
          <w:rFonts w:ascii="Arial" w:hAnsi="Arial"/>
          <w:sz w:val="20"/>
          <w:lang w:val="fr-CA"/>
        </w:rPr>
        <w:t>de l’AC du secteur fonctionnel</w:t>
      </w:r>
      <w:r w:rsidRPr="00001E0D">
        <w:rPr>
          <w:rFonts w:ascii="Arial" w:hAnsi="Arial"/>
          <w:sz w:val="20"/>
          <w:lang w:val="fr-CA"/>
        </w:rPr>
        <w:t>.</w:t>
      </w:r>
    </w:p>
    <w:p w:rsidR="00807E0F" w:rsidRPr="00001E0D" w:rsidRDefault="00807E0F" w:rsidP="00807E0F">
      <w:pPr>
        <w:rPr>
          <w:rFonts w:ascii="Arial" w:hAnsi="Arial"/>
          <w:sz w:val="20"/>
          <w:lang w:val="fr-CA"/>
        </w:rPr>
      </w:pPr>
    </w:p>
    <w:p w:rsidR="00807E0F" w:rsidRPr="00001E0D" w:rsidRDefault="005E080F" w:rsidP="00807E0F">
      <w:pPr>
        <w:rPr>
          <w:rFonts w:ascii="Arial" w:hAnsi="Arial"/>
          <w:sz w:val="20"/>
          <w:lang w:val="fr-CA"/>
        </w:rPr>
      </w:pPr>
      <w:r>
        <w:rPr>
          <w:rFonts w:ascii="Arial" w:hAnsi="Arial"/>
          <w:sz w:val="20"/>
          <w:lang w:val="fr-CA"/>
        </w:rPr>
        <w:t>Comme les I</w:t>
      </w:r>
      <w:r w:rsidR="00807E0F" w:rsidRPr="00DE52E1">
        <w:rPr>
          <w:rFonts w:ascii="Arial" w:hAnsi="Arial"/>
          <w:sz w:val="20"/>
          <w:lang w:val="fr-CA"/>
        </w:rPr>
        <w:t xml:space="preserve">ndicateurs de rendement clés (IRC) sont liés au niveau de financement affecté à </w:t>
      </w:r>
      <w:r w:rsidR="00807E0F">
        <w:rPr>
          <w:rFonts w:ascii="Arial" w:hAnsi="Arial"/>
          <w:sz w:val="20"/>
          <w:lang w:val="fr-CA"/>
        </w:rPr>
        <w:t>chaque secteur d’activité, le 2 </w:t>
      </w:r>
      <w:r w:rsidR="00807E0F" w:rsidRPr="00DE52E1">
        <w:rPr>
          <w:rFonts w:ascii="Arial" w:hAnsi="Arial"/>
          <w:sz w:val="20"/>
          <w:lang w:val="fr-CA"/>
        </w:rPr>
        <w:t>% de latitude est conditionnel à ce que tous les niveaux de services demeurent intacts</w:t>
      </w:r>
      <w:r w:rsidR="00807E0F" w:rsidRPr="00001E0D">
        <w:rPr>
          <w:rFonts w:ascii="Arial" w:hAnsi="Arial"/>
          <w:sz w:val="20"/>
          <w:lang w:val="fr-CA"/>
        </w:rPr>
        <w:t>.</w:t>
      </w:r>
    </w:p>
    <w:p w:rsidR="00807E0F" w:rsidRPr="00001E0D" w:rsidRDefault="00807E0F" w:rsidP="00807E0F">
      <w:pPr>
        <w:pStyle w:val="NormalArial"/>
        <w:ind w:left="0"/>
        <w:rPr>
          <w:rFonts w:ascii="Arial" w:hAnsi="Arial" w:cs="Arial"/>
          <w:sz w:val="20"/>
          <w:szCs w:val="20"/>
          <w:lang w:val="fr-CA"/>
        </w:rPr>
      </w:pPr>
    </w:p>
    <w:p w:rsidR="00807E0F" w:rsidRPr="00001E0D" w:rsidRDefault="00807E0F" w:rsidP="00807E0F">
      <w:pPr>
        <w:pStyle w:val="NormalArial"/>
        <w:ind w:left="0"/>
        <w:rPr>
          <w:rFonts w:ascii="Arial" w:hAnsi="Arial" w:cs="Arial"/>
          <w:sz w:val="20"/>
          <w:szCs w:val="20"/>
          <w:lang w:val="fr-CA"/>
        </w:rPr>
      </w:pPr>
      <w:r w:rsidRPr="00DE52E1">
        <w:rPr>
          <w:rFonts w:ascii="Arial" w:hAnsi="Arial" w:cs="Arial"/>
          <w:sz w:val="20"/>
          <w:szCs w:val="20"/>
          <w:lang w:val="fr-CA"/>
        </w:rPr>
        <w:t xml:space="preserve">Les secteurs d’activité suivants sont sujets à la marge de </w:t>
      </w:r>
      <w:r>
        <w:rPr>
          <w:rFonts w:ascii="Arial" w:hAnsi="Arial" w:cs="Arial"/>
          <w:sz w:val="20"/>
          <w:szCs w:val="20"/>
          <w:lang w:val="fr-CA"/>
        </w:rPr>
        <w:t>manœuvre</w:t>
      </w:r>
      <w:r w:rsidRPr="00DE52E1">
        <w:rPr>
          <w:rFonts w:ascii="Arial" w:hAnsi="Arial" w:cs="Arial"/>
          <w:sz w:val="20"/>
          <w:szCs w:val="20"/>
          <w:lang w:val="fr-CA"/>
        </w:rPr>
        <w:t xml:space="preserve"> de 2</w:t>
      </w:r>
      <w:r>
        <w:rPr>
          <w:rFonts w:ascii="Arial" w:hAnsi="Arial" w:cs="Arial"/>
          <w:sz w:val="20"/>
          <w:szCs w:val="20"/>
          <w:lang w:val="fr-CA"/>
        </w:rPr>
        <w:t> </w:t>
      </w:r>
      <w:r w:rsidRPr="00DE52E1">
        <w:rPr>
          <w:rFonts w:ascii="Arial" w:hAnsi="Arial" w:cs="Arial"/>
          <w:sz w:val="20"/>
          <w:szCs w:val="20"/>
          <w:lang w:val="fr-CA"/>
        </w:rPr>
        <w:t>%</w:t>
      </w:r>
      <w:r>
        <w:rPr>
          <w:rFonts w:ascii="Arial" w:hAnsi="Arial" w:cs="Arial"/>
          <w:sz w:val="20"/>
          <w:szCs w:val="20"/>
          <w:lang w:val="fr-CA"/>
        </w:rPr>
        <w:t> </w:t>
      </w:r>
      <w:r w:rsidRPr="00001E0D">
        <w:rPr>
          <w:rFonts w:ascii="Arial" w:hAnsi="Arial" w:cs="Arial"/>
          <w:sz w:val="20"/>
          <w:szCs w:val="20"/>
          <w:lang w:val="fr-CA"/>
        </w:rPr>
        <w:t>:</w:t>
      </w:r>
    </w:p>
    <w:p w:rsidR="00807E0F" w:rsidRPr="00001E0D" w:rsidRDefault="00807E0F" w:rsidP="00807E0F">
      <w:pPr>
        <w:pStyle w:val="NormalArial"/>
        <w:numPr>
          <w:ilvl w:val="0"/>
          <w:numId w:val="9"/>
        </w:numPr>
        <w:tabs>
          <w:tab w:val="clear" w:pos="1219"/>
          <w:tab w:val="num" w:pos="540"/>
        </w:tabs>
        <w:ind w:left="540"/>
        <w:rPr>
          <w:rFonts w:ascii="Arial" w:hAnsi="Arial" w:cs="Arial"/>
          <w:sz w:val="20"/>
          <w:szCs w:val="20"/>
          <w:lang w:val="fr-CA"/>
        </w:rPr>
      </w:pPr>
      <w:r>
        <w:rPr>
          <w:rFonts w:ascii="Arial" w:hAnsi="Arial" w:cs="Arial"/>
          <w:sz w:val="20"/>
          <w:szCs w:val="20"/>
          <w:lang w:val="fr-CA"/>
        </w:rPr>
        <w:t>Services stratégiques</w:t>
      </w:r>
    </w:p>
    <w:p w:rsidR="00807E0F" w:rsidRPr="00001E0D" w:rsidRDefault="00807E0F" w:rsidP="00807E0F">
      <w:pPr>
        <w:pStyle w:val="NormalArial"/>
        <w:numPr>
          <w:ilvl w:val="0"/>
          <w:numId w:val="9"/>
        </w:numPr>
        <w:tabs>
          <w:tab w:val="clear" w:pos="1219"/>
          <w:tab w:val="num" w:pos="540"/>
        </w:tabs>
        <w:ind w:left="540"/>
        <w:rPr>
          <w:rFonts w:ascii="Arial" w:hAnsi="Arial" w:cs="Arial"/>
          <w:sz w:val="20"/>
          <w:szCs w:val="20"/>
          <w:lang w:val="fr-CA"/>
        </w:rPr>
      </w:pPr>
      <w:r>
        <w:rPr>
          <w:rFonts w:ascii="Arial" w:hAnsi="Arial" w:cs="Arial"/>
          <w:sz w:val="20"/>
          <w:szCs w:val="20"/>
          <w:lang w:val="fr-CA"/>
        </w:rPr>
        <w:t>Services aux citoyens</w:t>
      </w:r>
    </w:p>
    <w:p w:rsidR="00807E0F" w:rsidRPr="00001E0D" w:rsidRDefault="00807E0F" w:rsidP="00807E0F">
      <w:pPr>
        <w:pStyle w:val="NormalArial"/>
        <w:numPr>
          <w:ilvl w:val="0"/>
          <w:numId w:val="9"/>
        </w:numPr>
        <w:tabs>
          <w:tab w:val="clear" w:pos="1219"/>
          <w:tab w:val="num" w:pos="540"/>
        </w:tabs>
        <w:ind w:left="540"/>
        <w:rPr>
          <w:rFonts w:ascii="Arial" w:hAnsi="Arial" w:cs="Arial"/>
          <w:sz w:val="20"/>
          <w:szCs w:val="20"/>
          <w:lang w:val="fr-CA"/>
        </w:rPr>
      </w:pPr>
      <w:r>
        <w:rPr>
          <w:rFonts w:ascii="Arial" w:hAnsi="Arial" w:cs="Arial"/>
          <w:sz w:val="20"/>
          <w:szCs w:val="20"/>
          <w:lang w:val="fr-CA"/>
        </w:rPr>
        <w:t>Services de livraison des pre</w:t>
      </w:r>
      <w:r w:rsidR="005E080F">
        <w:rPr>
          <w:rFonts w:ascii="Arial" w:hAnsi="Arial" w:cs="Arial"/>
          <w:sz w:val="20"/>
          <w:szCs w:val="20"/>
          <w:lang w:val="fr-CA"/>
        </w:rPr>
        <w:t>stations (incl. l</w:t>
      </w:r>
      <w:r>
        <w:rPr>
          <w:rFonts w:ascii="Arial" w:hAnsi="Arial" w:cs="Arial"/>
          <w:sz w:val="20"/>
          <w:szCs w:val="20"/>
          <w:lang w:val="fr-CA"/>
        </w:rPr>
        <w:t>es centres d’appel)</w:t>
      </w:r>
    </w:p>
    <w:p w:rsidR="00807E0F" w:rsidRPr="00001E0D" w:rsidRDefault="00807E0F" w:rsidP="00807E0F">
      <w:pPr>
        <w:pStyle w:val="NormalArial"/>
        <w:numPr>
          <w:ilvl w:val="0"/>
          <w:numId w:val="9"/>
        </w:numPr>
        <w:tabs>
          <w:tab w:val="clear" w:pos="1219"/>
          <w:tab w:val="num" w:pos="540"/>
        </w:tabs>
        <w:ind w:left="540"/>
        <w:rPr>
          <w:rFonts w:ascii="Arial" w:hAnsi="Arial" w:cs="Arial"/>
          <w:sz w:val="20"/>
          <w:szCs w:val="20"/>
          <w:lang w:val="fr-CA"/>
        </w:rPr>
      </w:pPr>
      <w:r>
        <w:rPr>
          <w:rFonts w:ascii="Arial" w:hAnsi="Arial" w:cs="Arial"/>
          <w:sz w:val="20"/>
          <w:szCs w:val="20"/>
          <w:lang w:val="fr-CA"/>
        </w:rPr>
        <w:t>Services d’intégrité</w:t>
      </w:r>
    </w:p>
    <w:p w:rsidR="00807E0F" w:rsidRPr="00001E0D" w:rsidRDefault="00807E0F" w:rsidP="00807E0F">
      <w:pPr>
        <w:pStyle w:val="NormalArial"/>
        <w:numPr>
          <w:ilvl w:val="0"/>
          <w:numId w:val="9"/>
        </w:numPr>
        <w:tabs>
          <w:tab w:val="clear" w:pos="1219"/>
          <w:tab w:val="num" w:pos="540"/>
        </w:tabs>
        <w:ind w:left="540"/>
        <w:rPr>
          <w:rFonts w:ascii="Arial" w:hAnsi="Arial" w:cs="Arial"/>
          <w:sz w:val="20"/>
          <w:szCs w:val="20"/>
          <w:lang w:val="fr-CA"/>
        </w:rPr>
      </w:pPr>
      <w:r>
        <w:rPr>
          <w:rFonts w:ascii="Arial" w:hAnsi="Arial" w:cs="Arial"/>
          <w:sz w:val="20"/>
          <w:szCs w:val="20"/>
          <w:lang w:val="fr-CA"/>
        </w:rPr>
        <w:t>PMTDS</w:t>
      </w:r>
      <w:r w:rsidRPr="00001E0D">
        <w:rPr>
          <w:rFonts w:ascii="Arial" w:hAnsi="Arial" w:cs="Arial"/>
          <w:sz w:val="20"/>
          <w:szCs w:val="20"/>
          <w:lang w:val="fr-CA"/>
        </w:rPr>
        <w:t xml:space="preserve"> (</w:t>
      </w:r>
      <w:r>
        <w:rPr>
          <w:rFonts w:ascii="Arial" w:hAnsi="Arial" w:cs="Arial"/>
          <w:sz w:val="20"/>
          <w:szCs w:val="20"/>
          <w:lang w:val="fr-CA"/>
        </w:rPr>
        <w:t>p. ex.</w:t>
      </w:r>
      <w:r w:rsidRPr="00001E0D">
        <w:rPr>
          <w:rFonts w:ascii="Arial" w:hAnsi="Arial" w:cs="Arial"/>
          <w:sz w:val="20"/>
          <w:szCs w:val="20"/>
          <w:lang w:val="fr-CA"/>
        </w:rPr>
        <w:t xml:space="preserve"> </w:t>
      </w:r>
      <w:r>
        <w:rPr>
          <w:rFonts w:ascii="Arial" w:hAnsi="Arial" w:cs="Arial"/>
          <w:sz w:val="20"/>
          <w:szCs w:val="20"/>
          <w:lang w:val="fr-CA"/>
        </w:rPr>
        <w:t>Opération de programmes, Itinérance, Compétences et emploi, et Nouveaux horizons</w:t>
      </w:r>
      <w:r w:rsidRPr="00001E0D">
        <w:rPr>
          <w:rFonts w:ascii="Arial" w:hAnsi="Arial" w:cs="Arial"/>
          <w:sz w:val="20"/>
          <w:szCs w:val="20"/>
          <w:lang w:val="fr-CA"/>
        </w:rPr>
        <w:t>)</w:t>
      </w:r>
    </w:p>
    <w:p w:rsidR="00807E0F" w:rsidRDefault="00807E0F" w:rsidP="00807E0F">
      <w:pPr>
        <w:rPr>
          <w:rFonts w:ascii="Arial" w:hAnsi="Arial"/>
          <w:sz w:val="20"/>
          <w:highlight w:val="yellow"/>
          <w:lang w:val="fr-CA"/>
        </w:rPr>
      </w:pPr>
    </w:p>
    <w:p w:rsidR="005E080F" w:rsidRPr="00001E0D" w:rsidRDefault="005E080F" w:rsidP="00807E0F">
      <w:pPr>
        <w:rPr>
          <w:rFonts w:ascii="Arial" w:hAnsi="Arial"/>
          <w:sz w:val="20"/>
          <w:highlight w:val="yellow"/>
          <w:lang w:val="fr-CA"/>
        </w:rPr>
      </w:pPr>
    </w:p>
    <w:p w:rsidR="00807E0F" w:rsidRPr="00001E0D" w:rsidRDefault="00807E0F" w:rsidP="00807E0F">
      <w:pPr>
        <w:rPr>
          <w:rFonts w:ascii="Arial" w:hAnsi="Arial"/>
          <w:b/>
          <w:sz w:val="20"/>
          <w:lang w:val="fr-CA"/>
        </w:rPr>
      </w:pPr>
      <w:bookmarkStart w:id="113" w:name="_Toc297887514"/>
      <w:r w:rsidRPr="00001E0D">
        <w:rPr>
          <w:rFonts w:ascii="Arial" w:hAnsi="Arial"/>
          <w:b/>
          <w:sz w:val="20"/>
          <w:lang w:val="fr-CA"/>
        </w:rPr>
        <w:t xml:space="preserve">c) </w:t>
      </w:r>
      <w:r>
        <w:rPr>
          <w:rFonts w:ascii="Arial" w:hAnsi="Arial"/>
          <w:b/>
          <w:color w:val="000000" w:themeColor="text1"/>
          <w:sz w:val="20"/>
          <w:lang w:val="fr-CA"/>
        </w:rPr>
        <w:t>Transferts entre les directions</w:t>
      </w:r>
      <w:r w:rsidR="005E080F">
        <w:rPr>
          <w:rFonts w:ascii="Arial" w:hAnsi="Arial"/>
          <w:b/>
          <w:color w:val="000000" w:themeColor="text1"/>
          <w:sz w:val="20"/>
          <w:lang w:val="fr-CA"/>
        </w:rPr>
        <w:t xml:space="preserve"> générales</w:t>
      </w:r>
      <w:r>
        <w:rPr>
          <w:rFonts w:ascii="Arial" w:hAnsi="Arial"/>
          <w:b/>
          <w:color w:val="000000" w:themeColor="text1"/>
          <w:sz w:val="20"/>
          <w:lang w:val="fr-CA"/>
        </w:rPr>
        <w:t xml:space="preserve"> et/ou les régions</w:t>
      </w:r>
      <w:r w:rsidRPr="00001E0D">
        <w:rPr>
          <w:rFonts w:ascii="Arial" w:hAnsi="Arial"/>
          <w:b/>
          <w:color w:val="000000" w:themeColor="text1"/>
          <w:sz w:val="20"/>
          <w:lang w:val="fr-CA"/>
        </w:rPr>
        <w:t xml:space="preserve"> – </w:t>
      </w:r>
      <w:bookmarkEnd w:id="113"/>
      <w:r w:rsidRPr="00700F68">
        <w:rPr>
          <w:rFonts w:ascii="Arial" w:hAnsi="Arial"/>
          <w:b/>
          <w:color w:val="000000" w:themeColor="text1"/>
          <w:sz w:val="20"/>
          <w:lang w:val="fr-CA"/>
        </w:rPr>
        <w:t xml:space="preserve">Fonds affectés au fonctionnement et aux </w:t>
      </w:r>
      <w:r>
        <w:rPr>
          <w:rFonts w:ascii="Arial" w:hAnsi="Arial"/>
          <w:b/>
          <w:color w:val="000000" w:themeColor="text1"/>
          <w:sz w:val="20"/>
          <w:lang w:val="fr-CA"/>
        </w:rPr>
        <w:t>subventions et contributions</w:t>
      </w:r>
    </w:p>
    <w:p w:rsidR="00807E0F" w:rsidRPr="00001E0D" w:rsidRDefault="00807E0F" w:rsidP="00807E0F">
      <w:pPr>
        <w:rPr>
          <w:rFonts w:ascii="Arial" w:hAnsi="Arial"/>
          <w:sz w:val="20"/>
          <w:highlight w:val="yellow"/>
          <w:lang w:val="fr-CA"/>
        </w:rPr>
      </w:pPr>
    </w:p>
    <w:p w:rsidR="00807E0F" w:rsidRPr="00001E0D" w:rsidRDefault="00807E0F" w:rsidP="00807E0F">
      <w:pPr>
        <w:rPr>
          <w:rFonts w:ascii="Arial" w:hAnsi="Arial"/>
          <w:sz w:val="20"/>
          <w:lang w:val="fr-CA"/>
        </w:rPr>
      </w:pPr>
      <w:r>
        <w:rPr>
          <w:rFonts w:ascii="Arial" w:hAnsi="Arial"/>
          <w:sz w:val="20"/>
          <w:lang w:val="fr-CA"/>
        </w:rPr>
        <w:t>Au niveau des directions</w:t>
      </w:r>
      <w:r w:rsidR="005E080F" w:rsidRPr="005E080F">
        <w:rPr>
          <w:lang w:val="fr-CA"/>
        </w:rPr>
        <w:t xml:space="preserve"> </w:t>
      </w:r>
      <w:r w:rsidR="005E080F" w:rsidRPr="005E080F">
        <w:rPr>
          <w:rFonts w:ascii="Arial" w:hAnsi="Arial"/>
          <w:sz w:val="20"/>
          <w:lang w:val="fr-CA"/>
        </w:rPr>
        <w:t>générales</w:t>
      </w:r>
      <w:r>
        <w:rPr>
          <w:rFonts w:ascii="Arial" w:hAnsi="Arial"/>
          <w:sz w:val="20"/>
          <w:lang w:val="fr-CA"/>
        </w:rPr>
        <w:t>/régions</w:t>
      </w:r>
      <w:r w:rsidRPr="00001E0D">
        <w:rPr>
          <w:rFonts w:ascii="Arial" w:hAnsi="Arial"/>
          <w:sz w:val="20"/>
          <w:lang w:val="fr-CA"/>
        </w:rPr>
        <w:t xml:space="preserve"> (</w:t>
      </w:r>
      <w:r>
        <w:rPr>
          <w:rFonts w:ascii="Arial" w:hAnsi="Arial"/>
          <w:sz w:val="20"/>
          <w:lang w:val="fr-CA"/>
        </w:rPr>
        <w:t>c.-à-d. qu’il n’y a pas d’incidence sur les secteurs d’activités</w:t>
      </w:r>
      <w:r w:rsidRPr="00001E0D">
        <w:rPr>
          <w:rFonts w:ascii="Arial" w:hAnsi="Arial"/>
          <w:sz w:val="20"/>
          <w:lang w:val="fr-CA"/>
        </w:rPr>
        <w:t xml:space="preserve">), </w:t>
      </w:r>
      <w:r>
        <w:rPr>
          <w:rFonts w:ascii="Arial" w:hAnsi="Arial"/>
          <w:sz w:val="20"/>
          <w:lang w:val="fr-CA"/>
        </w:rPr>
        <w:t>l</w:t>
      </w:r>
      <w:r w:rsidRPr="00D719D2">
        <w:rPr>
          <w:rFonts w:ascii="Arial" w:hAnsi="Arial"/>
          <w:sz w:val="20"/>
          <w:lang w:val="fr-CA"/>
        </w:rPr>
        <w:t xml:space="preserve">es deux </w:t>
      </w:r>
      <w:r w:rsidR="005E080F">
        <w:rPr>
          <w:rFonts w:ascii="Arial" w:hAnsi="Arial"/>
          <w:sz w:val="20"/>
          <w:lang w:val="fr-CA"/>
        </w:rPr>
        <w:t>SMA</w:t>
      </w:r>
      <w:r w:rsidRPr="00D719D2">
        <w:rPr>
          <w:rFonts w:ascii="Arial" w:hAnsi="Arial"/>
          <w:sz w:val="20"/>
          <w:lang w:val="fr-CA"/>
        </w:rPr>
        <w:t>, celui qui transfert et celui qui reçoit les fonds, doivent approuver le transfert de fonds puisqu’ils sont responsables des objectifs des programmes, des normes nationales et des attentes en matière de rendement</w:t>
      </w:r>
      <w:r w:rsidRPr="00001E0D">
        <w:rPr>
          <w:rFonts w:ascii="Arial" w:hAnsi="Arial"/>
          <w:sz w:val="20"/>
          <w:lang w:val="fr-CA"/>
        </w:rPr>
        <w:t>.</w:t>
      </w:r>
    </w:p>
    <w:p w:rsidR="00807E0F" w:rsidRPr="00001E0D" w:rsidRDefault="00807E0F" w:rsidP="00807E0F">
      <w:pPr>
        <w:rPr>
          <w:rFonts w:ascii="Arial" w:hAnsi="Arial"/>
          <w:sz w:val="20"/>
          <w:lang w:val="fr-CA"/>
        </w:rPr>
      </w:pPr>
    </w:p>
    <w:p w:rsidR="00807E0F" w:rsidRDefault="00807E0F" w:rsidP="00807E0F">
      <w:pPr>
        <w:rPr>
          <w:rFonts w:ascii="Arial" w:hAnsi="Arial"/>
          <w:sz w:val="20"/>
          <w:lang w:val="fr-CA"/>
        </w:rPr>
      </w:pPr>
      <w:r>
        <w:rPr>
          <w:rFonts w:ascii="Arial" w:hAnsi="Arial"/>
          <w:sz w:val="20"/>
          <w:lang w:val="fr-CA"/>
        </w:rPr>
        <w:t>Les transferts de budgets opérationnels</w:t>
      </w:r>
      <w:r w:rsidRPr="00001E0D">
        <w:rPr>
          <w:rFonts w:ascii="Arial" w:hAnsi="Arial"/>
          <w:sz w:val="20"/>
          <w:lang w:val="fr-CA"/>
        </w:rPr>
        <w:t xml:space="preserve"> </w:t>
      </w:r>
      <w:r>
        <w:rPr>
          <w:rFonts w:ascii="Arial" w:hAnsi="Arial"/>
          <w:sz w:val="20"/>
          <w:lang w:val="fr-CA"/>
        </w:rPr>
        <w:t>entre centres financiers</w:t>
      </w:r>
      <w:r w:rsidRPr="00001E0D">
        <w:rPr>
          <w:rFonts w:ascii="Arial" w:hAnsi="Arial"/>
          <w:sz w:val="20"/>
          <w:lang w:val="fr-CA"/>
        </w:rPr>
        <w:t xml:space="preserve"> </w:t>
      </w:r>
      <w:r>
        <w:rPr>
          <w:rFonts w:ascii="Arial" w:hAnsi="Arial"/>
          <w:sz w:val="20"/>
          <w:lang w:val="fr-CA"/>
        </w:rPr>
        <w:t>qui n’affectent pas les points de contrôle</w:t>
      </w:r>
      <w:r w:rsidRPr="00001E0D">
        <w:rPr>
          <w:rFonts w:ascii="Arial" w:hAnsi="Arial"/>
          <w:sz w:val="20"/>
          <w:lang w:val="fr-CA"/>
        </w:rPr>
        <w:t xml:space="preserve"> (</w:t>
      </w:r>
      <w:r>
        <w:rPr>
          <w:rFonts w:ascii="Arial" w:hAnsi="Arial"/>
          <w:sz w:val="20"/>
          <w:lang w:val="fr-CA"/>
        </w:rPr>
        <w:t>niveau 3 et plus</w:t>
      </w:r>
      <w:r w:rsidRPr="00001E0D">
        <w:rPr>
          <w:rFonts w:ascii="Arial" w:hAnsi="Arial"/>
          <w:sz w:val="20"/>
          <w:lang w:val="fr-CA"/>
        </w:rPr>
        <w:t xml:space="preserve">) </w:t>
      </w:r>
      <w:r>
        <w:rPr>
          <w:rFonts w:ascii="Arial" w:hAnsi="Arial"/>
          <w:sz w:val="20"/>
          <w:lang w:val="fr-CA"/>
        </w:rPr>
        <w:t>peuvent être effectués par le CGF ou le groupe des</w:t>
      </w:r>
      <w:r w:rsidRPr="00001E0D">
        <w:rPr>
          <w:rFonts w:ascii="Arial" w:hAnsi="Arial"/>
          <w:sz w:val="20"/>
          <w:lang w:val="fr-CA"/>
        </w:rPr>
        <w:t xml:space="preserve"> </w:t>
      </w:r>
      <w:r>
        <w:rPr>
          <w:rFonts w:ascii="Arial" w:hAnsi="Arial"/>
          <w:sz w:val="20"/>
          <w:lang w:val="fr-CA"/>
        </w:rPr>
        <w:t>Services de gestion de la Direction générale</w:t>
      </w:r>
      <w:r w:rsidRPr="00001E0D">
        <w:rPr>
          <w:rFonts w:ascii="Arial" w:hAnsi="Arial"/>
          <w:sz w:val="20"/>
          <w:lang w:val="fr-CA"/>
        </w:rPr>
        <w:t xml:space="preserve"> (</w:t>
      </w:r>
      <w:r>
        <w:rPr>
          <w:rFonts w:ascii="Arial" w:hAnsi="Arial"/>
          <w:sz w:val="20"/>
          <w:lang w:val="fr-CA"/>
        </w:rPr>
        <w:t>SGDG</w:t>
      </w:r>
      <w:r w:rsidRPr="00001E0D">
        <w:rPr>
          <w:rFonts w:ascii="Arial" w:hAnsi="Arial"/>
          <w:sz w:val="20"/>
          <w:lang w:val="fr-CA"/>
        </w:rPr>
        <w:t>)</w:t>
      </w:r>
      <w:r>
        <w:rPr>
          <w:rFonts w:ascii="Arial" w:hAnsi="Arial"/>
          <w:sz w:val="20"/>
          <w:lang w:val="fr-CA"/>
        </w:rPr>
        <w:t>, s’il y a lieu, à condition d’avoir obtenu l’approbation des gestionnaires des centres financiers concernés</w:t>
      </w:r>
      <w:r w:rsidRPr="00001E0D">
        <w:rPr>
          <w:rFonts w:ascii="Arial" w:hAnsi="Arial"/>
          <w:sz w:val="20"/>
          <w:lang w:val="fr-CA"/>
        </w:rPr>
        <w:t xml:space="preserve">. </w:t>
      </w:r>
      <w:r>
        <w:rPr>
          <w:rFonts w:ascii="Arial" w:hAnsi="Arial"/>
          <w:sz w:val="20"/>
          <w:lang w:val="fr-CA"/>
        </w:rPr>
        <w:t>Pour ce qui est des subventions et contributions</w:t>
      </w:r>
      <w:r w:rsidRPr="00001E0D">
        <w:rPr>
          <w:rFonts w:ascii="Arial" w:hAnsi="Arial"/>
          <w:sz w:val="20"/>
          <w:lang w:val="fr-CA"/>
        </w:rPr>
        <w:t xml:space="preserve">, </w:t>
      </w:r>
      <w:r>
        <w:rPr>
          <w:rFonts w:ascii="Arial" w:hAnsi="Arial"/>
          <w:sz w:val="20"/>
          <w:lang w:val="fr-CA"/>
        </w:rPr>
        <w:t>les transferts entre provinces pour une même région et un même programme doivent d’abord être approuvés par le SMA responsable du secteur fonctionnel</w:t>
      </w:r>
      <w:r w:rsidRPr="00001E0D">
        <w:rPr>
          <w:rFonts w:ascii="Arial" w:hAnsi="Arial"/>
          <w:sz w:val="20"/>
          <w:lang w:val="fr-CA"/>
        </w:rPr>
        <w:t xml:space="preserve"> (</w:t>
      </w:r>
      <w:r>
        <w:rPr>
          <w:rFonts w:ascii="Arial" w:hAnsi="Arial"/>
          <w:sz w:val="20"/>
          <w:lang w:val="fr-CA"/>
        </w:rPr>
        <w:t xml:space="preserve">SMA de la </w:t>
      </w:r>
      <w:r w:rsidRPr="00632A29">
        <w:rPr>
          <w:rFonts w:ascii="Arial" w:hAnsi="Arial"/>
          <w:sz w:val="20"/>
          <w:lang w:val="fr-CA"/>
        </w:rPr>
        <w:t xml:space="preserve">Direction générale des opérations de programmes </w:t>
      </w:r>
      <w:r>
        <w:rPr>
          <w:rFonts w:ascii="Arial" w:hAnsi="Arial"/>
          <w:sz w:val="20"/>
          <w:lang w:val="fr-CA"/>
        </w:rPr>
        <w:t>(DGOP) dans le cas des</w:t>
      </w:r>
      <w:r w:rsidRPr="00001E0D">
        <w:rPr>
          <w:rFonts w:ascii="Arial" w:hAnsi="Arial"/>
          <w:sz w:val="20"/>
          <w:lang w:val="fr-CA"/>
        </w:rPr>
        <w:t xml:space="preserve"> </w:t>
      </w:r>
      <w:r>
        <w:rPr>
          <w:rFonts w:ascii="Arial" w:hAnsi="Arial"/>
          <w:sz w:val="20"/>
          <w:lang w:val="fr-CA"/>
        </w:rPr>
        <w:t>projets de la DGOP</w:t>
      </w:r>
      <w:r w:rsidRPr="00001E0D">
        <w:rPr>
          <w:rFonts w:ascii="Arial" w:hAnsi="Arial"/>
          <w:sz w:val="20"/>
          <w:lang w:val="fr-CA"/>
        </w:rPr>
        <w:t>).</w:t>
      </w:r>
    </w:p>
    <w:p w:rsidR="00807E0F" w:rsidRPr="00001E0D" w:rsidRDefault="00807E0F" w:rsidP="00807E0F">
      <w:pPr>
        <w:rPr>
          <w:rFonts w:ascii="Arial" w:hAnsi="Arial"/>
          <w:b/>
          <w:color w:val="000000" w:themeColor="text1"/>
          <w:sz w:val="20"/>
          <w:lang w:val="fr-CA"/>
        </w:rPr>
      </w:pPr>
      <w:r w:rsidRPr="00001E0D">
        <w:rPr>
          <w:rFonts w:ascii="Arial" w:hAnsi="Arial"/>
          <w:b/>
          <w:color w:val="000000" w:themeColor="text1"/>
          <w:sz w:val="20"/>
          <w:lang w:val="fr-CA"/>
        </w:rPr>
        <w:lastRenderedPageBreak/>
        <w:t xml:space="preserve">d) </w:t>
      </w:r>
      <w:r>
        <w:rPr>
          <w:rFonts w:ascii="Arial" w:hAnsi="Arial"/>
          <w:b/>
          <w:color w:val="000000" w:themeColor="text1"/>
          <w:sz w:val="20"/>
          <w:lang w:val="fr-CA"/>
        </w:rPr>
        <w:t>Virement entre fonds – fonctionnement et subventions et contributions</w:t>
      </w:r>
    </w:p>
    <w:p w:rsidR="00807E0F" w:rsidRPr="00001E0D" w:rsidRDefault="00807E0F" w:rsidP="00807E0F">
      <w:pPr>
        <w:rPr>
          <w:rFonts w:ascii="Arial" w:hAnsi="Arial"/>
          <w:b/>
          <w:color w:val="000000" w:themeColor="text1"/>
          <w:sz w:val="20"/>
          <w:lang w:val="fr-CA"/>
        </w:rPr>
      </w:pPr>
    </w:p>
    <w:p w:rsidR="00807E0F" w:rsidRPr="00001E0D" w:rsidRDefault="00807E0F" w:rsidP="00807E0F">
      <w:pPr>
        <w:rPr>
          <w:rFonts w:ascii="Arial" w:hAnsi="Arial" w:cs="Arial"/>
          <w:color w:val="FF0000"/>
          <w:sz w:val="20"/>
          <w:szCs w:val="20"/>
          <w:lang w:val="fr-CA"/>
        </w:rPr>
      </w:pPr>
      <w:r>
        <w:rPr>
          <w:rFonts w:ascii="Arial" w:hAnsi="Arial" w:cs="Arial"/>
          <w:color w:val="000000" w:themeColor="text1"/>
          <w:sz w:val="20"/>
          <w:szCs w:val="20"/>
          <w:lang w:val="fr-CA"/>
        </w:rPr>
        <w:t>Des virements entre fonds peuvent être effectués dans le budget opérationnel surtout afin de pouvoir</w:t>
      </w:r>
      <w:r w:rsidRPr="00001E0D">
        <w:rPr>
          <w:rFonts w:ascii="Arial" w:hAnsi="Arial" w:cs="Arial"/>
          <w:color w:val="000000" w:themeColor="text1"/>
          <w:sz w:val="20"/>
          <w:szCs w:val="20"/>
          <w:lang w:val="fr-CA"/>
        </w:rPr>
        <w:t xml:space="preserve"> </w:t>
      </w:r>
      <w:r>
        <w:rPr>
          <w:rFonts w:ascii="Arial" w:hAnsi="Arial" w:cs="Arial"/>
          <w:color w:val="000000" w:themeColor="text1"/>
          <w:sz w:val="20"/>
          <w:szCs w:val="20"/>
          <w:lang w:val="fr-CA"/>
        </w:rPr>
        <w:t>accéder au Fonds d’investissement</w:t>
      </w:r>
      <w:r w:rsidRPr="00001E0D">
        <w:rPr>
          <w:rFonts w:ascii="Arial" w:hAnsi="Arial" w:cs="Arial"/>
          <w:color w:val="000000" w:themeColor="text1"/>
          <w:sz w:val="20"/>
          <w:szCs w:val="20"/>
          <w:lang w:val="fr-CA"/>
        </w:rPr>
        <w:t xml:space="preserve"> </w:t>
      </w:r>
      <w:r>
        <w:rPr>
          <w:rFonts w:ascii="Arial" w:hAnsi="Arial" w:cs="Arial"/>
          <w:color w:val="000000" w:themeColor="text1"/>
          <w:sz w:val="20"/>
          <w:szCs w:val="20"/>
          <w:lang w:val="fr-CA"/>
        </w:rPr>
        <w:t xml:space="preserve">en apprentissage </w:t>
      </w:r>
      <w:r w:rsidRPr="00001E0D">
        <w:rPr>
          <w:rFonts w:ascii="Arial" w:hAnsi="Arial" w:cs="Arial"/>
          <w:color w:val="000000" w:themeColor="text1"/>
          <w:sz w:val="20"/>
          <w:szCs w:val="20"/>
          <w:lang w:val="fr-CA"/>
        </w:rPr>
        <w:t>(</w:t>
      </w:r>
      <w:r>
        <w:rPr>
          <w:rFonts w:ascii="Arial" w:hAnsi="Arial" w:cs="Arial"/>
          <w:color w:val="000000" w:themeColor="text1"/>
          <w:sz w:val="20"/>
          <w:szCs w:val="20"/>
          <w:lang w:val="fr-CA"/>
        </w:rPr>
        <w:t>FIA</w:t>
      </w:r>
      <w:r w:rsidRPr="00001E0D">
        <w:rPr>
          <w:rFonts w:ascii="Arial" w:hAnsi="Arial" w:cs="Arial"/>
          <w:color w:val="000000" w:themeColor="text1"/>
          <w:sz w:val="20"/>
          <w:szCs w:val="20"/>
          <w:lang w:val="fr-CA"/>
        </w:rPr>
        <w:t>)</w:t>
      </w:r>
      <w:r>
        <w:rPr>
          <w:rFonts w:ascii="Arial" w:hAnsi="Arial" w:cs="Arial"/>
          <w:color w:val="000000" w:themeColor="text1"/>
          <w:sz w:val="20"/>
          <w:szCs w:val="20"/>
          <w:lang w:val="fr-CA"/>
        </w:rPr>
        <w:t>,</w:t>
      </w:r>
      <w:r w:rsidRPr="00001E0D">
        <w:rPr>
          <w:rFonts w:ascii="Arial" w:hAnsi="Arial" w:cs="Arial"/>
          <w:color w:val="000000" w:themeColor="text1"/>
          <w:sz w:val="20"/>
          <w:szCs w:val="20"/>
          <w:lang w:val="fr-CA"/>
        </w:rPr>
        <w:t xml:space="preserve"> </w:t>
      </w:r>
      <w:r>
        <w:rPr>
          <w:rFonts w:ascii="Arial" w:hAnsi="Arial" w:cs="Arial"/>
          <w:color w:val="000000" w:themeColor="text1"/>
          <w:sz w:val="20"/>
          <w:szCs w:val="20"/>
          <w:lang w:val="fr-CA"/>
        </w:rPr>
        <w:t>lequel est en fait un fonds ordinaire</w:t>
      </w:r>
      <w:r w:rsidRPr="00001E0D">
        <w:rPr>
          <w:rFonts w:ascii="Arial" w:hAnsi="Arial" w:cs="Arial"/>
          <w:color w:val="000000" w:themeColor="text1"/>
          <w:sz w:val="20"/>
          <w:szCs w:val="20"/>
          <w:lang w:val="fr-CA"/>
        </w:rPr>
        <w:t xml:space="preserve"> </w:t>
      </w:r>
      <w:r>
        <w:rPr>
          <w:rFonts w:ascii="Arial" w:hAnsi="Arial" w:cs="Arial"/>
          <w:color w:val="000000" w:themeColor="text1"/>
          <w:sz w:val="20"/>
          <w:szCs w:val="20"/>
          <w:lang w:val="fr-CA"/>
        </w:rPr>
        <w:t>tenu de manière distincte à des fins de suivi</w:t>
      </w:r>
      <w:r w:rsidRPr="00001E0D">
        <w:rPr>
          <w:rFonts w:ascii="Arial" w:hAnsi="Arial" w:cs="Arial"/>
          <w:color w:val="000000" w:themeColor="text1"/>
          <w:sz w:val="20"/>
          <w:szCs w:val="20"/>
          <w:lang w:val="fr-CA"/>
        </w:rPr>
        <w:t xml:space="preserve">. </w:t>
      </w:r>
      <w:r>
        <w:rPr>
          <w:rFonts w:ascii="Arial" w:hAnsi="Arial" w:cs="Arial"/>
          <w:color w:val="000000" w:themeColor="text1"/>
          <w:sz w:val="20"/>
          <w:szCs w:val="20"/>
          <w:lang w:val="fr-CA"/>
        </w:rPr>
        <w:t>Ces virements doivent être effectués par un CGF de sorte à s’assurer que les demandes</w:t>
      </w:r>
      <w:r w:rsidRPr="00001E0D">
        <w:rPr>
          <w:rFonts w:ascii="Arial" w:hAnsi="Arial" w:cs="Arial"/>
          <w:color w:val="000000" w:themeColor="text1"/>
          <w:sz w:val="20"/>
          <w:szCs w:val="20"/>
          <w:lang w:val="fr-CA"/>
        </w:rPr>
        <w:t xml:space="preserve"> </w:t>
      </w:r>
      <w:r>
        <w:rPr>
          <w:rFonts w:ascii="Arial" w:hAnsi="Arial" w:cs="Arial"/>
          <w:color w:val="000000" w:themeColor="text1"/>
          <w:sz w:val="20"/>
          <w:szCs w:val="20"/>
          <w:lang w:val="fr-CA"/>
        </w:rPr>
        <w:t>correspondent aux besoins en ressources de la direction visée</w:t>
      </w:r>
      <w:r w:rsidRPr="00001E0D">
        <w:rPr>
          <w:rFonts w:ascii="Arial" w:hAnsi="Arial" w:cs="Arial"/>
          <w:color w:val="000000" w:themeColor="text1"/>
          <w:sz w:val="20"/>
          <w:szCs w:val="20"/>
          <w:lang w:val="fr-CA"/>
        </w:rPr>
        <w:t>.</w:t>
      </w:r>
      <w:r>
        <w:rPr>
          <w:rFonts w:ascii="Arial" w:hAnsi="Arial" w:cs="Arial"/>
          <w:color w:val="000000" w:themeColor="text1"/>
          <w:sz w:val="20"/>
          <w:szCs w:val="20"/>
          <w:lang w:val="fr-CA"/>
        </w:rPr>
        <w:t xml:space="preserve"> </w:t>
      </w:r>
      <w:r w:rsidRPr="005F22BA">
        <w:rPr>
          <w:rFonts w:ascii="Arial" w:hAnsi="Arial" w:cs="Arial"/>
          <w:color w:val="000000" w:themeColor="text1"/>
          <w:sz w:val="20"/>
          <w:szCs w:val="20"/>
          <w:lang w:val="fr-CA"/>
        </w:rPr>
        <w:t>La demande sera en</w:t>
      </w:r>
      <w:r>
        <w:rPr>
          <w:rFonts w:ascii="Arial" w:hAnsi="Arial" w:cs="Arial"/>
          <w:color w:val="000000" w:themeColor="text1"/>
          <w:sz w:val="20"/>
          <w:szCs w:val="20"/>
          <w:lang w:val="fr-CA"/>
        </w:rPr>
        <w:t>voyée à CRM par le biais du flux de travail</w:t>
      </w:r>
      <w:r w:rsidRPr="005F22BA">
        <w:rPr>
          <w:rFonts w:ascii="Arial" w:hAnsi="Arial" w:cs="Arial"/>
          <w:color w:val="000000" w:themeColor="text1"/>
          <w:sz w:val="20"/>
          <w:szCs w:val="20"/>
          <w:lang w:val="fr-CA"/>
        </w:rPr>
        <w:t xml:space="preserve"> pour approbation. Les transferts de fonds destinés à un objectif de gest</w:t>
      </w:r>
      <w:r>
        <w:rPr>
          <w:rFonts w:ascii="Arial" w:hAnsi="Arial" w:cs="Arial"/>
          <w:color w:val="000000" w:themeColor="text1"/>
          <w:sz w:val="20"/>
          <w:szCs w:val="20"/>
          <w:lang w:val="fr-CA"/>
        </w:rPr>
        <w:t>ion de trésorerie pour une affectation</w:t>
      </w:r>
      <w:r w:rsidRPr="005F22BA">
        <w:rPr>
          <w:rFonts w:ascii="Arial" w:hAnsi="Arial" w:cs="Arial"/>
          <w:color w:val="000000" w:themeColor="text1"/>
          <w:sz w:val="20"/>
          <w:szCs w:val="20"/>
          <w:lang w:val="fr-CA"/>
        </w:rPr>
        <w:t xml:space="preserve"> contrôlé</w:t>
      </w:r>
      <w:r>
        <w:rPr>
          <w:rFonts w:ascii="Arial" w:hAnsi="Arial" w:cs="Arial"/>
          <w:color w:val="000000" w:themeColor="text1"/>
          <w:sz w:val="20"/>
          <w:szCs w:val="20"/>
          <w:lang w:val="fr-CA"/>
        </w:rPr>
        <w:t>e</w:t>
      </w:r>
      <w:r w:rsidRPr="005F22BA">
        <w:rPr>
          <w:rFonts w:ascii="Arial" w:hAnsi="Arial" w:cs="Arial"/>
          <w:color w:val="000000" w:themeColor="text1"/>
          <w:sz w:val="20"/>
          <w:szCs w:val="20"/>
          <w:lang w:val="fr-CA"/>
        </w:rPr>
        <w:t xml:space="preserve"> séparément (</w:t>
      </w:r>
      <w:r>
        <w:rPr>
          <w:rFonts w:ascii="Arial" w:hAnsi="Arial" w:cs="Arial"/>
          <w:color w:val="000000" w:themeColor="text1"/>
          <w:sz w:val="20"/>
          <w:szCs w:val="20"/>
          <w:lang w:val="fr-CA"/>
        </w:rPr>
        <w:t>ACS</w:t>
      </w:r>
      <w:r w:rsidRPr="005F22BA">
        <w:rPr>
          <w:rFonts w:ascii="Arial" w:hAnsi="Arial" w:cs="Arial"/>
          <w:color w:val="000000" w:themeColor="text1"/>
          <w:sz w:val="20"/>
          <w:szCs w:val="20"/>
          <w:lang w:val="fr-CA"/>
        </w:rPr>
        <w:t>)</w:t>
      </w:r>
      <w:r>
        <w:rPr>
          <w:rFonts w:ascii="Arial" w:hAnsi="Arial" w:cs="Arial"/>
          <w:color w:val="000000" w:themeColor="text1"/>
          <w:sz w:val="20"/>
          <w:szCs w:val="20"/>
          <w:lang w:val="fr-CA"/>
        </w:rPr>
        <w:t xml:space="preserve"> nécessitent l'approbation de S</w:t>
      </w:r>
      <w:r w:rsidRPr="005F22BA">
        <w:rPr>
          <w:rFonts w:ascii="Arial" w:hAnsi="Arial" w:cs="Arial"/>
          <w:color w:val="000000" w:themeColor="text1"/>
          <w:sz w:val="20"/>
          <w:szCs w:val="20"/>
          <w:lang w:val="fr-CA"/>
        </w:rPr>
        <w:t>M</w:t>
      </w:r>
      <w:r>
        <w:rPr>
          <w:rFonts w:ascii="Arial" w:hAnsi="Arial" w:cs="Arial"/>
          <w:color w:val="000000" w:themeColor="text1"/>
          <w:sz w:val="20"/>
          <w:szCs w:val="20"/>
          <w:lang w:val="fr-CA"/>
        </w:rPr>
        <w:t>A</w:t>
      </w:r>
      <w:r w:rsidRPr="005F22BA">
        <w:rPr>
          <w:rFonts w:ascii="Arial" w:hAnsi="Arial" w:cs="Arial"/>
          <w:color w:val="000000" w:themeColor="text1"/>
          <w:sz w:val="20"/>
          <w:szCs w:val="20"/>
          <w:lang w:val="fr-CA"/>
        </w:rPr>
        <w:t>.</w:t>
      </w:r>
    </w:p>
    <w:p w:rsidR="00807E0F" w:rsidRDefault="00807E0F" w:rsidP="00807E0F">
      <w:pPr>
        <w:rPr>
          <w:rFonts w:ascii="Arial" w:hAnsi="Arial"/>
          <w:b/>
          <w:color w:val="FF0000"/>
          <w:sz w:val="20"/>
          <w:highlight w:val="yellow"/>
          <w:lang w:val="fr-CA"/>
        </w:rPr>
      </w:pPr>
    </w:p>
    <w:p w:rsidR="005E080F" w:rsidRPr="00001E0D" w:rsidRDefault="005E080F" w:rsidP="00807E0F">
      <w:pPr>
        <w:rPr>
          <w:rFonts w:ascii="Arial" w:hAnsi="Arial"/>
          <w:b/>
          <w:color w:val="FF0000"/>
          <w:sz w:val="20"/>
          <w:highlight w:val="yellow"/>
          <w:lang w:val="fr-CA"/>
        </w:rPr>
      </w:pPr>
    </w:p>
    <w:p w:rsidR="00807E0F" w:rsidRPr="00001E0D" w:rsidRDefault="00807E0F" w:rsidP="00807E0F">
      <w:pPr>
        <w:rPr>
          <w:rFonts w:ascii="Arial" w:hAnsi="Arial"/>
          <w:b/>
          <w:color w:val="000000" w:themeColor="text1"/>
          <w:sz w:val="20"/>
          <w:lang w:val="fr-CA"/>
        </w:rPr>
      </w:pPr>
      <w:bookmarkStart w:id="114" w:name="_Toc297887516"/>
      <w:r w:rsidRPr="00001E0D">
        <w:rPr>
          <w:rFonts w:ascii="Arial" w:hAnsi="Arial"/>
          <w:b/>
          <w:color w:val="000000" w:themeColor="text1"/>
          <w:sz w:val="20"/>
          <w:lang w:val="fr-CA"/>
        </w:rPr>
        <w:t xml:space="preserve">e) </w:t>
      </w:r>
      <w:bookmarkEnd w:id="114"/>
      <w:r w:rsidRPr="00700F68">
        <w:rPr>
          <w:rFonts w:ascii="Arial" w:hAnsi="Arial"/>
          <w:b/>
          <w:color w:val="000000" w:themeColor="text1"/>
          <w:sz w:val="20"/>
          <w:lang w:val="fr-CA"/>
        </w:rPr>
        <w:t>Virement de fonds entre le budget salarial du personnel et le budget de Fonctionnement et entretien (F</w:t>
      </w:r>
      <w:r>
        <w:rPr>
          <w:rFonts w:ascii="Arial" w:hAnsi="Arial"/>
          <w:b/>
          <w:color w:val="000000" w:themeColor="text1"/>
          <w:sz w:val="20"/>
          <w:lang w:val="fr-CA"/>
        </w:rPr>
        <w:t xml:space="preserve"> et </w:t>
      </w:r>
      <w:r w:rsidRPr="00700F68">
        <w:rPr>
          <w:rFonts w:ascii="Arial" w:hAnsi="Arial"/>
          <w:b/>
          <w:color w:val="000000" w:themeColor="text1"/>
          <w:sz w:val="20"/>
          <w:lang w:val="fr-CA"/>
        </w:rPr>
        <w:t>E)</w:t>
      </w:r>
      <w:r>
        <w:rPr>
          <w:rFonts w:ascii="Arial" w:hAnsi="Arial"/>
          <w:b/>
          <w:color w:val="000000" w:themeColor="text1"/>
          <w:sz w:val="20"/>
          <w:lang w:val="fr-CA"/>
        </w:rPr>
        <w:t xml:space="preserve"> - </w:t>
      </w:r>
      <w:r>
        <w:rPr>
          <w:rFonts w:ascii="Arial" w:hAnsi="Arial"/>
          <w:b/>
          <w:sz w:val="20"/>
          <w:lang w:val="fr-CA"/>
        </w:rPr>
        <w:t>Fonds opérationnels</w:t>
      </w:r>
    </w:p>
    <w:p w:rsidR="00807E0F" w:rsidRPr="00001E0D" w:rsidRDefault="00807E0F" w:rsidP="00807E0F">
      <w:pPr>
        <w:rPr>
          <w:rFonts w:ascii="Arial" w:hAnsi="Arial"/>
          <w:sz w:val="20"/>
          <w:highlight w:val="yellow"/>
          <w:lang w:val="fr-CA"/>
        </w:rPr>
      </w:pPr>
    </w:p>
    <w:p w:rsidR="00807E0F" w:rsidRPr="00001E0D" w:rsidRDefault="00807E0F" w:rsidP="00807E0F">
      <w:pPr>
        <w:rPr>
          <w:rFonts w:ascii="Arial" w:hAnsi="Arial"/>
          <w:sz w:val="20"/>
          <w:lang w:val="fr-CA"/>
        </w:rPr>
      </w:pPr>
      <w:r w:rsidRPr="004F0BD8">
        <w:rPr>
          <w:rFonts w:ascii="Arial" w:hAnsi="Arial"/>
          <w:sz w:val="20"/>
          <w:lang w:val="fr-CA"/>
        </w:rPr>
        <w:t>Le concept du budget de fonctionnement confère aux entités opérationnelles la souplesse nécessaire pour réaffecter les budgets entre des dépenses salariales et non salariales, pourvu qu’il tienne compte des coûts liés aux régimes d’avantages sociaux des employés lorsque des fonds sont transférés dans la composante salaire des budgets, ou hors de celle-ci</w:t>
      </w:r>
      <w:r w:rsidRPr="00001E0D">
        <w:rPr>
          <w:rFonts w:ascii="Arial" w:hAnsi="Arial"/>
          <w:sz w:val="20"/>
          <w:lang w:val="fr-CA"/>
        </w:rPr>
        <w:t xml:space="preserve">. </w:t>
      </w:r>
      <w:r w:rsidRPr="004F0BD8">
        <w:rPr>
          <w:rFonts w:ascii="Arial" w:hAnsi="Arial"/>
          <w:sz w:val="20"/>
          <w:lang w:val="fr-CA"/>
        </w:rPr>
        <w:t>On appelle également ce type de transfert « OBA – Operating Budget Adjustments</w:t>
      </w:r>
      <w:r>
        <w:rPr>
          <w:rFonts w:ascii="Arial" w:hAnsi="Arial"/>
          <w:sz w:val="20"/>
          <w:lang w:val="fr-CA"/>
        </w:rPr>
        <w:t xml:space="preserve"> </w:t>
      </w:r>
      <w:r w:rsidRPr="004F0BD8">
        <w:rPr>
          <w:rFonts w:ascii="Arial" w:hAnsi="Arial"/>
          <w:sz w:val="20"/>
          <w:lang w:val="fr-CA"/>
        </w:rPr>
        <w:t>»</w:t>
      </w:r>
      <w:r w:rsidRPr="00001E0D">
        <w:rPr>
          <w:rFonts w:ascii="Arial" w:hAnsi="Arial"/>
          <w:sz w:val="20"/>
          <w:lang w:val="fr-CA"/>
        </w:rPr>
        <w:t>.</w:t>
      </w:r>
    </w:p>
    <w:p w:rsidR="00807E0F" w:rsidRPr="00001E0D" w:rsidRDefault="00807E0F" w:rsidP="00807E0F">
      <w:pPr>
        <w:rPr>
          <w:rFonts w:ascii="Arial" w:hAnsi="Arial"/>
          <w:sz w:val="20"/>
          <w:highlight w:val="yellow"/>
          <w:lang w:val="fr-CA"/>
        </w:rPr>
      </w:pPr>
    </w:p>
    <w:p w:rsidR="00807E0F" w:rsidRPr="00001E0D" w:rsidRDefault="00807E0F" w:rsidP="00807E0F">
      <w:pPr>
        <w:rPr>
          <w:rFonts w:ascii="Arial" w:hAnsi="Arial"/>
          <w:sz w:val="20"/>
          <w:lang w:val="fr-CA"/>
        </w:rPr>
      </w:pPr>
      <w:r>
        <w:rPr>
          <w:rFonts w:ascii="Arial" w:hAnsi="Arial"/>
          <w:sz w:val="20"/>
          <w:lang w:val="fr-CA"/>
        </w:rPr>
        <w:t xml:space="preserve">Le </w:t>
      </w:r>
      <w:r w:rsidR="00B9516F">
        <w:rPr>
          <w:rFonts w:ascii="Arial" w:hAnsi="Arial"/>
          <w:sz w:val="20"/>
          <w:lang w:val="fr-CA"/>
        </w:rPr>
        <w:t>ministère</w:t>
      </w:r>
      <w:r>
        <w:rPr>
          <w:rFonts w:ascii="Arial" w:hAnsi="Arial"/>
          <w:sz w:val="20"/>
          <w:lang w:val="fr-CA"/>
        </w:rPr>
        <w:t xml:space="preserve"> applique</w:t>
      </w:r>
      <w:r w:rsidRPr="004F0BD8">
        <w:rPr>
          <w:rFonts w:ascii="Arial" w:hAnsi="Arial"/>
          <w:sz w:val="20"/>
          <w:lang w:val="fr-CA"/>
        </w:rPr>
        <w:t xml:space="preserve"> </w:t>
      </w:r>
      <w:r>
        <w:rPr>
          <w:rFonts w:ascii="Arial" w:hAnsi="Arial"/>
          <w:sz w:val="20"/>
          <w:lang w:val="fr-CA"/>
        </w:rPr>
        <w:t>un coût de transfert</w:t>
      </w:r>
      <w:r w:rsidRPr="004F0BD8">
        <w:rPr>
          <w:rFonts w:ascii="Arial" w:hAnsi="Arial"/>
          <w:sz w:val="20"/>
          <w:lang w:val="fr-CA"/>
        </w:rPr>
        <w:t xml:space="preserve"> représentant 20</w:t>
      </w:r>
      <w:r>
        <w:rPr>
          <w:rFonts w:ascii="Arial" w:hAnsi="Arial"/>
          <w:sz w:val="20"/>
          <w:lang w:val="fr-CA"/>
        </w:rPr>
        <w:t> </w:t>
      </w:r>
      <w:r w:rsidRPr="004F0BD8">
        <w:rPr>
          <w:rFonts w:ascii="Arial" w:hAnsi="Arial"/>
          <w:sz w:val="20"/>
          <w:lang w:val="fr-CA"/>
        </w:rPr>
        <w:t>% aux virements mi</w:t>
      </w:r>
      <w:r>
        <w:rPr>
          <w:rFonts w:ascii="Arial" w:hAnsi="Arial"/>
          <w:sz w:val="20"/>
          <w:lang w:val="fr-CA"/>
        </w:rPr>
        <w:t xml:space="preserve">nistériels entre le budget de F et </w:t>
      </w:r>
      <w:r w:rsidRPr="004F0BD8">
        <w:rPr>
          <w:rFonts w:ascii="Arial" w:hAnsi="Arial"/>
          <w:sz w:val="20"/>
          <w:lang w:val="fr-CA"/>
        </w:rPr>
        <w:t xml:space="preserve">E vers le budget salarial du personnel. Cela représente implicitement les frais non payés par EDSC pour les régimes d’avantages sociaux des employés (ce qui englobe le coût annuel occasionné au gouvernement pour les contributions et les paiements de contrepartie de l’employeur au Régime de pension de retraite de la fonction publique, les régimes de pensions de Québec et du Canada, les prestations de décès, et le compte de fonctionnement de l’assurance-emploi). </w:t>
      </w:r>
    </w:p>
    <w:p w:rsidR="00807E0F" w:rsidRPr="00001E0D" w:rsidRDefault="00807E0F" w:rsidP="00807E0F">
      <w:pPr>
        <w:rPr>
          <w:rFonts w:ascii="Arial" w:hAnsi="Arial"/>
          <w:sz w:val="20"/>
          <w:lang w:val="fr-CA"/>
        </w:rPr>
      </w:pPr>
    </w:p>
    <w:p w:rsidR="00807E0F" w:rsidRPr="00001E0D" w:rsidRDefault="00807E0F" w:rsidP="00807E0F">
      <w:pPr>
        <w:rPr>
          <w:rFonts w:ascii="Arial" w:hAnsi="Arial"/>
          <w:color w:val="000000" w:themeColor="text1"/>
          <w:sz w:val="20"/>
          <w:lang w:val="fr-CA"/>
        </w:rPr>
      </w:pPr>
      <w:r>
        <w:rPr>
          <w:rFonts w:ascii="Arial" w:hAnsi="Arial"/>
          <w:color w:val="000000" w:themeColor="text1"/>
          <w:sz w:val="20"/>
          <w:lang w:val="fr-CA"/>
        </w:rPr>
        <w:t>Les transferts entre le budget de F et E vers le budget salarial</w:t>
      </w:r>
      <w:r w:rsidRPr="004F0BD8">
        <w:rPr>
          <w:rFonts w:ascii="Arial" w:hAnsi="Arial"/>
          <w:color w:val="000000" w:themeColor="text1"/>
          <w:sz w:val="20"/>
          <w:lang w:val="fr-CA"/>
        </w:rPr>
        <w:t xml:space="preserve"> peuvent être traitées comme requis </w:t>
      </w:r>
      <w:r>
        <w:rPr>
          <w:rFonts w:ascii="Arial" w:hAnsi="Arial"/>
          <w:color w:val="000000" w:themeColor="text1"/>
          <w:sz w:val="20"/>
          <w:lang w:val="fr-CA"/>
        </w:rPr>
        <w:t xml:space="preserve">(et incluses dans les prévisions) jusqu’à la période dix, à moins d’indications contraires et selon la situation du </w:t>
      </w:r>
      <w:r w:rsidR="00A65707">
        <w:rPr>
          <w:rFonts w:ascii="Arial" w:hAnsi="Arial"/>
          <w:color w:val="000000" w:themeColor="text1"/>
          <w:sz w:val="20"/>
          <w:lang w:val="fr-CA"/>
        </w:rPr>
        <w:t>ministère</w:t>
      </w:r>
      <w:r>
        <w:rPr>
          <w:rFonts w:ascii="Arial" w:hAnsi="Arial"/>
          <w:color w:val="000000" w:themeColor="text1"/>
          <w:sz w:val="20"/>
          <w:lang w:val="fr-CA"/>
        </w:rPr>
        <w:t xml:space="preserve">. Passé ce délai, les virements entre le budget F et E et le budget salarial sont laissés à la discrétion </w:t>
      </w:r>
      <w:r w:rsidR="005E080F">
        <w:rPr>
          <w:rFonts w:ascii="Arial" w:hAnsi="Arial"/>
          <w:color w:val="000000" w:themeColor="text1"/>
          <w:sz w:val="20"/>
          <w:lang w:val="fr-CA"/>
        </w:rPr>
        <w:t>du DPF.</w:t>
      </w:r>
    </w:p>
    <w:p w:rsidR="00807E0F" w:rsidRDefault="00807E0F" w:rsidP="00807E0F">
      <w:pPr>
        <w:rPr>
          <w:rFonts w:ascii="Arial" w:hAnsi="Arial"/>
          <w:color w:val="000000" w:themeColor="text1"/>
          <w:sz w:val="20"/>
          <w:lang w:val="fr-CA"/>
        </w:rPr>
      </w:pPr>
    </w:p>
    <w:p w:rsidR="00807E0F" w:rsidRPr="00F6757A" w:rsidRDefault="00807E0F" w:rsidP="00807E0F">
      <w:pPr>
        <w:rPr>
          <w:rFonts w:ascii="Arial" w:hAnsi="Arial"/>
          <w:i/>
          <w:color w:val="000000" w:themeColor="text1"/>
          <w:sz w:val="20"/>
          <w:lang w:val="fr-CA"/>
        </w:rPr>
      </w:pPr>
      <w:r w:rsidRPr="00F6757A">
        <w:rPr>
          <w:rFonts w:ascii="Arial" w:hAnsi="Arial"/>
          <w:i/>
          <w:color w:val="000000" w:themeColor="text1"/>
          <w:sz w:val="20"/>
          <w:lang w:val="fr-CA"/>
        </w:rPr>
        <w:t xml:space="preserve">Note : les budgets des étudiants </w:t>
      </w:r>
      <w:r>
        <w:rPr>
          <w:rFonts w:ascii="Arial" w:hAnsi="Arial"/>
          <w:i/>
          <w:color w:val="000000" w:themeColor="text1"/>
          <w:sz w:val="20"/>
          <w:lang w:val="fr-CA"/>
        </w:rPr>
        <w:t>sont considérés des budgets salariaux et sont sujet au coût de transfert de 20%.</w:t>
      </w:r>
    </w:p>
    <w:p w:rsidR="00807E0F" w:rsidRDefault="00807E0F" w:rsidP="00807E0F">
      <w:pPr>
        <w:rPr>
          <w:rFonts w:ascii="Arial" w:hAnsi="Arial"/>
          <w:i/>
          <w:color w:val="000000" w:themeColor="text1"/>
          <w:sz w:val="20"/>
          <w:lang w:val="fr-CA"/>
        </w:rPr>
      </w:pPr>
    </w:p>
    <w:p w:rsidR="005E080F" w:rsidRPr="00F6757A" w:rsidRDefault="005E080F" w:rsidP="00807E0F">
      <w:pPr>
        <w:rPr>
          <w:rFonts w:ascii="Arial" w:hAnsi="Arial"/>
          <w:i/>
          <w:color w:val="000000" w:themeColor="text1"/>
          <w:sz w:val="20"/>
          <w:lang w:val="fr-CA"/>
        </w:rPr>
      </w:pPr>
    </w:p>
    <w:p w:rsidR="00807E0F" w:rsidRPr="00001E0D" w:rsidRDefault="00807E0F" w:rsidP="00807E0F">
      <w:pPr>
        <w:rPr>
          <w:rFonts w:ascii="Arial" w:hAnsi="Arial" w:cs="Arial"/>
          <w:b/>
          <w:bCs/>
          <w:color w:val="000000" w:themeColor="text1"/>
          <w:sz w:val="20"/>
          <w:szCs w:val="20"/>
          <w:lang w:val="fr-CA"/>
        </w:rPr>
      </w:pPr>
      <w:r w:rsidRPr="00001E0D">
        <w:rPr>
          <w:rFonts w:ascii="Arial" w:hAnsi="Arial" w:cs="Arial"/>
          <w:b/>
          <w:bCs/>
          <w:color w:val="000000" w:themeColor="text1"/>
          <w:sz w:val="20"/>
          <w:szCs w:val="20"/>
          <w:lang w:val="fr-CA"/>
        </w:rPr>
        <w:t xml:space="preserve">f) </w:t>
      </w:r>
      <w:r>
        <w:rPr>
          <w:rFonts w:ascii="Arial" w:hAnsi="Arial" w:cs="Arial"/>
          <w:b/>
          <w:bCs/>
          <w:color w:val="000000" w:themeColor="text1"/>
          <w:sz w:val="20"/>
          <w:szCs w:val="20"/>
          <w:lang w:val="fr-CA"/>
        </w:rPr>
        <w:t>Transferts vers/de la réserve - Fonds opérationnels et subventions et contributions</w:t>
      </w:r>
    </w:p>
    <w:p w:rsidR="00807E0F" w:rsidRPr="00001E0D" w:rsidRDefault="00807E0F" w:rsidP="00807E0F">
      <w:pPr>
        <w:ind w:left="851"/>
        <w:jc w:val="both"/>
        <w:rPr>
          <w:rFonts w:ascii="Arial" w:hAnsi="Arial" w:cs="Arial"/>
          <w:b/>
          <w:bCs/>
          <w:color w:val="FF0000"/>
          <w:sz w:val="20"/>
          <w:szCs w:val="20"/>
          <w:lang w:val="fr-CA"/>
        </w:rPr>
      </w:pPr>
    </w:p>
    <w:p w:rsidR="00807E0F" w:rsidRPr="00001E0D" w:rsidRDefault="00807E0F" w:rsidP="00807E0F">
      <w:pPr>
        <w:rPr>
          <w:rFonts w:ascii="Arial" w:hAnsi="Arial"/>
          <w:sz w:val="20"/>
          <w:lang w:val="fr-CA"/>
        </w:rPr>
      </w:pPr>
      <w:r w:rsidRPr="00B84089">
        <w:rPr>
          <w:rFonts w:ascii="Arial" w:hAnsi="Arial"/>
          <w:sz w:val="20"/>
          <w:lang w:val="fr-CA"/>
        </w:rPr>
        <w:t xml:space="preserve">Les fonds de réserve sont gérés au niveau ministériel. Les transferts comprennent </w:t>
      </w:r>
      <w:r>
        <w:rPr>
          <w:rFonts w:ascii="Arial" w:hAnsi="Arial"/>
          <w:sz w:val="20"/>
          <w:lang w:val="fr-CA"/>
        </w:rPr>
        <w:t>le rapatriement</w:t>
      </w:r>
      <w:r w:rsidRPr="00B84089">
        <w:rPr>
          <w:rFonts w:ascii="Arial" w:hAnsi="Arial"/>
          <w:sz w:val="20"/>
          <w:lang w:val="fr-CA"/>
        </w:rPr>
        <w:t xml:space="preserve"> des excédents, le financement des pressions financières, la distribution des conventions collectives, et autres. Ces opérations découleront des processus de prévision, des décisions de la haute direction</w:t>
      </w:r>
      <w:r>
        <w:rPr>
          <w:rFonts w:ascii="Arial" w:hAnsi="Arial"/>
          <w:sz w:val="20"/>
          <w:lang w:val="fr-CA"/>
        </w:rPr>
        <w:t>,</w:t>
      </w:r>
      <w:r w:rsidRPr="00B84089">
        <w:rPr>
          <w:rFonts w:ascii="Arial" w:hAnsi="Arial"/>
          <w:sz w:val="20"/>
          <w:lang w:val="fr-CA"/>
        </w:rPr>
        <w:t xml:space="preserve"> ou de l’approbation d’un nouveau financement</w:t>
      </w:r>
      <w:r w:rsidR="005E080F">
        <w:rPr>
          <w:rFonts w:ascii="Arial" w:hAnsi="Arial"/>
          <w:sz w:val="20"/>
          <w:lang w:val="fr-CA"/>
        </w:rPr>
        <w:t xml:space="preserve"> par le CT</w:t>
      </w:r>
      <w:r w:rsidRPr="00B84089">
        <w:rPr>
          <w:rFonts w:ascii="Arial" w:hAnsi="Arial"/>
          <w:sz w:val="20"/>
          <w:lang w:val="fr-CA"/>
        </w:rPr>
        <w:t>. L’unité de GRM veillera à ce que l’approbation adéquate soit obtenue et elle préparera et traitera l’ajustement budgétaire</w:t>
      </w:r>
      <w:r>
        <w:rPr>
          <w:rFonts w:ascii="Arial" w:hAnsi="Arial"/>
          <w:sz w:val="20"/>
          <w:lang w:val="fr-CA"/>
        </w:rPr>
        <w:t xml:space="preserve"> dans maSGE</w:t>
      </w:r>
      <w:r w:rsidRPr="00001E0D">
        <w:rPr>
          <w:rFonts w:ascii="Arial" w:hAnsi="Arial"/>
          <w:sz w:val="20"/>
          <w:lang w:val="fr-CA"/>
        </w:rPr>
        <w:t>.</w:t>
      </w:r>
    </w:p>
    <w:p w:rsidR="00807E0F" w:rsidRDefault="00807E0F" w:rsidP="00807E0F">
      <w:pPr>
        <w:rPr>
          <w:rFonts w:ascii="Arial" w:hAnsi="Arial"/>
          <w:sz w:val="20"/>
          <w:highlight w:val="yellow"/>
          <w:lang w:val="fr-CA"/>
        </w:rPr>
      </w:pPr>
    </w:p>
    <w:p w:rsidR="005E080F" w:rsidRPr="00001E0D" w:rsidRDefault="005E080F" w:rsidP="00807E0F">
      <w:pPr>
        <w:rPr>
          <w:rFonts w:ascii="Arial" w:hAnsi="Arial"/>
          <w:sz w:val="20"/>
          <w:highlight w:val="yellow"/>
          <w:lang w:val="fr-CA"/>
        </w:rPr>
      </w:pPr>
    </w:p>
    <w:p w:rsidR="00807E0F" w:rsidRPr="00001E0D" w:rsidRDefault="00807E0F" w:rsidP="00807E0F">
      <w:pPr>
        <w:rPr>
          <w:rFonts w:ascii="Arial" w:hAnsi="Arial"/>
          <w:b/>
          <w:sz w:val="20"/>
          <w:lang w:val="fr-CA"/>
        </w:rPr>
      </w:pPr>
      <w:bookmarkStart w:id="115" w:name="_Toc297887515"/>
      <w:r w:rsidRPr="00001E0D">
        <w:rPr>
          <w:rFonts w:ascii="Arial" w:hAnsi="Arial"/>
          <w:b/>
          <w:sz w:val="20"/>
          <w:lang w:val="fr-CA"/>
        </w:rPr>
        <w:t xml:space="preserve">g) </w:t>
      </w:r>
      <w:r w:rsidRPr="00700F68">
        <w:rPr>
          <w:rFonts w:ascii="Arial" w:hAnsi="Arial"/>
          <w:b/>
          <w:sz w:val="20"/>
          <w:lang w:val="fr-CA"/>
        </w:rPr>
        <w:t>Regroupement des coûts gérés de façon centralisée</w:t>
      </w:r>
      <w:bookmarkEnd w:id="115"/>
      <w:r>
        <w:rPr>
          <w:rFonts w:ascii="Arial" w:hAnsi="Arial"/>
          <w:b/>
          <w:sz w:val="20"/>
          <w:lang w:val="fr-CA"/>
        </w:rPr>
        <w:t xml:space="preserve"> – Fonds opérationnels</w:t>
      </w:r>
    </w:p>
    <w:p w:rsidR="00807E0F" w:rsidRPr="00001E0D" w:rsidRDefault="00807E0F" w:rsidP="00807E0F">
      <w:pPr>
        <w:rPr>
          <w:rFonts w:ascii="Arial" w:hAnsi="Arial"/>
          <w:sz w:val="20"/>
          <w:highlight w:val="yellow"/>
          <w:lang w:val="fr-CA"/>
        </w:rPr>
      </w:pPr>
    </w:p>
    <w:p w:rsidR="00807E0F" w:rsidRPr="00001E0D" w:rsidRDefault="00807E0F" w:rsidP="00807E0F">
      <w:pPr>
        <w:rPr>
          <w:rFonts w:ascii="Arial" w:hAnsi="Arial"/>
          <w:sz w:val="20"/>
          <w:lang w:val="fr-CA"/>
        </w:rPr>
      </w:pPr>
      <w:r w:rsidRPr="00B84089">
        <w:rPr>
          <w:rFonts w:ascii="Arial" w:hAnsi="Arial"/>
          <w:sz w:val="20"/>
          <w:lang w:val="fr-CA"/>
        </w:rPr>
        <w:t xml:space="preserve">Le but </w:t>
      </w:r>
      <w:r>
        <w:rPr>
          <w:rFonts w:ascii="Arial" w:hAnsi="Arial"/>
          <w:sz w:val="20"/>
          <w:lang w:val="fr-CA"/>
        </w:rPr>
        <w:t xml:space="preserve">du regroupement des coûts gérés de façon centralisée </w:t>
      </w:r>
      <w:r w:rsidRPr="00B84089">
        <w:rPr>
          <w:rFonts w:ascii="Arial" w:hAnsi="Arial"/>
          <w:sz w:val="20"/>
          <w:lang w:val="fr-CA"/>
        </w:rPr>
        <w:t xml:space="preserve">est de regrouper certaines catégories précises de dépenses pour assurer une surveillance et un contrôle accrus, et pour réaliser des économies potentielles. Chaque regroupement des coûts est géré par un responsable du processus (habituellement un SMA) chargé de </w:t>
      </w:r>
      <w:r w:rsidR="005E080F">
        <w:rPr>
          <w:rFonts w:ascii="Arial" w:hAnsi="Arial"/>
          <w:sz w:val="20"/>
          <w:lang w:val="fr-CA"/>
        </w:rPr>
        <w:t>la gouvernance et du</w:t>
      </w:r>
      <w:r w:rsidRPr="00B84089">
        <w:rPr>
          <w:rFonts w:ascii="Arial" w:hAnsi="Arial"/>
          <w:sz w:val="20"/>
          <w:lang w:val="fr-CA"/>
        </w:rPr>
        <w:t xml:space="preserve"> processus afin d’accéder à ces ressources et de les gérer. Par conséquent, le </w:t>
      </w:r>
      <w:r w:rsidR="005E080F">
        <w:rPr>
          <w:rFonts w:ascii="Arial" w:hAnsi="Arial"/>
          <w:sz w:val="20"/>
          <w:lang w:val="fr-CA"/>
        </w:rPr>
        <w:t>transfert</w:t>
      </w:r>
      <w:r w:rsidRPr="00B84089">
        <w:rPr>
          <w:rFonts w:ascii="Arial" w:hAnsi="Arial"/>
          <w:sz w:val="20"/>
          <w:lang w:val="fr-CA"/>
        </w:rPr>
        <w:t xml:space="preserve"> des ressources vers et depuis les regroupements des coûts gérés de façon centralisée requiert l’approbation du responsable du processus</w:t>
      </w:r>
      <w:r w:rsidRPr="00001E0D">
        <w:rPr>
          <w:rFonts w:ascii="Arial" w:hAnsi="Arial"/>
          <w:sz w:val="20"/>
          <w:lang w:val="fr-CA"/>
        </w:rPr>
        <w:t>.</w:t>
      </w:r>
    </w:p>
    <w:p w:rsidR="00807E0F" w:rsidRPr="00001E0D" w:rsidRDefault="00807E0F" w:rsidP="00807E0F">
      <w:pPr>
        <w:rPr>
          <w:rFonts w:ascii="Arial" w:hAnsi="Arial"/>
          <w:sz w:val="20"/>
          <w:lang w:val="fr-CA"/>
        </w:rPr>
      </w:pPr>
    </w:p>
    <w:p w:rsidR="00807E0F" w:rsidRPr="00001E0D" w:rsidRDefault="00807E0F" w:rsidP="00807E0F">
      <w:pPr>
        <w:pStyle w:val="NormalArial"/>
        <w:ind w:left="0"/>
        <w:rPr>
          <w:rFonts w:ascii="Arial" w:hAnsi="Arial" w:cs="Arial"/>
          <w:sz w:val="20"/>
          <w:szCs w:val="20"/>
          <w:lang w:val="fr-CA"/>
        </w:rPr>
      </w:pPr>
      <w:r w:rsidRPr="00B84089">
        <w:rPr>
          <w:rFonts w:ascii="Arial" w:hAnsi="Arial" w:cs="Arial"/>
          <w:sz w:val="20"/>
          <w:szCs w:val="20"/>
          <w:lang w:val="fr-CA"/>
        </w:rPr>
        <w:t>Des regroupements de coûts gérés de façon centralisée sont en place pour les postes budgétaires suivants</w:t>
      </w:r>
      <w:r>
        <w:rPr>
          <w:rFonts w:ascii="Arial" w:hAnsi="Arial" w:cs="Arial"/>
          <w:sz w:val="20"/>
          <w:szCs w:val="20"/>
          <w:lang w:val="fr-CA"/>
        </w:rPr>
        <w:t> </w:t>
      </w:r>
      <w:r w:rsidRPr="00001E0D">
        <w:rPr>
          <w:rFonts w:ascii="Arial" w:hAnsi="Arial" w:cs="Arial"/>
          <w:sz w:val="20"/>
          <w:szCs w:val="20"/>
          <w:lang w:val="fr-CA"/>
        </w:rPr>
        <w:t>:</w:t>
      </w:r>
    </w:p>
    <w:p w:rsidR="00807E0F" w:rsidRPr="00001E0D" w:rsidRDefault="00807E0F" w:rsidP="00807E0F">
      <w:pPr>
        <w:pStyle w:val="NormalArial"/>
        <w:numPr>
          <w:ilvl w:val="0"/>
          <w:numId w:val="9"/>
        </w:numPr>
        <w:tabs>
          <w:tab w:val="clear" w:pos="1219"/>
          <w:tab w:val="num" w:pos="540"/>
        </w:tabs>
        <w:ind w:left="540"/>
        <w:rPr>
          <w:rFonts w:ascii="Arial" w:hAnsi="Arial" w:cs="Arial"/>
          <w:dstrike/>
          <w:color w:val="000000" w:themeColor="text1"/>
          <w:sz w:val="20"/>
          <w:szCs w:val="20"/>
          <w:lang w:val="fr-CA"/>
        </w:rPr>
      </w:pPr>
      <w:r>
        <w:rPr>
          <w:rFonts w:ascii="Arial" w:hAnsi="Arial" w:cs="Arial"/>
          <w:color w:val="000000" w:themeColor="text1"/>
          <w:sz w:val="20"/>
          <w:szCs w:val="20"/>
          <w:lang w:val="fr-CA"/>
        </w:rPr>
        <w:t>Gestion des installations et des biens de la RCN</w:t>
      </w:r>
    </w:p>
    <w:p w:rsidR="00807E0F" w:rsidRPr="00001E0D" w:rsidRDefault="00807E0F" w:rsidP="00807E0F">
      <w:pPr>
        <w:pStyle w:val="NormalArial"/>
        <w:numPr>
          <w:ilvl w:val="0"/>
          <w:numId w:val="9"/>
        </w:numPr>
        <w:tabs>
          <w:tab w:val="clear" w:pos="1219"/>
          <w:tab w:val="num" w:pos="540"/>
        </w:tabs>
        <w:ind w:left="540"/>
        <w:rPr>
          <w:rFonts w:ascii="Arial" w:hAnsi="Arial" w:cs="Arial"/>
          <w:dstrike/>
          <w:color w:val="000000" w:themeColor="text1"/>
          <w:sz w:val="20"/>
          <w:szCs w:val="20"/>
          <w:lang w:val="fr-CA"/>
        </w:rPr>
      </w:pPr>
      <w:r>
        <w:rPr>
          <w:rFonts w:ascii="Arial" w:hAnsi="Arial" w:cs="Arial"/>
          <w:color w:val="000000" w:themeColor="text1"/>
          <w:sz w:val="20"/>
          <w:szCs w:val="20"/>
          <w:lang w:val="fr-CA"/>
        </w:rPr>
        <w:t>Frais médicaux</w:t>
      </w:r>
    </w:p>
    <w:p w:rsidR="00807E0F" w:rsidRPr="00C247E8" w:rsidRDefault="00807E0F" w:rsidP="00807E0F">
      <w:pPr>
        <w:pStyle w:val="NormalArial"/>
        <w:numPr>
          <w:ilvl w:val="0"/>
          <w:numId w:val="9"/>
        </w:numPr>
        <w:tabs>
          <w:tab w:val="clear" w:pos="1219"/>
          <w:tab w:val="num" w:pos="540"/>
        </w:tabs>
        <w:ind w:left="540"/>
        <w:rPr>
          <w:rFonts w:ascii="Arial" w:hAnsi="Arial" w:cs="Arial"/>
          <w:color w:val="000000" w:themeColor="text1"/>
          <w:sz w:val="20"/>
          <w:szCs w:val="20"/>
          <w:lang w:val="fr-CA"/>
        </w:rPr>
      </w:pPr>
      <w:r w:rsidRPr="000819B9">
        <w:rPr>
          <w:rFonts w:ascii="Arial" w:hAnsi="Arial" w:cs="Arial"/>
          <w:color w:val="000000" w:themeColor="text1"/>
          <w:sz w:val="20"/>
          <w:szCs w:val="20"/>
          <w:lang w:val="fr-CA"/>
        </w:rPr>
        <w:t>Données de l’état civil</w:t>
      </w:r>
    </w:p>
    <w:p w:rsidR="00807E0F" w:rsidRPr="00001E0D" w:rsidRDefault="00807E0F" w:rsidP="00807E0F">
      <w:pPr>
        <w:pStyle w:val="NormalArial"/>
        <w:numPr>
          <w:ilvl w:val="0"/>
          <w:numId w:val="9"/>
        </w:numPr>
        <w:tabs>
          <w:tab w:val="clear" w:pos="1219"/>
          <w:tab w:val="num" w:pos="540"/>
        </w:tabs>
        <w:ind w:left="540"/>
        <w:rPr>
          <w:rFonts w:ascii="Arial" w:hAnsi="Arial" w:cs="Arial"/>
          <w:color w:val="000000" w:themeColor="text1"/>
          <w:sz w:val="20"/>
          <w:szCs w:val="20"/>
          <w:lang w:val="fr-CA"/>
        </w:rPr>
      </w:pPr>
      <w:r>
        <w:rPr>
          <w:rFonts w:ascii="Arial" w:hAnsi="Arial" w:cs="Arial"/>
          <w:color w:val="000000" w:themeColor="text1"/>
          <w:sz w:val="20"/>
          <w:szCs w:val="20"/>
          <w:lang w:val="fr-CA"/>
        </w:rPr>
        <w:t>Flotte ministérielle</w:t>
      </w:r>
    </w:p>
    <w:p w:rsidR="00807E0F" w:rsidRPr="00001E0D" w:rsidRDefault="00807E0F" w:rsidP="00807E0F">
      <w:pPr>
        <w:pStyle w:val="NormalArial"/>
        <w:numPr>
          <w:ilvl w:val="0"/>
          <w:numId w:val="9"/>
        </w:numPr>
        <w:tabs>
          <w:tab w:val="clear" w:pos="1219"/>
          <w:tab w:val="num" w:pos="540"/>
        </w:tabs>
        <w:ind w:left="540"/>
        <w:rPr>
          <w:rFonts w:ascii="Arial" w:hAnsi="Arial" w:cs="Arial"/>
          <w:color w:val="000000" w:themeColor="text1"/>
          <w:sz w:val="20"/>
          <w:szCs w:val="20"/>
          <w:lang w:val="fr-CA"/>
        </w:rPr>
      </w:pPr>
      <w:r>
        <w:rPr>
          <w:rFonts w:ascii="Arial" w:hAnsi="Arial" w:cs="Arial"/>
          <w:color w:val="000000" w:themeColor="text1"/>
          <w:sz w:val="20"/>
          <w:szCs w:val="20"/>
          <w:lang w:val="fr-CA"/>
        </w:rPr>
        <w:t>Plan national d’aménagement des locaux</w:t>
      </w:r>
    </w:p>
    <w:p w:rsidR="00807E0F" w:rsidRPr="00001E0D" w:rsidRDefault="00807E0F" w:rsidP="00807E0F">
      <w:pPr>
        <w:pStyle w:val="NormalArial"/>
        <w:numPr>
          <w:ilvl w:val="0"/>
          <w:numId w:val="9"/>
        </w:numPr>
        <w:tabs>
          <w:tab w:val="clear" w:pos="1219"/>
          <w:tab w:val="num" w:pos="540"/>
        </w:tabs>
        <w:ind w:left="540"/>
        <w:rPr>
          <w:rFonts w:ascii="Arial" w:hAnsi="Arial" w:cs="Arial"/>
          <w:color w:val="000000" w:themeColor="text1"/>
          <w:sz w:val="20"/>
          <w:szCs w:val="20"/>
          <w:lang w:val="fr-CA"/>
        </w:rPr>
      </w:pPr>
      <w:r>
        <w:rPr>
          <w:rFonts w:ascii="Arial" w:hAnsi="Arial" w:cs="Arial"/>
          <w:color w:val="000000" w:themeColor="text1"/>
          <w:sz w:val="20"/>
          <w:szCs w:val="20"/>
          <w:lang w:val="fr-CA"/>
        </w:rPr>
        <w:t>Fonds d’investissement en apprentissage</w:t>
      </w:r>
      <w:r w:rsidRPr="00001E0D">
        <w:rPr>
          <w:rFonts w:ascii="Arial" w:hAnsi="Arial" w:cs="Arial"/>
          <w:color w:val="000000" w:themeColor="text1"/>
          <w:sz w:val="20"/>
          <w:szCs w:val="20"/>
          <w:lang w:val="fr-CA"/>
        </w:rPr>
        <w:t xml:space="preserve"> (</w:t>
      </w:r>
      <w:r>
        <w:rPr>
          <w:rFonts w:ascii="Arial" w:hAnsi="Arial" w:cs="Arial"/>
          <w:color w:val="000000" w:themeColor="text1"/>
          <w:sz w:val="20"/>
          <w:szCs w:val="20"/>
          <w:lang w:val="fr-CA"/>
        </w:rPr>
        <w:t>FIA</w:t>
      </w:r>
      <w:r w:rsidRPr="00001E0D">
        <w:rPr>
          <w:rFonts w:ascii="Arial" w:hAnsi="Arial" w:cs="Arial"/>
          <w:color w:val="000000" w:themeColor="text1"/>
          <w:sz w:val="20"/>
          <w:szCs w:val="20"/>
          <w:lang w:val="fr-CA"/>
        </w:rPr>
        <w:t>)</w:t>
      </w:r>
    </w:p>
    <w:p w:rsidR="00807E0F" w:rsidRPr="00001E0D" w:rsidRDefault="00807E0F" w:rsidP="00807E0F">
      <w:pPr>
        <w:pStyle w:val="NormalArial"/>
        <w:numPr>
          <w:ilvl w:val="0"/>
          <w:numId w:val="9"/>
        </w:numPr>
        <w:tabs>
          <w:tab w:val="clear" w:pos="1219"/>
          <w:tab w:val="num" w:pos="540"/>
        </w:tabs>
        <w:ind w:left="540"/>
        <w:rPr>
          <w:rFonts w:ascii="Arial" w:hAnsi="Arial" w:cs="Arial"/>
          <w:color w:val="000000" w:themeColor="text1"/>
          <w:sz w:val="20"/>
          <w:szCs w:val="20"/>
          <w:lang w:val="fr-CA"/>
        </w:rPr>
      </w:pPr>
      <w:r>
        <w:rPr>
          <w:rFonts w:ascii="Arial" w:hAnsi="Arial" w:cs="Arial"/>
          <w:color w:val="000000" w:themeColor="text1"/>
          <w:sz w:val="20"/>
          <w:szCs w:val="20"/>
          <w:lang w:val="fr-CA"/>
        </w:rPr>
        <w:lastRenderedPageBreak/>
        <w:t>Projet de facturation juridique externe</w:t>
      </w:r>
    </w:p>
    <w:p w:rsidR="00807E0F" w:rsidRPr="00001E0D" w:rsidRDefault="00807E0F" w:rsidP="00807E0F">
      <w:pPr>
        <w:pStyle w:val="NormalArial"/>
        <w:numPr>
          <w:ilvl w:val="0"/>
          <w:numId w:val="9"/>
        </w:numPr>
        <w:tabs>
          <w:tab w:val="clear" w:pos="1219"/>
          <w:tab w:val="num" w:pos="540"/>
        </w:tabs>
        <w:ind w:left="540"/>
        <w:rPr>
          <w:rFonts w:ascii="Arial" w:hAnsi="Arial" w:cs="Arial"/>
          <w:color w:val="000000" w:themeColor="text1"/>
          <w:sz w:val="20"/>
          <w:szCs w:val="20"/>
          <w:lang w:val="fr-CA"/>
        </w:rPr>
      </w:pPr>
      <w:r>
        <w:rPr>
          <w:rFonts w:ascii="Arial" w:hAnsi="Arial" w:cs="Arial"/>
          <w:color w:val="000000" w:themeColor="text1"/>
          <w:sz w:val="20"/>
          <w:szCs w:val="20"/>
          <w:lang w:val="fr-CA"/>
        </w:rPr>
        <w:t>Acquisition d’ordinateurs personnels</w:t>
      </w:r>
    </w:p>
    <w:p w:rsidR="00807E0F" w:rsidRPr="00001E0D" w:rsidRDefault="00807E0F" w:rsidP="00807E0F">
      <w:pPr>
        <w:pStyle w:val="NormalArial"/>
        <w:numPr>
          <w:ilvl w:val="0"/>
          <w:numId w:val="9"/>
        </w:numPr>
        <w:tabs>
          <w:tab w:val="clear" w:pos="1219"/>
          <w:tab w:val="num" w:pos="540"/>
        </w:tabs>
        <w:ind w:left="540"/>
        <w:rPr>
          <w:rFonts w:ascii="Arial" w:hAnsi="Arial" w:cs="Arial"/>
          <w:color w:val="000000" w:themeColor="text1"/>
          <w:sz w:val="20"/>
          <w:szCs w:val="20"/>
          <w:lang w:val="fr-CA"/>
        </w:rPr>
      </w:pPr>
      <w:r>
        <w:rPr>
          <w:rFonts w:ascii="Arial" w:hAnsi="Arial" w:cs="Arial"/>
          <w:color w:val="000000" w:themeColor="text1"/>
          <w:sz w:val="20"/>
          <w:szCs w:val="20"/>
          <w:lang w:val="fr-CA"/>
        </w:rPr>
        <w:t>Entretien du matériel informatique et des logiciels</w:t>
      </w:r>
    </w:p>
    <w:p w:rsidR="00807E0F" w:rsidRPr="00001E0D" w:rsidRDefault="00807E0F" w:rsidP="00807E0F">
      <w:pPr>
        <w:pStyle w:val="NormalArial"/>
        <w:numPr>
          <w:ilvl w:val="0"/>
          <w:numId w:val="9"/>
        </w:numPr>
        <w:tabs>
          <w:tab w:val="clear" w:pos="1219"/>
          <w:tab w:val="num" w:pos="540"/>
        </w:tabs>
        <w:ind w:left="540"/>
        <w:rPr>
          <w:rFonts w:ascii="Arial" w:hAnsi="Arial" w:cs="Arial"/>
          <w:color w:val="000000" w:themeColor="text1"/>
          <w:sz w:val="20"/>
          <w:szCs w:val="20"/>
          <w:lang w:val="fr-CA"/>
        </w:rPr>
      </w:pPr>
      <w:r>
        <w:rPr>
          <w:rFonts w:ascii="Arial" w:hAnsi="Arial" w:cs="Arial"/>
          <w:color w:val="000000" w:themeColor="text1"/>
          <w:sz w:val="20"/>
          <w:szCs w:val="20"/>
          <w:lang w:val="fr-CA"/>
        </w:rPr>
        <w:t>Acquisition de logiciels</w:t>
      </w:r>
    </w:p>
    <w:p w:rsidR="00807E0F" w:rsidRPr="00001E0D" w:rsidRDefault="00807E0F" w:rsidP="00807E0F">
      <w:pPr>
        <w:pStyle w:val="NormalArial"/>
        <w:numPr>
          <w:ilvl w:val="0"/>
          <w:numId w:val="9"/>
        </w:numPr>
        <w:tabs>
          <w:tab w:val="clear" w:pos="1219"/>
          <w:tab w:val="num" w:pos="540"/>
        </w:tabs>
        <w:ind w:left="540"/>
        <w:rPr>
          <w:rFonts w:ascii="Arial" w:hAnsi="Arial" w:cs="Arial"/>
          <w:color w:val="000000" w:themeColor="text1"/>
          <w:sz w:val="20"/>
          <w:szCs w:val="20"/>
          <w:lang w:val="fr-CA"/>
        </w:rPr>
      </w:pPr>
      <w:r>
        <w:rPr>
          <w:rFonts w:ascii="Arial" w:hAnsi="Arial" w:cs="Arial"/>
          <w:color w:val="000000" w:themeColor="text1"/>
          <w:sz w:val="20"/>
          <w:szCs w:val="20"/>
          <w:lang w:val="fr-CA"/>
        </w:rPr>
        <w:t>Mandats d’assurance-emploi</w:t>
      </w:r>
    </w:p>
    <w:p w:rsidR="00807E0F" w:rsidRPr="00001E0D" w:rsidRDefault="00807E0F" w:rsidP="00807E0F">
      <w:pPr>
        <w:pStyle w:val="NormalArial"/>
        <w:numPr>
          <w:ilvl w:val="0"/>
          <w:numId w:val="9"/>
        </w:numPr>
        <w:tabs>
          <w:tab w:val="clear" w:pos="1219"/>
          <w:tab w:val="num" w:pos="540"/>
        </w:tabs>
        <w:ind w:left="540"/>
        <w:rPr>
          <w:rFonts w:ascii="Arial" w:hAnsi="Arial" w:cs="Arial"/>
          <w:color w:val="000000" w:themeColor="text1"/>
          <w:sz w:val="20"/>
          <w:szCs w:val="20"/>
          <w:lang w:val="fr-CA"/>
        </w:rPr>
      </w:pPr>
      <w:r>
        <w:rPr>
          <w:rFonts w:ascii="Arial" w:hAnsi="Arial" w:cs="Arial"/>
          <w:color w:val="000000" w:themeColor="text1"/>
          <w:sz w:val="20"/>
          <w:szCs w:val="20"/>
          <w:lang w:val="fr-CA"/>
        </w:rPr>
        <w:t>Services d’impression gérés</w:t>
      </w:r>
    </w:p>
    <w:p w:rsidR="00807E0F" w:rsidRDefault="00807E0F" w:rsidP="00807E0F">
      <w:pPr>
        <w:pStyle w:val="NormalArial"/>
        <w:numPr>
          <w:ilvl w:val="0"/>
          <w:numId w:val="9"/>
        </w:numPr>
        <w:tabs>
          <w:tab w:val="clear" w:pos="1219"/>
          <w:tab w:val="num" w:pos="540"/>
        </w:tabs>
        <w:ind w:left="540"/>
        <w:rPr>
          <w:rFonts w:ascii="Arial" w:hAnsi="Arial" w:cs="Arial"/>
          <w:color w:val="000000" w:themeColor="text1"/>
          <w:sz w:val="20"/>
          <w:szCs w:val="20"/>
          <w:lang w:val="fr-CA"/>
        </w:rPr>
      </w:pPr>
      <w:r>
        <w:rPr>
          <w:rFonts w:ascii="Arial" w:hAnsi="Arial" w:cs="Arial"/>
          <w:color w:val="000000" w:themeColor="text1"/>
          <w:sz w:val="20"/>
          <w:szCs w:val="20"/>
          <w:lang w:val="fr-CA"/>
        </w:rPr>
        <w:t>Accidents du travail</w:t>
      </w:r>
    </w:p>
    <w:p w:rsidR="00807E0F" w:rsidRPr="00001E0D" w:rsidRDefault="00807E0F" w:rsidP="00807E0F">
      <w:pPr>
        <w:pStyle w:val="NormalArial"/>
        <w:numPr>
          <w:ilvl w:val="0"/>
          <w:numId w:val="9"/>
        </w:numPr>
        <w:tabs>
          <w:tab w:val="clear" w:pos="1219"/>
          <w:tab w:val="num" w:pos="540"/>
        </w:tabs>
        <w:ind w:left="540"/>
        <w:rPr>
          <w:rFonts w:ascii="Arial" w:hAnsi="Arial" w:cs="Arial"/>
          <w:color w:val="000000" w:themeColor="text1"/>
          <w:sz w:val="20"/>
          <w:szCs w:val="20"/>
          <w:lang w:val="fr-CA"/>
        </w:rPr>
      </w:pPr>
      <w:r>
        <w:rPr>
          <w:rFonts w:ascii="Arial" w:hAnsi="Arial" w:cs="Arial"/>
          <w:color w:val="000000" w:themeColor="text1"/>
          <w:sz w:val="20"/>
          <w:szCs w:val="20"/>
          <w:lang w:val="fr-CA"/>
        </w:rPr>
        <w:t>Services de c</w:t>
      </w:r>
      <w:r w:rsidRPr="002E0EA7">
        <w:rPr>
          <w:rFonts w:ascii="Arial" w:hAnsi="Arial" w:cs="Arial"/>
          <w:color w:val="000000" w:themeColor="text1"/>
          <w:sz w:val="20"/>
          <w:szCs w:val="20"/>
          <w:lang w:val="fr-CA"/>
        </w:rPr>
        <w:t>yber-authentification</w:t>
      </w:r>
    </w:p>
    <w:p w:rsidR="00807E0F" w:rsidRPr="00001E0D" w:rsidRDefault="00807E0F" w:rsidP="00807E0F">
      <w:pPr>
        <w:pStyle w:val="NormalArial"/>
        <w:ind w:left="540"/>
        <w:rPr>
          <w:rFonts w:ascii="Arial" w:hAnsi="Arial" w:cs="Arial"/>
          <w:color w:val="000000" w:themeColor="text1"/>
          <w:sz w:val="20"/>
          <w:szCs w:val="20"/>
          <w:lang w:val="fr-CA"/>
        </w:rPr>
      </w:pPr>
    </w:p>
    <w:p w:rsidR="00807E0F" w:rsidRDefault="00807E0F" w:rsidP="00807E0F">
      <w:pPr>
        <w:pStyle w:val="NormalArial"/>
        <w:ind w:left="540"/>
        <w:rPr>
          <w:rFonts w:ascii="Arial" w:hAnsi="Arial" w:cs="Arial"/>
          <w:color w:val="000000" w:themeColor="text1"/>
          <w:sz w:val="20"/>
          <w:szCs w:val="20"/>
          <w:lang w:val="fr-CA"/>
        </w:rPr>
      </w:pPr>
    </w:p>
    <w:p w:rsidR="00807E0F" w:rsidRDefault="00807E0F" w:rsidP="00807E0F">
      <w:pPr>
        <w:pStyle w:val="NormalArial"/>
        <w:ind w:left="540"/>
        <w:rPr>
          <w:rFonts w:ascii="Arial" w:hAnsi="Arial" w:cs="Arial"/>
          <w:color w:val="000000" w:themeColor="text1"/>
          <w:sz w:val="20"/>
          <w:szCs w:val="20"/>
          <w:lang w:val="fr-CA"/>
        </w:rPr>
      </w:pPr>
    </w:p>
    <w:p w:rsidR="00807E0F" w:rsidRPr="00001E0D" w:rsidRDefault="00807E0F" w:rsidP="00807E0F">
      <w:pPr>
        <w:pStyle w:val="NormalArial"/>
        <w:ind w:left="540"/>
        <w:rPr>
          <w:rFonts w:ascii="Arial" w:hAnsi="Arial" w:cs="Arial"/>
          <w:color w:val="000000" w:themeColor="text1"/>
          <w:sz w:val="20"/>
          <w:szCs w:val="20"/>
          <w:lang w:val="fr-CA"/>
        </w:rPr>
      </w:pPr>
    </w:p>
    <w:p w:rsidR="00807E0F" w:rsidRPr="00001E0D" w:rsidRDefault="00807E0F" w:rsidP="00807E0F">
      <w:pPr>
        <w:pStyle w:val="NormalArial"/>
        <w:ind w:left="540"/>
        <w:rPr>
          <w:rFonts w:ascii="Arial" w:hAnsi="Arial" w:cs="Arial"/>
          <w:color w:val="000000" w:themeColor="text1"/>
          <w:sz w:val="20"/>
          <w:szCs w:val="20"/>
          <w:lang w:val="fr-CA"/>
        </w:rPr>
      </w:pPr>
    </w:p>
    <w:p w:rsidR="00807E0F" w:rsidRPr="00001E0D" w:rsidRDefault="00807E0F" w:rsidP="00807E0F">
      <w:pPr>
        <w:rPr>
          <w:rFonts w:ascii="Arial" w:hAnsi="Arial" w:cs="Arial"/>
          <w:b/>
          <w:bCs/>
          <w:iCs/>
          <w:sz w:val="22"/>
          <w:szCs w:val="28"/>
          <w:lang w:val="fr-CA"/>
        </w:rPr>
      </w:pPr>
      <w:bookmarkStart w:id="116" w:name="_Annex_F:_"/>
      <w:bookmarkStart w:id="117" w:name="_Toc299694694"/>
      <w:bookmarkEnd w:id="116"/>
      <w:r w:rsidRPr="00001E0D">
        <w:rPr>
          <w:lang w:val="fr-CA"/>
        </w:rPr>
        <w:br w:type="page"/>
      </w:r>
    </w:p>
    <w:p w:rsidR="00807E0F" w:rsidRPr="00001E0D" w:rsidRDefault="00807E0F" w:rsidP="00807E0F">
      <w:pPr>
        <w:pStyle w:val="Heading2"/>
        <w:rPr>
          <w:lang w:val="fr-CA"/>
        </w:rPr>
      </w:pPr>
      <w:bookmarkStart w:id="118" w:name="_Toc485812750"/>
      <w:r w:rsidRPr="00001E0D">
        <w:rPr>
          <w:lang w:val="fr-CA"/>
        </w:rPr>
        <w:lastRenderedPageBreak/>
        <w:t>Annex</w:t>
      </w:r>
      <w:r>
        <w:rPr>
          <w:lang w:val="fr-CA"/>
        </w:rPr>
        <w:t>e</w:t>
      </w:r>
      <w:r w:rsidRPr="00001E0D">
        <w:rPr>
          <w:lang w:val="fr-CA"/>
        </w:rPr>
        <w:t xml:space="preserve"> F</w:t>
      </w:r>
      <w:r>
        <w:rPr>
          <w:lang w:val="fr-CA"/>
        </w:rPr>
        <w:t xml:space="preserve"> </w:t>
      </w:r>
      <w:r w:rsidRPr="00001E0D">
        <w:rPr>
          <w:lang w:val="fr-CA"/>
        </w:rPr>
        <w:t xml:space="preserve">: </w:t>
      </w:r>
      <w:bookmarkEnd w:id="117"/>
      <w:r>
        <w:rPr>
          <w:lang w:val="fr-CA"/>
        </w:rPr>
        <w:t>Outils relatifs à la production de rapports, au codage et au système financier d’EDSC</w:t>
      </w:r>
      <w:bookmarkEnd w:id="118"/>
    </w:p>
    <w:p w:rsidR="00807E0F" w:rsidRPr="00001E0D" w:rsidRDefault="00807E0F" w:rsidP="00807E0F">
      <w:pPr>
        <w:rPr>
          <w:rFonts w:ascii="Arial" w:hAnsi="Arial"/>
          <w:sz w:val="20"/>
          <w:lang w:val="fr-CA"/>
        </w:rPr>
      </w:pPr>
    </w:p>
    <w:p w:rsidR="00807E0F" w:rsidRPr="00001E0D" w:rsidRDefault="00807E0F" w:rsidP="00807E0F">
      <w:pPr>
        <w:rPr>
          <w:rFonts w:ascii="Arial" w:hAnsi="Arial"/>
          <w:b/>
          <w:sz w:val="20"/>
          <w:lang w:val="fr-CA"/>
        </w:rPr>
      </w:pPr>
      <w:bookmarkStart w:id="119" w:name="_Toc292462211"/>
      <w:r w:rsidRPr="00001E0D">
        <w:rPr>
          <w:rFonts w:ascii="Arial" w:hAnsi="Arial"/>
          <w:b/>
          <w:sz w:val="20"/>
          <w:lang w:val="fr-CA"/>
        </w:rPr>
        <w:t xml:space="preserve">a) </w:t>
      </w:r>
      <w:bookmarkEnd w:id="119"/>
      <w:r w:rsidRPr="005E409F">
        <w:rPr>
          <w:rFonts w:ascii="Arial" w:hAnsi="Arial"/>
          <w:b/>
          <w:sz w:val="20"/>
          <w:lang w:val="fr-CA"/>
        </w:rPr>
        <w:t>ma Solution de gestion d’entreprise (maSGE</w:t>
      </w:r>
      <w:r>
        <w:rPr>
          <w:rFonts w:ascii="Arial" w:hAnsi="Arial"/>
          <w:b/>
          <w:sz w:val="20"/>
          <w:lang w:val="fr-CA"/>
        </w:rPr>
        <w:t>) :</w:t>
      </w:r>
    </w:p>
    <w:p w:rsidR="00807E0F" w:rsidRPr="00001E0D" w:rsidRDefault="00807E0F" w:rsidP="00807E0F">
      <w:pPr>
        <w:rPr>
          <w:rFonts w:ascii="Arial" w:hAnsi="Arial"/>
          <w:sz w:val="20"/>
          <w:lang w:val="fr-CA"/>
        </w:rPr>
      </w:pPr>
    </w:p>
    <w:p w:rsidR="00807E0F" w:rsidRDefault="00807E0F" w:rsidP="00807E0F">
      <w:pPr>
        <w:rPr>
          <w:rFonts w:ascii="Arial" w:hAnsi="Arial"/>
          <w:color w:val="000000" w:themeColor="text1"/>
          <w:sz w:val="20"/>
          <w:lang w:val="fr-CA"/>
        </w:rPr>
      </w:pPr>
      <w:r>
        <w:rPr>
          <w:rFonts w:ascii="Arial" w:hAnsi="Arial"/>
          <w:color w:val="000000" w:themeColor="text1"/>
          <w:sz w:val="20"/>
          <w:lang w:val="fr-CA"/>
        </w:rPr>
        <w:t xml:space="preserve">Le système financier ministériel nommé maSGE (SAP) </w:t>
      </w:r>
      <w:r w:rsidRPr="004212BC">
        <w:rPr>
          <w:rFonts w:ascii="Arial" w:hAnsi="Arial"/>
          <w:color w:val="000000" w:themeColor="text1"/>
          <w:sz w:val="20"/>
          <w:lang w:val="fr-CA"/>
        </w:rPr>
        <w:t>[ma solution de gestion d</w:t>
      </w:r>
      <w:r>
        <w:rPr>
          <w:rFonts w:ascii="Arial" w:hAnsi="Arial"/>
          <w:color w:val="000000" w:themeColor="text1"/>
          <w:sz w:val="20"/>
          <w:lang w:val="fr-CA"/>
        </w:rPr>
        <w:t>’</w:t>
      </w:r>
      <w:r w:rsidRPr="00F6757A">
        <w:rPr>
          <w:rFonts w:ascii="Arial" w:hAnsi="Arial"/>
          <w:color w:val="000000" w:themeColor="text1"/>
          <w:sz w:val="20"/>
          <w:lang w:val="fr-CA"/>
        </w:rPr>
        <w:t>entreprise]</w:t>
      </w:r>
      <w:r>
        <w:rPr>
          <w:rFonts w:ascii="Arial" w:hAnsi="Arial"/>
          <w:color w:val="000000" w:themeColor="text1"/>
          <w:sz w:val="20"/>
          <w:lang w:val="fr-CA"/>
        </w:rPr>
        <w:t xml:space="preserve"> inclut : </w:t>
      </w:r>
    </w:p>
    <w:p w:rsidR="00807E0F" w:rsidRDefault="00807E0F" w:rsidP="00807E0F">
      <w:pPr>
        <w:pStyle w:val="ListParagraph"/>
        <w:numPr>
          <w:ilvl w:val="0"/>
          <w:numId w:val="25"/>
        </w:numPr>
        <w:rPr>
          <w:rFonts w:ascii="Arial" w:hAnsi="Arial"/>
          <w:color w:val="000000" w:themeColor="text1"/>
          <w:sz w:val="20"/>
          <w:lang w:val="fr-CA"/>
        </w:rPr>
      </w:pPr>
      <w:r w:rsidRPr="00F6757A">
        <w:rPr>
          <w:rFonts w:ascii="Arial" w:hAnsi="Arial"/>
          <w:color w:val="000000" w:themeColor="text1"/>
          <w:sz w:val="20"/>
          <w:lang w:val="fr-CA"/>
        </w:rPr>
        <w:t>L’application de bureau maSGE</w:t>
      </w:r>
      <w:r>
        <w:rPr>
          <w:rFonts w:ascii="Arial" w:hAnsi="Arial"/>
          <w:color w:val="000000" w:themeColor="text1"/>
          <w:sz w:val="20"/>
          <w:lang w:val="fr-CA"/>
        </w:rPr>
        <w:t xml:space="preserve"> (SAP) pour les praticiens (entrées, rapports, etc.)</w:t>
      </w:r>
    </w:p>
    <w:p w:rsidR="00807E0F" w:rsidRDefault="00807E0F" w:rsidP="00807E0F">
      <w:pPr>
        <w:pStyle w:val="ListParagraph"/>
        <w:numPr>
          <w:ilvl w:val="0"/>
          <w:numId w:val="25"/>
        </w:numPr>
        <w:rPr>
          <w:rFonts w:ascii="Arial" w:hAnsi="Arial"/>
          <w:color w:val="000000" w:themeColor="text1"/>
          <w:sz w:val="20"/>
          <w:lang w:val="fr-CA"/>
        </w:rPr>
      </w:pPr>
      <w:r>
        <w:rPr>
          <w:rFonts w:ascii="Arial" w:hAnsi="Arial"/>
          <w:color w:val="000000" w:themeColor="text1"/>
          <w:sz w:val="20"/>
          <w:lang w:val="fr-CA"/>
        </w:rPr>
        <w:t>La solution maSGE SAP Intelligence pour les rapports financiers</w:t>
      </w:r>
    </w:p>
    <w:p w:rsidR="00807E0F" w:rsidRDefault="00807E0F" w:rsidP="00807E0F">
      <w:pPr>
        <w:pStyle w:val="ListParagraph"/>
        <w:numPr>
          <w:ilvl w:val="0"/>
          <w:numId w:val="25"/>
        </w:numPr>
        <w:rPr>
          <w:rFonts w:ascii="Arial" w:hAnsi="Arial"/>
          <w:color w:val="000000" w:themeColor="text1"/>
          <w:sz w:val="20"/>
          <w:lang w:val="fr-CA"/>
        </w:rPr>
      </w:pPr>
      <w:r>
        <w:rPr>
          <w:rFonts w:ascii="Arial" w:hAnsi="Arial"/>
          <w:color w:val="000000" w:themeColor="text1"/>
          <w:sz w:val="20"/>
          <w:lang w:val="fr-CA"/>
        </w:rPr>
        <w:t>Le portail libre-service maSGE (SAP) accessible via l’intranet qui offre aux employés d’EDSC l’accès à de nombreuses fonctions SAP. L’accès aux fonctions est basé sur chaque rôle individuel. Seuls les rôles qui s’appliquent au travail d’un employé seront visibles lors de la navigation dans le portail. Il comprend également des composantes administratives telles que la gestion des voyages, les systèmes de projet et les feuilles de temps.</w:t>
      </w:r>
    </w:p>
    <w:p w:rsidR="00807E0F" w:rsidRDefault="00807E0F" w:rsidP="00807E0F">
      <w:pPr>
        <w:rPr>
          <w:rFonts w:ascii="Arial" w:hAnsi="Arial"/>
          <w:b/>
          <w:color w:val="000000" w:themeColor="text1"/>
          <w:sz w:val="20"/>
          <w:lang w:val="fr-CA"/>
        </w:rPr>
      </w:pPr>
    </w:p>
    <w:p w:rsidR="00807E0F" w:rsidRDefault="00807E0F" w:rsidP="00807E0F">
      <w:pPr>
        <w:rPr>
          <w:rFonts w:ascii="Arial" w:hAnsi="Arial"/>
          <w:b/>
          <w:color w:val="000000" w:themeColor="text1"/>
          <w:sz w:val="20"/>
          <w:lang w:val="fr-CA"/>
        </w:rPr>
      </w:pPr>
      <w:r>
        <w:rPr>
          <w:rFonts w:ascii="Arial" w:hAnsi="Arial"/>
          <w:b/>
          <w:color w:val="000000" w:themeColor="text1"/>
          <w:sz w:val="20"/>
          <w:lang w:val="fr-CA"/>
        </w:rPr>
        <w:t xml:space="preserve">Outils de prévisions </w:t>
      </w:r>
    </w:p>
    <w:p w:rsidR="00807E0F" w:rsidRDefault="00807E0F" w:rsidP="00807E0F">
      <w:pPr>
        <w:rPr>
          <w:rFonts w:ascii="Arial" w:hAnsi="Arial"/>
          <w:color w:val="000000" w:themeColor="text1"/>
          <w:sz w:val="20"/>
          <w:lang w:val="fr-CA"/>
        </w:rPr>
      </w:pPr>
    </w:p>
    <w:p w:rsidR="00807E0F" w:rsidRDefault="00807E0F" w:rsidP="00807E0F">
      <w:pPr>
        <w:rPr>
          <w:rFonts w:ascii="Arial" w:hAnsi="Arial"/>
          <w:color w:val="000000" w:themeColor="text1"/>
          <w:sz w:val="20"/>
          <w:lang w:val="fr-CA"/>
        </w:rPr>
      </w:pPr>
      <w:r w:rsidRPr="003C520C">
        <w:rPr>
          <w:rFonts w:ascii="Arial" w:hAnsi="Arial"/>
          <w:b/>
          <w:color w:val="000000" w:themeColor="text1"/>
          <w:sz w:val="20"/>
          <w:lang w:val="fr-CA"/>
        </w:rPr>
        <w:t>Outil de prévisions salariales</w:t>
      </w:r>
      <w:r>
        <w:rPr>
          <w:rFonts w:ascii="Arial" w:hAnsi="Arial"/>
          <w:color w:val="000000" w:themeColor="text1"/>
          <w:sz w:val="20"/>
          <w:lang w:val="fr-CA"/>
        </w:rPr>
        <w:t> : l’</w:t>
      </w:r>
      <w:hyperlink r:id="rId56" w:anchor="Outildeprevisionssalariales" w:history="1">
        <w:r w:rsidR="00680122">
          <w:rPr>
            <w:rStyle w:val="Hyperlink"/>
            <w:rFonts w:ascii="Arial" w:hAnsi="Arial"/>
            <w:sz w:val="20"/>
            <w:lang w:val="fr-CA"/>
          </w:rPr>
          <w:t>Outil de prévisions salariales</w:t>
        </w:r>
      </w:hyperlink>
      <w:r>
        <w:rPr>
          <w:rFonts w:ascii="Arial" w:hAnsi="Arial"/>
          <w:color w:val="000000" w:themeColor="text1"/>
          <w:sz w:val="20"/>
          <w:lang w:val="fr-CA"/>
        </w:rPr>
        <w:t xml:space="preserve"> (OPS) est le module de gestion des salaires de maSGE (SAP). Il est utilisé pour saisir les prévisions de l’année en cours et des années futures, ainsi que le </w:t>
      </w:r>
      <w:hyperlink r:id="rId57" w:history="1">
        <w:r w:rsidRPr="000819B9">
          <w:rPr>
            <w:rStyle w:val="Hyperlink"/>
            <w:rFonts w:ascii="Arial" w:hAnsi="Arial"/>
            <w:sz w:val="20"/>
            <w:lang w:val="fr-CA"/>
          </w:rPr>
          <w:t>codage financier</w:t>
        </w:r>
      </w:hyperlink>
      <w:r>
        <w:rPr>
          <w:rFonts w:ascii="Arial" w:hAnsi="Arial"/>
          <w:color w:val="000000" w:themeColor="text1"/>
          <w:sz w:val="20"/>
          <w:lang w:val="fr-CA"/>
        </w:rPr>
        <w:t xml:space="preserve"> de l’allocation des dépenses salariales. Plus précisément, l’OPS est utilisé pour :</w:t>
      </w:r>
    </w:p>
    <w:p w:rsidR="00807E0F" w:rsidRDefault="00680122" w:rsidP="00807E0F">
      <w:pPr>
        <w:pStyle w:val="ListParagraph"/>
        <w:numPr>
          <w:ilvl w:val="0"/>
          <w:numId w:val="26"/>
        </w:numPr>
        <w:rPr>
          <w:rFonts w:ascii="Arial" w:hAnsi="Arial"/>
          <w:color w:val="000000" w:themeColor="text1"/>
          <w:sz w:val="20"/>
          <w:lang w:val="fr-CA"/>
        </w:rPr>
      </w:pPr>
      <w:r>
        <w:rPr>
          <w:rFonts w:ascii="Arial" w:hAnsi="Arial"/>
          <w:color w:val="000000" w:themeColor="text1"/>
          <w:sz w:val="20"/>
          <w:lang w:val="fr-CA"/>
        </w:rPr>
        <w:t>l</w:t>
      </w:r>
      <w:r w:rsidR="00807E0F">
        <w:rPr>
          <w:rFonts w:ascii="Arial" w:hAnsi="Arial"/>
          <w:color w:val="000000" w:themeColor="text1"/>
          <w:sz w:val="20"/>
          <w:lang w:val="fr-CA"/>
        </w:rPr>
        <w:t>es prévisions des employés et les affectations des coûts;</w:t>
      </w:r>
    </w:p>
    <w:p w:rsidR="00807E0F" w:rsidRDefault="00680122" w:rsidP="00807E0F">
      <w:pPr>
        <w:pStyle w:val="ListParagraph"/>
        <w:numPr>
          <w:ilvl w:val="0"/>
          <w:numId w:val="26"/>
        </w:numPr>
        <w:rPr>
          <w:rFonts w:ascii="Arial" w:hAnsi="Arial"/>
          <w:color w:val="000000" w:themeColor="text1"/>
          <w:sz w:val="20"/>
          <w:lang w:val="fr-CA"/>
        </w:rPr>
      </w:pPr>
      <w:r>
        <w:rPr>
          <w:rFonts w:ascii="Arial" w:hAnsi="Arial"/>
          <w:color w:val="000000" w:themeColor="text1"/>
          <w:sz w:val="20"/>
          <w:lang w:val="fr-CA"/>
        </w:rPr>
        <w:t>l</w:t>
      </w:r>
      <w:r w:rsidR="00807E0F">
        <w:rPr>
          <w:rFonts w:ascii="Arial" w:hAnsi="Arial"/>
          <w:color w:val="000000" w:themeColor="text1"/>
          <w:sz w:val="20"/>
          <w:lang w:val="fr-CA"/>
        </w:rPr>
        <w:t>es prévisions de la dotation prévue;</w:t>
      </w:r>
    </w:p>
    <w:p w:rsidR="00807E0F" w:rsidRDefault="00680122" w:rsidP="00807E0F">
      <w:pPr>
        <w:pStyle w:val="ListParagraph"/>
        <w:numPr>
          <w:ilvl w:val="0"/>
          <w:numId w:val="26"/>
        </w:numPr>
        <w:rPr>
          <w:rFonts w:ascii="Arial" w:hAnsi="Arial"/>
          <w:color w:val="000000" w:themeColor="text1"/>
          <w:sz w:val="20"/>
          <w:lang w:val="fr-CA"/>
        </w:rPr>
      </w:pPr>
      <w:r>
        <w:rPr>
          <w:rFonts w:ascii="Arial" w:hAnsi="Arial"/>
          <w:color w:val="000000" w:themeColor="text1"/>
          <w:sz w:val="20"/>
          <w:lang w:val="fr-CA"/>
        </w:rPr>
        <w:t>l</w:t>
      </w:r>
      <w:r w:rsidR="00807E0F">
        <w:rPr>
          <w:rFonts w:ascii="Arial" w:hAnsi="Arial"/>
          <w:color w:val="000000" w:themeColor="text1"/>
          <w:sz w:val="20"/>
          <w:lang w:val="fr-CA"/>
        </w:rPr>
        <w:t xml:space="preserve">es prévisions globales; et </w:t>
      </w:r>
    </w:p>
    <w:p w:rsidR="00807E0F" w:rsidRDefault="00680122" w:rsidP="00807E0F">
      <w:pPr>
        <w:pStyle w:val="ListParagraph"/>
        <w:numPr>
          <w:ilvl w:val="0"/>
          <w:numId w:val="26"/>
        </w:numPr>
        <w:rPr>
          <w:rFonts w:ascii="Arial" w:hAnsi="Arial"/>
          <w:color w:val="000000" w:themeColor="text1"/>
          <w:sz w:val="20"/>
          <w:lang w:val="fr-CA"/>
        </w:rPr>
      </w:pPr>
      <w:r>
        <w:rPr>
          <w:rFonts w:ascii="Arial" w:hAnsi="Arial"/>
          <w:color w:val="000000" w:themeColor="text1"/>
          <w:sz w:val="20"/>
          <w:lang w:val="fr-CA"/>
        </w:rPr>
        <w:t>l</w:t>
      </w:r>
      <w:r w:rsidR="00807E0F">
        <w:rPr>
          <w:rFonts w:ascii="Arial" w:hAnsi="Arial"/>
          <w:color w:val="000000" w:themeColor="text1"/>
          <w:sz w:val="20"/>
          <w:lang w:val="fr-CA"/>
        </w:rPr>
        <w:t>e traitement des dépenses de salaire.</w:t>
      </w:r>
    </w:p>
    <w:p w:rsidR="00807E0F" w:rsidRDefault="00807E0F" w:rsidP="00807E0F">
      <w:pPr>
        <w:rPr>
          <w:rFonts w:ascii="Arial" w:hAnsi="Arial"/>
          <w:color w:val="000000" w:themeColor="text1"/>
          <w:sz w:val="20"/>
          <w:lang w:val="fr-CA"/>
        </w:rPr>
      </w:pPr>
    </w:p>
    <w:p w:rsidR="00807E0F" w:rsidRDefault="00807E0F" w:rsidP="00807E0F">
      <w:pPr>
        <w:rPr>
          <w:rFonts w:ascii="Arial" w:hAnsi="Arial"/>
          <w:color w:val="000000" w:themeColor="text1"/>
          <w:sz w:val="20"/>
          <w:lang w:val="fr-CA"/>
        </w:rPr>
      </w:pPr>
      <w:r w:rsidRPr="003C520C">
        <w:rPr>
          <w:rFonts w:ascii="Arial" w:hAnsi="Arial"/>
          <w:b/>
          <w:color w:val="000000" w:themeColor="text1"/>
          <w:sz w:val="20"/>
          <w:lang w:val="fr-CA"/>
        </w:rPr>
        <w:t>Outil de prévisions non-salariales</w:t>
      </w:r>
      <w:r>
        <w:rPr>
          <w:rFonts w:ascii="Arial" w:hAnsi="Arial"/>
          <w:color w:val="000000" w:themeColor="text1"/>
          <w:sz w:val="20"/>
          <w:lang w:val="fr-CA"/>
        </w:rPr>
        <w:t xml:space="preserve"> : l’outil de prévisions non-salariales accessible par le biais du portail, offre aux gestionnaires l’accès à leurs prévisions non salariales, y compris les prévisions de fonctionnement et entretient (F et E), le </w:t>
      </w:r>
      <w:r>
        <w:rPr>
          <w:rFonts w:ascii="Arial" w:hAnsi="Arial" w:cs="Arial"/>
          <w:sz w:val="20"/>
          <w:szCs w:val="20"/>
          <w:lang w:val="fr-CA"/>
        </w:rPr>
        <w:t>r</w:t>
      </w:r>
      <w:r w:rsidRPr="00E829E5">
        <w:rPr>
          <w:rFonts w:ascii="Arial" w:hAnsi="Arial" w:cs="Arial"/>
          <w:sz w:val="20"/>
          <w:szCs w:val="20"/>
          <w:lang w:val="fr-CA"/>
        </w:rPr>
        <w:t>evenu net en vertu d’un crédit (RNC)</w:t>
      </w:r>
      <w:r>
        <w:rPr>
          <w:rFonts w:ascii="Arial" w:hAnsi="Arial"/>
          <w:color w:val="000000" w:themeColor="text1"/>
          <w:sz w:val="20"/>
          <w:lang w:val="fr-CA"/>
        </w:rPr>
        <w:t xml:space="preserve"> et les subventions et contributions (S et C).</w:t>
      </w:r>
    </w:p>
    <w:p w:rsidR="00807E0F" w:rsidRDefault="00807E0F" w:rsidP="00807E0F">
      <w:pPr>
        <w:rPr>
          <w:rFonts w:ascii="Arial" w:hAnsi="Arial"/>
          <w:color w:val="000000" w:themeColor="text1"/>
          <w:sz w:val="20"/>
          <w:lang w:val="fr-CA"/>
        </w:rPr>
      </w:pPr>
    </w:p>
    <w:p w:rsidR="00807E0F" w:rsidRPr="003C520C" w:rsidRDefault="00807E0F" w:rsidP="00807E0F">
      <w:pPr>
        <w:rPr>
          <w:rFonts w:ascii="Arial" w:hAnsi="Arial"/>
          <w:b/>
          <w:color w:val="000000" w:themeColor="text1"/>
          <w:sz w:val="20"/>
          <w:lang w:val="fr-CA"/>
        </w:rPr>
      </w:pPr>
      <w:r w:rsidRPr="003C520C">
        <w:rPr>
          <w:rFonts w:ascii="Arial" w:hAnsi="Arial"/>
          <w:b/>
          <w:color w:val="000000" w:themeColor="text1"/>
          <w:sz w:val="20"/>
          <w:lang w:val="fr-CA"/>
        </w:rPr>
        <w:t>Outil d’intelligence d’affaire (BI) – outil de rapport</w:t>
      </w:r>
    </w:p>
    <w:p w:rsidR="00807E0F" w:rsidRDefault="00807E0F" w:rsidP="00807E0F">
      <w:pPr>
        <w:rPr>
          <w:rFonts w:ascii="Arial" w:hAnsi="Arial"/>
          <w:color w:val="000000" w:themeColor="text1"/>
          <w:sz w:val="20"/>
          <w:lang w:val="fr-CA"/>
        </w:rPr>
      </w:pPr>
    </w:p>
    <w:p w:rsidR="00807E0F" w:rsidRDefault="00807E0F" w:rsidP="00807E0F">
      <w:pPr>
        <w:rPr>
          <w:rFonts w:ascii="Arial" w:hAnsi="Arial"/>
          <w:color w:val="000000" w:themeColor="text1"/>
          <w:sz w:val="20"/>
          <w:lang w:val="fr-CA"/>
        </w:rPr>
      </w:pPr>
      <w:r>
        <w:rPr>
          <w:rFonts w:ascii="Arial" w:hAnsi="Arial"/>
          <w:color w:val="000000" w:themeColor="text1"/>
          <w:sz w:val="20"/>
          <w:lang w:val="fr-CA"/>
        </w:rPr>
        <w:t xml:space="preserve">L’outil BI fournit l’accès aux données et à l’information de l’application de bureau maSGE (SAP) et via le portail. Les données sont accessibles aux utilisateurs ministériels autorisés en fonction des rôles individuels. BI fournit l’accès aux données et aux informations maintenues dans l’entrepôt d’entreprise (EE) et les informations provenant directement des systèmes opérationnels (maSGE et </w:t>
      </w:r>
      <w:r w:rsidR="00680122">
        <w:rPr>
          <w:rFonts w:ascii="Arial" w:hAnsi="Arial"/>
          <w:color w:val="000000" w:themeColor="text1"/>
          <w:sz w:val="20"/>
          <w:lang w:val="fr-CA"/>
        </w:rPr>
        <w:t>SCSC</w:t>
      </w:r>
      <w:r>
        <w:rPr>
          <w:rFonts w:ascii="Arial" w:hAnsi="Arial"/>
          <w:color w:val="000000" w:themeColor="text1"/>
          <w:sz w:val="20"/>
          <w:lang w:val="fr-CA"/>
        </w:rPr>
        <w:t>). BI fournit également des rapports préétablit et ad hoc sur toutes les ressources (budget, dépenses, engagements, actifs) pour faciliter la prise de décision pour la gestion. Les données sont téléchargées quotidiennement (information de le veille) dans l’E</w:t>
      </w:r>
      <w:r w:rsidR="00680122">
        <w:rPr>
          <w:rFonts w:ascii="Arial" w:hAnsi="Arial"/>
          <w:color w:val="000000" w:themeColor="text1"/>
          <w:sz w:val="20"/>
          <w:lang w:val="fr-CA"/>
        </w:rPr>
        <w:t>E</w:t>
      </w:r>
      <w:r>
        <w:rPr>
          <w:rFonts w:ascii="Arial" w:hAnsi="Arial"/>
          <w:color w:val="000000" w:themeColor="text1"/>
          <w:sz w:val="20"/>
          <w:lang w:val="fr-CA"/>
        </w:rPr>
        <w:t>.</w:t>
      </w:r>
    </w:p>
    <w:p w:rsidR="00680122" w:rsidRDefault="00680122" w:rsidP="00807E0F">
      <w:pPr>
        <w:rPr>
          <w:rFonts w:ascii="Arial" w:hAnsi="Arial"/>
          <w:color w:val="000000" w:themeColor="text1"/>
          <w:sz w:val="20"/>
          <w:lang w:val="fr-CA"/>
        </w:rPr>
      </w:pPr>
    </w:p>
    <w:p w:rsidR="00807E0F" w:rsidRDefault="00807E0F" w:rsidP="00807E0F">
      <w:pPr>
        <w:rPr>
          <w:rFonts w:ascii="Arial" w:hAnsi="Arial"/>
          <w:color w:val="000000" w:themeColor="text1"/>
          <w:sz w:val="20"/>
          <w:lang w:val="fr-CA"/>
        </w:rPr>
      </w:pPr>
      <w:r>
        <w:rPr>
          <w:rFonts w:ascii="Arial" w:hAnsi="Arial"/>
          <w:color w:val="000000" w:themeColor="text1"/>
          <w:sz w:val="20"/>
          <w:lang w:val="fr-CA"/>
        </w:rPr>
        <w:t xml:space="preserve">Vous trouverez plus d’information sur les outils de prévision et de rapports de la gestion financière </w:t>
      </w:r>
      <w:r w:rsidR="00680122">
        <w:rPr>
          <w:rFonts w:ascii="Arial" w:hAnsi="Arial"/>
          <w:color w:val="000000" w:themeColor="text1"/>
          <w:sz w:val="20"/>
          <w:lang w:val="fr-CA"/>
        </w:rPr>
        <w:t xml:space="preserve">dans la section </w:t>
      </w:r>
      <w:r>
        <w:rPr>
          <w:rFonts w:ascii="Arial" w:hAnsi="Arial"/>
          <w:color w:val="000000" w:themeColor="text1"/>
          <w:sz w:val="20"/>
          <w:lang w:val="fr-CA"/>
        </w:rPr>
        <w:t xml:space="preserve">de la </w:t>
      </w:r>
      <w:hyperlink r:id="rId58" w:anchor="ppr" w:history="1">
        <w:r w:rsidRPr="00680122">
          <w:rPr>
            <w:rStyle w:val="Hyperlink"/>
            <w:rFonts w:ascii="Arial" w:hAnsi="Arial"/>
            <w:sz w:val="20"/>
            <w:lang w:val="fr-CA"/>
          </w:rPr>
          <w:t>Planification des ressource</w:t>
        </w:r>
        <w:r w:rsidR="00680122" w:rsidRPr="00680122">
          <w:rPr>
            <w:rStyle w:val="Hyperlink"/>
            <w:rFonts w:ascii="Arial" w:hAnsi="Arial"/>
            <w:sz w:val="20"/>
            <w:lang w:val="fr-CA"/>
          </w:rPr>
          <w:t>s, la prévision et les rapports</w:t>
        </w:r>
      </w:hyperlink>
      <w:r w:rsidR="00680122">
        <w:rPr>
          <w:rFonts w:ascii="Arial" w:hAnsi="Arial"/>
          <w:color w:val="000000" w:themeColor="text1"/>
          <w:sz w:val="20"/>
          <w:lang w:val="fr-CA"/>
        </w:rPr>
        <w:t xml:space="preserve"> du catalogue iService. </w:t>
      </w:r>
    </w:p>
    <w:p w:rsidR="00807E0F" w:rsidRPr="00F6757A" w:rsidRDefault="00807E0F" w:rsidP="00807E0F">
      <w:pPr>
        <w:rPr>
          <w:rFonts w:ascii="Arial" w:hAnsi="Arial"/>
          <w:color w:val="000000" w:themeColor="text1"/>
          <w:sz w:val="20"/>
          <w:lang w:val="fr-CA"/>
        </w:rPr>
      </w:pPr>
    </w:p>
    <w:p w:rsidR="00807E0F" w:rsidRPr="00001E0D" w:rsidRDefault="00807E0F" w:rsidP="00807E0F">
      <w:pPr>
        <w:rPr>
          <w:rFonts w:ascii="Arial" w:hAnsi="Arial"/>
          <w:sz w:val="20"/>
          <w:lang w:val="fr-CA"/>
        </w:rPr>
      </w:pPr>
    </w:p>
    <w:p w:rsidR="00807E0F" w:rsidRPr="00001E0D" w:rsidRDefault="00807E0F" w:rsidP="00807E0F">
      <w:pPr>
        <w:rPr>
          <w:rFonts w:ascii="Arial" w:hAnsi="Arial"/>
          <w:b/>
          <w:sz w:val="20"/>
          <w:lang w:val="fr-CA"/>
        </w:rPr>
      </w:pPr>
      <w:bookmarkStart w:id="120" w:name="_Toc292462212"/>
      <w:r w:rsidRPr="00001E0D">
        <w:rPr>
          <w:rFonts w:ascii="Arial" w:hAnsi="Arial"/>
          <w:b/>
          <w:sz w:val="20"/>
          <w:lang w:val="fr-CA"/>
        </w:rPr>
        <w:t xml:space="preserve">b) </w:t>
      </w:r>
      <w:bookmarkEnd w:id="120"/>
      <w:r>
        <w:rPr>
          <w:rFonts w:ascii="Arial" w:hAnsi="Arial"/>
          <w:b/>
          <w:sz w:val="20"/>
          <w:lang w:val="fr-CA"/>
        </w:rPr>
        <w:t xml:space="preserve">Codage financier </w:t>
      </w:r>
      <w:r w:rsidRPr="00001E0D">
        <w:rPr>
          <w:rFonts w:ascii="Arial" w:hAnsi="Arial"/>
          <w:b/>
          <w:sz w:val="20"/>
          <w:lang w:val="fr-CA"/>
        </w:rPr>
        <w:t>:</w:t>
      </w:r>
    </w:p>
    <w:p w:rsidR="00807E0F" w:rsidRPr="00001E0D" w:rsidRDefault="00807E0F" w:rsidP="00807E0F">
      <w:pPr>
        <w:rPr>
          <w:rFonts w:ascii="Arial" w:hAnsi="Arial"/>
          <w:sz w:val="20"/>
          <w:highlight w:val="yellow"/>
          <w:lang w:val="fr-CA"/>
        </w:rPr>
      </w:pPr>
    </w:p>
    <w:p w:rsidR="00807E0F" w:rsidRDefault="00807E0F" w:rsidP="00807E0F">
      <w:pPr>
        <w:rPr>
          <w:rFonts w:ascii="Arial" w:hAnsi="Arial"/>
          <w:sz w:val="20"/>
          <w:lang w:val="fr-CA"/>
        </w:rPr>
      </w:pPr>
      <w:r w:rsidRPr="00AE327E">
        <w:rPr>
          <w:rFonts w:ascii="Arial" w:hAnsi="Arial"/>
          <w:sz w:val="20"/>
          <w:lang w:val="fr-CA"/>
        </w:rPr>
        <w:t>Le codage financier est la méthode par laquelle les ressources allouées, ainsi que les recettes et les décaissements des fonds effectués en vertu de ces allocations de ressources, reçoivent une série de codes pour bien refléter et afficher l'autorité, la responsabilité, le but et la nature de chaque transaction individuelle. Ce processus est préoccupant pour tout le personnel impliqué dans la collecte, l'analyse et la déclaration de l'information financière, l'allocation et le contrôle des ressources, ainsi que la planification financière et le processus décisionnel.</w:t>
      </w:r>
    </w:p>
    <w:p w:rsidR="00807E0F" w:rsidRDefault="00807E0F" w:rsidP="00807E0F">
      <w:pPr>
        <w:rPr>
          <w:rFonts w:ascii="Arial" w:hAnsi="Arial"/>
          <w:sz w:val="20"/>
          <w:lang w:val="fr-CA"/>
        </w:rPr>
      </w:pPr>
    </w:p>
    <w:p w:rsidR="00807E0F" w:rsidRPr="00F6757A" w:rsidRDefault="00807E0F" w:rsidP="00807E0F">
      <w:pPr>
        <w:rPr>
          <w:rFonts w:ascii="Arial" w:hAnsi="Arial"/>
          <w:b/>
          <w:sz w:val="20"/>
          <w:lang w:val="fr-CA"/>
        </w:rPr>
      </w:pPr>
      <w:r w:rsidRPr="00F6757A">
        <w:rPr>
          <w:rFonts w:ascii="Arial" w:hAnsi="Arial"/>
          <w:b/>
          <w:sz w:val="20"/>
          <w:lang w:val="fr-CA"/>
        </w:rPr>
        <w:t>Pourquoi le codage financier est-il important?</w:t>
      </w:r>
    </w:p>
    <w:p w:rsidR="00807E0F" w:rsidRDefault="00807E0F" w:rsidP="00807E0F">
      <w:pPr>
        <w:rPr>
          <w:rFonts w:ascii="Arial" w:hAnsi="Arial"/>
          <w:sz w:val="20"/>
          <w:lang w:val="fr-CA"/>
        </w:rPr>
      </w:pPr>
    </w:p>
    <w:p w:rsidR="00807E0F" w:rsidRDefault="00807E0F" w:rsidP="00807E0F">
      <w:pPr>
        <w:rPr>
          <w:rFonts w:ascii="Arial" w:hAnsi="Arial"/>
          <w:sz w:val="20"/>
          <w:lang w:val="fr-CA"/>
        </w:rPr>
      </w:pPr>
      <w:r w:rsidRPr="00AE327E">
        <w:rPr>
          <w:rFonts w:ascii="Arial" w:hAnsi="Arial"/>
          <w:sz w:val="20"/>
          <w:lang w:val="fr-CA"/>
        </w:rPr>
        <w:t>La lég</w:t>
      </w:r>
      <w:r w:rsidR="00680122">
        <w:rPr>
          <w:rFonts w:ascii="Arial" w:hAnsi="Arial"/>
          <w:sz w:val="20"/>
          <w:lang w:val="fr-CA"/>
        </w:rPr>
        <w:t xml:space="preserve">islation et les politiques des agences centrales </w:t>
      </w:r>
      <w:r w:rsidRPr="00AE327E">
        <w:rPr>
          <w:rFonts w:ascii="Arial" w:hAnsi="Arial"/>
          <w:sz w:val="20"/>
          <w:lang w:val="fr-CA"/>
        </w:rPr>
        <w:t>exigent que toutes les transactions financières soient correctement comptabilisées et enregistrées en temps opportun dans les systèmes de gestion financière ministériels et dans les Comptes du Canada</w:t>
      </w:r>
      <w:r>
        <w:rPr>
          <w:rFonts w:ascii="Arial" w:hAnsi="Arial"/>
          <w:sz w:val="20"/>
          <w:lang w:val="fr-CA"/>
        </w:rPr>
        <w:t xml:space="preserve">. </w:t>
      </w:r>
      <w:r w:rsidRPr="00AE327E">
        <w:rPr>
          <w:rFonts w:ascii="Arial" w:hAnsi="Arial"/>
          <w:sz w:val="20"/>
          <w:lang w:val="fr-CA"/>
        </w:rPr>
        <w:t xml:space="preserve">Un bon codage financier est </w:t>
      </w:r>
      <w:r w:rsidR="00680122">
        <w:rPr>
          <w:rFonts w:ascii="Arial" w:hAnsi="Arial"/>
          <w:sz w:val="20"/>
          <w:lang w:val="fr-CA"/>
        </w:rPr>
        <w:t>le fondement de l’</w:t>
      </w:r>
      <w:r w:rsidRPr="00AE327E">
        <w:rPr>
          <w:rFonts w:ascii="Arial" w:hAnsi="Arial"/>
          <w:sz w:val="20"/>
          <w:lang w:val="fr-CA"/>
        </w:rPr>
        <w:t>information sur les systèmes de gestion financière et est essentiel à l'identification, à l'agrégation et à la déclaration appropriées des transactions financières afin de répondre à ces exigences.</w:t>
      </w:r>
    </w:p>
    <w:p w:rsidR="00807E0F" w:rsidRDefault="00807E0F" w:rsidP="00807E0F">
      <w:pPr>
        <w:rPr>
          <w:rFonts w:ascii="Arial" w:hAnsi="Arial"/>
          <w:sz w:val="20"/>
          <w:lang w:val="fr-CA"/>
        </w:rPr>
      </w:pPr>
      <w:r w:rsidRPr="00801AAF">
        <w:rPr>
          <w:rFonts w:ascii="Arial" w:hAnsi="Arial"/>
          <w:sz w:val="20"/>
          <w:lang w:val="fr-CA"/>
        </w:rPr>
        <w:lastRenderedPageBreak/>
        <w:t xml:space="preserve">La précision dans l'enregistrement des transactions financières garantit des rapports factuels, à la fois à l'échelle du gouvernement et des </w:t>
      </w:r>
      <w:r w:rsidR="00B9516F">
        <w:rPr>
          <w:rFonts w:ascii="Arial" w:hAnsi="Arial"/>
          <w:sz w:val="20"/>
          <w:lang w:val="fr-CA"/>
        </w:rPr>
        <w:t>ministère</w:t>
      </w:r>
      <w:r w:rsidRPr="00801AAF">
        <w:rPr>
          <w:rFonts w:ascii="Arial" w:hAnsi="Arial"/>
          <w:sz w:val="20"/>
          <w:lang w:val="fr-CA"/>
        </w:rPr>
        <w:t xml:space="preserve">s, </w:t>
      </w:r>
      <w:r w:rsidR="00680122">
        <w:rPr>
          <w:rFonts w:ascii="Arial" w:hAnsi="Arial"/>
          <w:sz w:val="20"/>
          <w:lang w:val="fr-CA"/>
        </w:rPr>
        <w:t xml:space="preserve">ce </w:t>
      </w:r>
      <w:r w:rsidRPr="00801AAF">
        <w:rPr>
          <w:rFonts w:ascii="Arial" w:hAnsi="Arial"/>
          <w:sz w:val="20"/>
          <w:lang w:val="fr-CA"/>
        </w:rPr>
        <w:t xml:space="preserve">qui soutient la prise de décision et </w:t>
      </w:r>
      <w:r w:rsidR="00680122">
        <w:rPr>
          <w:rFonts w:ascii="Arial" w:hAnsi="Arial"/>
          <w:sz w:val="20"/>
          <w:lang w:val="fr-CA"/>
        </w:rPr>
        <w:t xml:space="preserve">permet de rencontrer </w:t>
      </w:r>
      <w:r w:rsidRPr="00801AAF">
        <w:rPr>
          <w:rFonts w:ascii="Arial" w:hAnsi="Arial"/>
          <w:sz w:val="20"/>
          <w:lang w:val="fr-CA"/>
        </w:rPr>
        <w:t>les</w:t>
      </w:r>
      <w:r w:rsidR="00680122">
        <w:rPr>
          <w:rFonts w:ascii="Arial" w:hAnsi="Arial"/>
          <w:sz w:val="20"/>
          <w:lang w:val="fr-CA"/>
        </w:rPr>
        <w:t xml:space="preserve"> différentes </w:t>
      </w:r>
      <w:r w:rsidRPr="00801AAF">
        <w:rPr>
          <w:rFonts w:ascii="Arial" w:hAnsi="Arial"/>
          <w:sz w:val="20"/>
          <w:lang w:val="fr-CA"/>
        </w:rPr>
        <w:t xml:space="preserve">exigences de déclaration </w:t>
      </w:r>
      <w:r w:rsidR="00680122">
        <w:rPr>
          <w:rFonts w:ascii="Arial" w:hAnsi="Arial"/>
          <w:sz w:val="20"/>
          <w:lang w:val="fr-CA"/>
        </w:rPr>
        <w:t>à plusieurs</w:t>
      </w:r>
      <w:r w:rsidRPr="00801AAF">
        <w:rPr>
          <w:rFonts w:ascii="Arial" w:hAnsi="Arial"/>
          <w:sz w:val="20"/>
          <w:lang w:val="fr-CA"/>
        </w:rPr>
        <w:t xml:space="preserve"> niveaux. Si </w:t>
      </w:r>
      <w:r w:rsidR="00680122">
        <w:rPr>
          <w:rFonts w:ascii="Arial" w:hAnsi="Arial"/>
          <w:sz w:val="20"/>
          <w:lang w:val="fr-CA"/>
        </w:rPr>
        <w:t>le</w:t>
      </w:r>
      <w:r w:rsidRPr="00801AAF">
        <w:rPr>
          <w:rFonts w:ascii="Arial" w:hAnsi="Arial"/>
          <w:sz w:val="20"/>
          <w:lang w:val="fr-CA"/>
        </w:rPr>
        <w:t xml:space="preserve"> codage financier n'est pas compris et est utilisé de manière inappropriée, l'intégrité de l'information financière du </w:t>
      </w:r>
      <w:r w:rsidR="00A65707">
        <w:rPr>
          <w:rFonts w:ascii="Arial" w:hAnsi="Arial"/>
          <w:sz w:val="20"/>
          <w:lang w:val="fr-CA"/>
        </w:rPr>
        <w:t>ministère</w:t>
      </w:r>
      <w:r w:rsidRPr="00801AAF">
        <w:rPr>
          <w:rFonts w:ascii="Arial" w:hAnsi="Arial"/>
          <w:sz w:val="20"/>
          <w:lang w:val="fr-CA"/>
        </w:rPr>
        <w:t xml:space="preserve"> est menacée.</w:t>
      </w:r>
    </w:p>
    <w:p w:rsidR="00680122" w:rsidRDefault="00680122" w:rsidP="00807E0F">
      <w:pPr>
        <w:rPr>
          <w:rFonts w:ascii="Arial" w:hAnsi="Arial"/>
          <w:sz w:val="20"/>
          <w:lang w:val="fr-CA"/>
        </w:rPr>
      </w:pPr>
    </w:p>
    <w:p w:rsidR="00807E0F" w:rsidRDefault="00807E0F" w:rsidP="00807E0F">
      <w:pPr>
        <w:rPr>
          <w:rFonts w:ascii="Arial" w:hAnsi="Arial"/>
          <w:sz w:val="20"/>
          <w:lang w:val="fr-CA"/>
        </w:rPr>
      </w:pPr>
      <w:r w:rsidRPr="00801AAF">
        <w:rPr>
          <w:rFonts w:ascii="Arial" w:hAnsi="Arial"/>
          <w:sz w:val="20"/>
          <w:lang w:val="fr-CA"/>
        </w:rPr>
        <w:t>Un codage financier précis app</w:t>
      </w:r>
      <w:r w:rsidR="00680122">
        <w:rPr>
          <w:rFonts w:ascii="Arial" w:hAnsi="Arial"/>
          <w:sz w:val="20"/>
          <w:lang w:val="fr-CA"/>
        </w:rPr>
        <w:t>uie également le S</w:t>
      </w:r>
      <w:r w:rsidRPr="00801AAF">
        <w:rPr>
          <w:rFonts w:ascii="Arial" w:hAnsi="Arial"/>
          <w:sz w:val="20"/>
          <w:lang w:val="fr-CA"/>
        </w:rPr>
        <w:t xml:space="preserve">ous-ministre dans son rôle </w:t>
      </w:r>
      <w:r w:rsidR="00680122">
        <w:rPr>
          <w:rFonts w:ascii="Arial" w:hAnsi="Arial"/>
          <w:sz w:val="20"/>
          <w:lang w:val="fr-CA"/>
        </w:rPr>
        <w:t xml:space="preserve">en tant qu’administrateur des comptes du ministère, conformément à </w:t>
      </w:r>
      <w:r w:rsidRPr="00801AAF">
        <w:rPr>
          <w:rFonts w:ascii="Arial" w:hAnsi="Arial"/>
          <w:sz w:val="20"/>
          <w:lang w:val="fr-CA"/>
        </w:rPr>
        <w:t>la Loi fédérale sur la responsabilité.</w:t>
      </w:r>
    </w:p>
    <w:p w:rsidR="00807E0F" w:rsidRDefault="00807E0F" w:rsidP="00807E0F">
      <w:pPr>
        <w:rPr>
          <w:rFonts w:ascii="Arial" w:hAnsi="Arial"/>
          <w:sz w:val="20"/>
          <w:lang w:val="fr-CA"/>
        </w:rPr>
      </w:pPr>
    </w:p>
    <w:p w:rsidR="00807E0F" w:rsidRDefault="00807E0F" w:rsidP="00807E0F">
      <w:pPr>
        <w:rPr>
          <w:rFonts w:ascii="Arial" w:hAnsi="Arial"/>
          <w:b/>
          <w:sz w:val="20"/>
          <w:lang w:val="fr-CA"/>
        </w:rPr>
      </w:pPr>
      <w:r>
        <w:rPr>
          <w:rFonts w:ascii="Arial" w:hAnsi="Arial"/>
          <w:b/>
          <w:sz w:val="20"/>
          <w:lang w:val="fr-CA"/>
        </w:rPr>
        <w:t>But et utilisation du Codage</w:t>
      </w:r>
    </w:p>
    <w:p w:rsidR="00807E0F" w:rsidRDefault="00807E0F" w:rsidP="00807E0F">
      <w:pPr>
        <w:rPr>
          <w:rFonts w:ascii="Arial" w:hAnsi="Arial"/>
          <w:sz w:val="20"/>
          <w:lang w:val="fr-CA"/>
        </w:rPr>
      </w:pPr>
    </w:p>
    <w:p w:rsidR="00807E0F" w:rsidRDefault="00807E0F" w:rsidP="00807E0F">
      <w:pPr>
        <w:rPr>
          <w:rFonts w:ascii="Arial" w:hAnsi="Arial"/>
          <w:sz w:val="20"/>
          <w:lang w:val="fr-CA"/>
        </w:rPr>
      </w:pPr>
      <w:r>
        <w:rPr>
          <w:rFonts w:ascii="Arial" w:hAnsi="Arial"/>
          <w:sz w:val="20"/>
          <w:lang w:val="fr-CA"/>
        </w:rPr>
        <w:t>Le codage financier d’EDSC est conçu pour répondre à plusieurs exigences :</w:t>
      </w:r>
    </w:p>
    <w:p w:rsidR="00807E0F" w:rsidRDefault="00680122" w:rsidP="00807E0F">
      <w:pPr>
        <w:pStyle w:val="ListParagraph"/>
        <w:numPr>
          <w:ilvl w:val="0"/>
          <w:numId w:val="27"/>
        </w:numPr>
        <w:rPr>
          <w:rFonts w:ascii="Arial" w:hAnsi="Arial"/>
          <w:sz w:val="20"/>
          <w:lang w:val="fr-CA"/>
        </w:rPr>
      </w:pPr>
      <w:r>
        <w:rPr>
          <w:rFonts w:ascii="Arial" w:hAnsi="Arial"/>
          <w:sz w:val="20"/>
          <w:lang w:val="fr-CA"/>
        </w:rPr>
        <w:t>l</w:t>
      </w:r>
      <w:r w:rsidR="00807E0F">
        <w:rPr>
          <w:rFonts w:ascii="Arial" w:hAnsi="Arial"/>
          <w:sz w:val="20"/>
          <w:lang w:val="fr-CA"/>
        </w:rPr>
        <w:t>es besoins en matière de responsabilité interne et de rapport financier de la gestion ministérielle;</w:t>
      </w:r>
    </w:p>
    <w:p w:rsidR="00807E0F" w:rsidRDefault="00680122" w:rsidP="00807E0F">
      <w:pPr>
        <w:pStyle w:val="ListParagraph"/>
        <w:numPr>
          <w:ilvl w:val="0"/>
          <w:numId w:val="27"/>
        </w:numPr>
        <w:rPr>
          <w:rFonts w:ascii="Arial" w:hAnsi="Arial"/>
          <w:sz w:val="20"/>
          <w:lang w:val="fr-CA"/>
        </w:rPr>
      </w:pPr>
      <w:r>
        <w:rPr>
          <w:rFonts w:ascii="Arial" w:hAnsi="Arial"/>
          <w:sz w:val="20"/>
          <w:lang w:val="fr-CA"/>
        </w:rPr>
        <w:t>l</w:t>
      </w:r>
      <w:r w:rsidR="00807E0F">
        <w:rPr>
          <w:rFonts w:ascii="Arial" w:hAnsi="Arial"/>
          <w:sz w:val="20"/>
          <w:lang w:val="fr-CA"/>
        </w:rPr>
        <w:t>a responsabilité externe et les rapports financiers aux organismes centraux, y compris le CT, et le système central de déclaration de la gestion financière du gouvernement du Canada (Receveur général);</w:t>
      </w:r>
    </w:p>
    <w:p w:rsidR="00807E0F" w:rsidRDefault="00807E0F" w:rsidP="00807E0F">
      <w:pPr>
        <w:pStyle w:val="ListParagraph"/>
        <w:numPr>
          <w:ilvl w:val="0"/>
          <w:numId w:val="27"/>
        </w:numPr>
        <w:rPr>
          <w:rFonts w:ascii="Arial" w:hAnsi="Arial"/>
          <w:sz w:val="20"/>
          <w:lang w:val="fr-CA"/>
        </w:rPr>
      </w:pPr>
      <w:r w:rsidRPr="006F5085">
        <w:rPr>
          <w:rFonts w:ascii="Arial" w:hAnsi="Arial"/>
          <w:sz w:val="20"/>
          <w:lang w:val="fr-CA"/>
        </w:rPr>
        <w:t xml:space="preserve">rendre compte au Parlement et au public des </w:t>
      </w:r>
      <w:r w:rsidR="00680122">
        <w:rPr>
          <w:rFonts w:ascii="Arial" w:hAnsi="Arial"/>
          <w:sz w:val="20"/>
          <w:lang w:val="fr-CA"/>
        </w:rPr>
        <w:t>C</w:t>
      </w:r>
      <w:r w:rsidRPr="006F5085">
        <w:rPr>
          <w:rFonts w:ascii="Arial" w:hAnsi="Arial"/>
          <w:sz w:val="20"/>
          <w:lang w:val="fr-CA"/>
        </w:rPr>
        <w:t xml:space="preserve">omptes publics, du </w:t>
      </w:r>
      <w:r w:rsidR="00680122">
        <w:rPr>
          <w:rFonts w:ascii="Arial" w:hAnsi="Arial"/>
          <w:sz w:val="20"/>
          <w:lang w:val="fr-CA"/>
        </w:rPr>
        <w:t>R</w:t>
      </w:r>
      <w:r w:rsidRPr="006F5085">
        <w:rPr>
          <w:rFonts w:ascii="Arial" w:hAnsi="Arial"/>
          <w:sz w:val="20"/>
          <w:lang w:val="fr-CA"/>
        </w:rPr>
        <w:t xml:space="preserve">apport financier trimestriel et des </w:t>
      </w:r>
      <w:r w:rsidR="00680122">
        <w:rPr>
          <w:rFonts w:ascii="Arial" w:hAnsi="Arial"/>
          <w:sz w:val="20"/>
          <w:lang w:val="fr-CA"/>
        </w:rPr>
        <w:t>É</w:t>
      </w:r>
      <w:r w:rsidR="00680122" w:rsidRPr="006F5085">
        <w:rPr>
          <w:rFonts w:ascii="Arial" w:hAnsi="Arial"/>
          <w:sz w:val="20"/>
          <w:lang w:val="fr-CA"/>
        </w:rPr>
        <w:t>tats</w:t>
      </w:r>
      <w:r w:rsidRPr="006F5085">
        <w:rPr>
          <w:rFonts w:ascii="Arial" w:hAnsi="Arial"/>
          <w:sz w:val="20"/>
          <w:lang w:val="fr-CA"/>
        </w:rPr>
        <w:t xml:space="preserve"> financiers du </w:t>
      </w:r>
      <w:r w:rsidR="00B9516F">
        <w:rPr>
          <w:rFonts w:ascii="Arial" w:hAnsi="Arial"/>
          <w:sz w:val="20"/>
          <w:lang w:val="fr-CA"/>
        </w:rPr>
        <w:t>ministère</w:t>
      </w:r>
      <w:r w:rsidRPr="006F5085">
        <w:rPr>
          <w:rFonts w:ascii="Arial" w:hAnsi="Arial"/>
          <w:sz w:val="20"/>
          <w:lang w:val="fr-CA"/>
        </w:rPr>
        <w:t>; et</w:t>
      </w:r>
    </w:p>
    <w:p w:rsidR="00807E0F" w:rsidRDefault="00807E0F" w:rsidP="00807E0F">
      <w:pPr>
        <w:pStyle w:val="ListParagraph"/>
        <w:numPr>
          <w:ilvl w:val="0"/>
          <w:numId w:val="27"/>
        </w:numPr>
        <w:rPr>
          <w:rFonts w:ascii="Arial" w:hAnsi="Arial"/>
          <w:sz w:val="20"/>
          <w:lang w:val="fr-CA"/>
        </w:rPr>
      </w:pPr>
      <w:r w:rsidRPr="006F5085">
        <w:rPr>
          <w:rFonts w:ascii="Arial" w:hAnsi="Arial"/>
          <w:sz w:val="20"/>
          <w:lang w:val="fr-CA"/>
        </w:rPr>
        <w:t>pour d'autres exigences de déclaration interne et externe, y compris les questions parlementaires et les demandes d'accès à l'information.</w:t>
      </w:r>
    </w:p>
    <w:p w:rsidR="00680122" w:rsidRDefault="00680122" w:rsidP="00807E0F">
      <w:pPr>
        <w:rPr>
          <w:rFonts w:ascii="Arial" w:hAnsi="Arial"/>
          <w:sz w:val="20"/>
          <w:lang w:val="fr-CA"/>
        </w:rPr>
      </w:pPr>
    </w:p>
    <w:p w:rsidR="00807E0F" w:rsidRPr="00F6757A" w:rsidRDefault="00807E0F" w:rsidP="00807E0F">
      <w:pPr>
        <w:rPr>
          <w:rFonts w:ascii="Arial" w:hAnsi="Arial"/>
          <w:sz w:val="20"/>
          <w:lang w:val="fr-CA"/>
        </w:rPr>
      </w:pPr>
      <w:r>
        <w:rPr>
          <w:rFonts w:ascii="Arial" w:hAnsi="Arial"/>
          <w:sz w:val="20"/>
          <w:lang w:val="fr-CA"/>
        </w:rPr>
        <w:t xml:space="preserve">Toutes les transactions financières conclues dans le système </w:t>
      </w:r>
      <w:r w:rsidRPr="006F5085">
        <w:rPr>
          <w:rFonts w:ascii="Arial" w:hAnsi="Arial"/>
          <w:sz w:val="20"/>
          <w:lang w:val="fr-CA"/>
        </w:rPr>
        <w:t xml:space="preserve">financier du </w:t>
      </w:r>
      <w:r w:rsidR="00B9516F">
        <w:rPr>
          <w:rFonts w:ascii="Arial" w:hAnsi="Arial"/>
          <w:sz w:val="20"/>
          <w:lang w:val="fr-CA"/>
        </w:rPr>
        <w:t>ministère</w:t>
      </w:r>
      <w:r w:rsidRPr="006F5085">
        <w:rPr>
          <w:rFonts w:ascii="Arial" w:hAnsi="Arial"/>
          <w:sz w:val="20"/>
          <w:lang w:val="fr-CA"/>
        </w:rPr>
        <w:t xml:space="preserve"> et transmises à partir de systèmes ministériels internes connexes, tel</w:t>
      </w:r>
      <w:r>
        <w:rPr>
          <w:rFonts w:ascii="Arial" w:hAnsi="Arial"/>
          <w:sz w:val="20"/>
          <w:lang w:val="fr-CA"/>
        </w:rPr>
        <w:t xml:space="preserve">s que le Système de compte à recevoir </w:t>
      </w:r>
      <w:r w:rsidRPr="006F5085">
        <w:rPr>
          <w:rFonts w:ascii="Arial" w:hAnsi="Arial"/>
          <w:sz w:val="20"/>
          <w:lang w:val="fr-CA"/>
        </w:rPr>
        <w:t>ministériel (</w:t>
      </w:r>
      <w:r>
        <w:rPr>
          <w:rFonts w:ascii="Arial" w:hAnsi="Arial"/>
          <w:sz w:val="20"/>
          <w:lang w:val="fr-CA"/>
        </w:rPr>
        <w:t>SCRM</w:t>
      </w:r>
      <w:r w:rsidRPr="006F5085">
        <w:rPr>
          <w:rFonts w:ascii="Arial" w:hAnsi="Arial"/>
          <w:sz w:val="20"/>
          <w:lang w:val="fr-CA"/>
        </w:rPr>
        <w:t>), le Système commun de subventions et de contributions (</w:t>
      </w:r>
      <w:r>
        <w:rPr>
          <w:rFonts w:ascii="Arial" w:hAnsi="Arial"/>
          <w:sz w:val="20"/>
          <w:lang w:val="fr-CA"/>
        </w:rPr>
        <w:t>SCSC</w:t>
      </w:r>
      <w:r w:rsidRPr="006F5085">
        <w:rPr>
          <w:rFonts w:ascii="Arial" w:hAnsi="Arial"/>
          <w:sz w:val="20"/>
          <w:lang w:val="fr-CA"/>
        </w:rPr>
        <w:t xml:space="preserve">), le Système </w:t>
      </w:r>
      <w:r>
        <w:rPr>
          <w:rFonts w:ascii="Arial" w:hAnsi="Arial"/>
          <w:sz w:val="20"/>
          <w:lang w:val="fr-CA"/>
        </w:rPr>
        <w:t xml:space="preserve">de prestations de l’assurance-emploi et </w:t>
      </w:r>
      <w:r w:rsidRPr="006F5085">
        <w:rPr>
          <w:rFonts w:ascii="Arial" w:hAnsi="Arial"/>
          <w:sz w:val="20"/>
          <w:lang w:val="fr-CA"/>
        </w:rPr>
        <w:t>les paiements en excès  et d'autres Systèmes similaires, doit inclure le codage financier applicable dans les transactions financières.</w:t>
      </w:r>
    </w:p>
    <w:p w:rsidR="00807E0F" w:rsidRDefault="00807E0F" w:rsidP="00807E0F">
      <w:pPr>
        <w:rPr>
          <w:rFonts w:ascii="Arial" w:hAnsi="Arial"/>
          <w:sz w:val="20"/>
          <w:lang w:val="fr-CA"/>
        </w:rPr>
      </w:pPr>
    </w:p>
    <w:p w:rsidR="00807E0F" w:rsidRPr="00F6757A" w:rsidRDefault="00807E0F" w:rsidP="00807E0F">
      <w:pPr>
        <w:rPr>
          <w:rFonts w:ascii="Arial" w:hAnsi="Arial"/>
          <w:b/>
          <w:sz w:val="20"/>
          <w:lang w:val="fr-CA"/>
        </w:rPr>
      </w:pPr>
      <w:r w:rsidRPr="00F6757A">
        <w:rPr>
          <w:rFonts w:ascii="Arial" w:hAnsi="Arial"/>
          <w:b/>
          <w:sz w:val="20"/>
          <w:lang w:val="fr-CA"/>
        </w:rPr>
        <w:t>Qu’est-ce que le bloc de codage financier?</w:t>
      </w:r>
    </w:p>
    <w:p w:rsidR="00807E0F" w:rsidRDefault="00807E0F" w:rsidP="00807E0F">
      <w:pPr>
        <w:rPr>
          <w:rFonts w:ascii="Arial" w:hAnsi="Arial"/>
          <w:sz w:val="20"/>
          <w:lang w:val="fr-CA"/>
        </w:rPr>
      </w:pPr>
    </w:p>
    <w:p w:rsidR="00807E0F" w:rsidRPr="00F6757A" w:rsidRDefault="00807E0F" w:rsidP="00807E0F">
      <w:pPr>
        <w:pStyle w:val="ListParagraph"/>
        <w:numPr>
          <w:ilvl w:val="0"/>
          <w:numId w:val="28"/>
        </w:numPr>
        <w:rPr>
          <w:u w:val="single"/>
          <w:lang w:val="fr-CA"/>
        </w:rPr>
      </w:pPr>
      <w:r>
        <w:rPr>
          <w:rFonts w:ascii="Arial" w:hAnsi="Arial"/>
          <w:sz w:val="20"/>
          <w:lang w:val="fr-CA"/>
        </w:rPr>
        <w:t>Le bloc de codage financier d’EDSC comprend cinq codes primaires et un ou plusieurs codes optionnels. Les codes individuels peuvent être modifiés d’année en année pour refléter les exigences nouvelles ou modifiées.</w:t>
      </w:r>
    </w:p>
    <w:p w:rsidR="00807E0F" w:rsidRPr="00F6757A" w:rsidRDefault="00807E0F" w:rsidP="00807E0F">
      <w:pPr>
        <w:pStyle w:val="ListParagraph"/>
        <w:numPr>
          <w:ilvl w:val="0"/>
          <w:numId w:val="28"/>
        </w:numPr>
        <w:rPr>
          <w:u w:val="single"/>
          <w:lang w:val="fr-CA"/>
        </w:rPr>
      </w:pPr>
      <w:r>
        <w:rPr>
          <w:rFonts w:ascii="Arial" w:hAnsi="Arial"/>
          <w:sz w:val="20"/>
          <w:lang w:val="fr-CA"/>
        </w:rPr>
        <w:t>La structure standard de bloc de codage financier maSGE (SAP) est le code d’entreprise + le compte du grand livre (GL) + le centre de coûts (CC) + Fond + le domaine fonctionnel (FA). Dans certaines transactions, un code d’ordre interne (OI) ou un ou plusieurs codes de structure de répartition de travail peuvent également être entrés. Les codes seront normalement inscrits dans l’ordre indiqué ci-dessus, mais, selon la transaction, certains codes peuvent être pré-remplis ou</w:t>
      </w:r>
      <w:r w:rsidR="00064E5D">
        <w:rPr>
          <w:rFonts w:ascii="Arial" w:hAnsi="Arial"/>
          <w:sz w:val="20"/>
          <w:lang w:val="fr-CA"/>
        </w:rPr>
        <w:t xml:space="preserve"> ne</w:t>
      </w:r>
      <w:r>
        <w:rPr>
          <w:rFonts w:ascii="Arial" w:hAnsi="Arial"/>
          <w:sz w:val="20"/>
          <w:lang w:val="fr-CA"/>
        </w:rPr>
        <w:t xml:space="preserve"> pas </w:t>
      </w:r>
      <w:r w:rsidR="00064E5D">
        <w:rPr>
          <w:rFonts w:ascii="Arial" w:hAnsi="Arial"/>
          <w:sz w:val="20"/>
          <w:lang w:val="fr-CA"/>
        </w:rPr>
        <w:t xml:space="preserve">être </w:t>
      </w:r>
      <w:r>
        <w:rPr>
          <w:rFonts w:ascii="Arial" w:hAnsi="Arial"/>
          <w:sz w:val="20"/>
          <w:lang w:val="fr-CA"/>
        </w:rPr>
        <w:t>affichés du tout.</w:t>
      </w:r>
    </w:p>
    <w:p w:rsidR="00807E0F" w:rsidRDefault="00807E0F" w:rsidP="00807E0F">
      <w:pPr>
        <w:rPr>
          <w:rFonts w:ascii="Arial" w:hAnsi="Arial"/>
          <w:sz w:val="20"/>
          <w:lang w:val="fr-CA"/>
        </w:rPr>
      </w:pPr>
    </w:p>
    <w:p w:rsidR="00807E0F" w:rsidRPr="00001E0D" w:rsidRDefault="0041316D" w:rsidP="00807E0F">
      <w:pPr>
        <w:rPr>
          <w:rFonts w:ascii="Arial" w:hAnsi="Arial"/>
          <w:sz w:val="20"/>
          <w:lang w:val="fr-CA"/>
        </w:rPr>
      </w:pPr>
      <w:hyperlink r:id="rId59" w:history="1">
        <w:r w:rsidR="00807E0F" w:rsidRPr="00C247E8">
          <w:rPr>
            <w:rStyle w:val="Hyperlink"/>
            <w:rFonts w:ascii="Arial" w:hAnsi="Arial"/>
            <w:sz w:val="20"/>
            <w:lang w:val="fr-CA"/>
          </w:rPr>
          <w:t>Le manuel de codage financier</w:t>
        </w:r>
      </w:hyperlink>
      <w:r w:rsidR="00807E0F">
        <w:rPr>
          <w:rFonts w:ascii="Arial" w:hAnsi="Arial"/>
          <w:sz w:val="20"/>
          <w:lang w:val="fr-CA"/>
        </w:rPr>
        <w:t xml:space="preserve"> d’EDSC </w:t>
      </w:r>
      <w:r w:rsidR="00064E5D">
        <w:rPr>
          <w:rFonts w:ascii="Arial" w:hAnsi="Arial"/>
          <w:sz w:val="20"/>
          <w:lang w:val="fr-CA"/>
        </w:rPr>
        <w:t xml:space="preserve">fournit </w:t>
      </w:r>
      <w:r w:rsidR="00807E0F">
        <w:rPr>
          <w:rFonts w:ascii="Arial" w:hAnsi="Arial"/>
          <w:sz w:val="20"/>
          <w:lang w:val="fr-CA"/>
        </w:rPr>
        <w:t>la description de tous les codes.</w:t>
      </w:r>
      <w:r w:rsidR="00807E0F" w:rsidRPr="00F6757A">
        <w:rPr>
          <w:rFonts w:ascii="Arial" w:hAnsi="Arial"/>
          <w:sz w:val="20"/>
          <w:lang w:val="fr-CA"/>
        </w:rPr>
        <w:t xml:space="preserve"> </w:t>
      </w:r>
    </w:p>
    <w:p w:rsidR="00807E0F" w:rsidRDefault="00807E0F" w:rsidP="00807E0F">
      <w:pPr>
        <w:rPr>
          <w:rFonts w:ascii="Arial" w:hAnsi="Arial"/>
          <w:b/>
          <w:sz w:val="20"/>
          <w:highlight w:val="yellow"/>
          <w:lang w:val="fr-CA"/>
        </w:rPr>
      </w:pPr>
    </w:p>
    <w:p w:rsidR="00807E0F" w:rsidRPr="003C520C" w:rsidRDefault="00807E0F" w:rsidP="00807E0F">
      <w:pPr>
        <w:rPr>
          <w:rFonts w:ascii="Arial" w:hAnsi="Arial"/>
          <w:b/>
          <w:sz w:val="20"/>
          <w:lang w:val="fr-CA"/>
        </w:rPr>
      </w:pPr>
      <w:r w:rsidRPr="003C520C">
        <w:rPr>
          <w:rFonts w:ascii="Arial" w:hAnsi="Arial"/>
          <w:b/>
          <w:sz w:val="20"/>
          <w:lang w:val="fr-CA"/>
        </w:rPr>
        <w:t>Exigences du Conseil du Trésor</w:t>
      </w:r>
    </w:p>
    <w:p w:rsidR="00807E0F" w:rsidRPr="00064E5D" w:rsidRDefault="00807E0F" w:rsidP="00807E0F">
      <w:pPr>
        <w:rPr>
          <w:rFonts w:ascii="Arial" w:hAnsi="Arial" w:cs="Arial"/>
          <w:sz w:val="20"/>
          <w:lang w:val="fr-CA"/>
        </w:rPr>
      </w:pPr>
      <w:r w:rsidRPr="00064E5D">
        <w:rPr>
          <w:rFonts w:ascii="Arial" w:hAnsi="Arial" w:cs="Arial"/>
          <w:sz w:val="20"/>
          <w:lang w:val="fr-CA"/>
        </w:rPr>
        <w:t xml:space="preserve">Le CT exige que les dépenses soient reportées de façon appropriée au niveau principal d’affectation. La structure de domaines fonctionnels, qui reflète </w:t>
      </w:r>
      <w:r w:rsidR="00064E5D" w:rsidRPr="00064E5D">
        <w:rPr>
          <w:rFonts w:ascii="Arial" w:hAnsi="Arial" w:cs="Arial"/>
          <w:sz w:val="20"/>
          <w:lang w:val="fr-CA"/>
        </w:rPr>
        <w:t>l’AAP</w:t>
      </w:r>
      <w:r w:rsidRPr="00064E5D">
        <w:rPr>
          <w:rFonts w:ascii="Arial" w:hAnsi="Arial" w:cs="Arial"/>
          <w:sz w:val="20"/>
          <w:lang w:val="fr-CA"/>
        </w:rPr>
        <w:t xml:space="preserve"> du </w:t>
      </w:r>
      <w:r w:rsidR="00A65707" w:rsidRPr="00064E5D">
        <w:rPr>
          <w:rFonts w:ascii="Arial" w:hAnsi="Arial" w:cs="Arial"/>
          <w:sz w:val="20"/>
          <w:lang w:val="fr-CA"/>
        </w:rPr>
        <w:t>ministère</w:t>
      </w:r>
      <w:r w:rsidRPr="00064E5D">
        <w:rPr>
          <w:rFonts w:ascii="Arial" w:hAnsi="Arial" w:cs="Arial"/>
          <w:sz w:val="20"/>
          <w:lang w:val="fr-CA"/>
        </w:rPr>
        <w:t>, sert à fournir des renseignements sur le financement et les dépenses ainsi que des renseignements non financiers sur les différentes activités de programme et leurs résultats stratégiques connexes.</w:t>
      </w:r>
    </w:p>
    <w:p w:rsidR="00807E0F" w:rsidRDefault="00807E0F" w:rsidP="00807E0F">
      <w:pPr>
        <w:rPr>
          <w:rFonts w:ascii="Arial" w:hAnsi="Arial"/>
          <w:sz w:val="20"/>
          <w:lang w:val="fr-CA"/>
        </w:rPr>
      </w:pPr>
    </w:p>
    <w:p w:rsidR="00807E0F" w:rsidRPr="003C520C" w:rsidRDefault="00807E0F" w:rsidP="00807E0F">
      <w:pPr>
        <w:rPr>
          <w:rFonts w:ascii="Arial" w:hAnsi="Arial"/>
          <w:sz w:val="20"/>
          <w:lang w:val="fr-CA"/>
        </w:rPr>
      </w:pPr>
    </w:p>
    <w:p w:rsidR="00807E0F" w:rsidRPr="003C520C" w:rsidRDefault="00807E0F" w:rsidP="00807E0F">
      <w:pPr>
        <w:rPr>
          <w:rFonts w:ascii="Arial" w:hAnsi="Arial"/>
          <w:b/>
          <w:sz w:val="20"/>
          <w:lang w:val="fr-CA"/>
        </w:rPr>
      </w:pPr>
      <w:r w:rsidRPr="003C520C">
        <w:rPr>
          <w:rFonts w:ascii="Arial" w:hAnsi="Arial"/>
          <w:b/>
          <w:sz w:val="20"/>
          <w:lang w:val="fr-CA"/>
        </w:rPr>
        <w:t>Rôles et responsabilités</w:t>
      </w:r>
    </w:p>
    <w:p w:rsidR="00807E0F" w:rsidRPr="003C520C" w:rsidRDefault="00807E0F" w:rsidP="00807E0F">
      <w:pPr>
        <w:rPr>
          <w:rFonts w:ascii="Arial" w:hAnsi="Arial" w:cs="Arial"/>
          <w:sz w:val="20"/>
          <w:szCs w:val="20"/>
          <w:lang w:val="fr-CA"/>
        </w:rPr>
      </w:pPr>
      <w:r w:rsidRPr="003C520C">
        <w:rPr>
          <w:rFonts w:ascii="Arial" w:hAnsi="Arial" w:cs="Arial"/>
          <w:color w:val="000000"/>
          <w:sz w:val="20"/>
          <w:szCs w:val="20"/>
          <w:lang w:val="fr-CA"/>
        </w:rPr>
        <w:t xml:space="preserve">L’unité responsable du </w:t>
      </w:r>
      <w:hyperlink r:id="rId60" w:history="1">
        <w:r w:rsidRPr="003C520C">
          <w:rPr>
            <w:rStyle w:val="Hyperlink"/>
            <w:rFonts w:ascii="Arial" w:hAnsi="Arial" w:cs="Arial"/>
            <w:bCs/>
            <w:sz w:val="20"/>
            <w:szCs w:val="20"/>
            <w:lang w:val="fr-CA"/>
          </w:rPr>
          <w:t>codage financier</w:t>
        </w:r>
      </w:hyperlink>
      <w:r w:rsidRPr="003C520C">
        <w:rPr>
          <w:rFonts w:ascii="Arial" w:hAnsi="Arial" w:cs="Arial"/>
          <w:color w:val="000000"/>
          <w:sz w:val="20"/>
          <w:szCs w:val="20"/>
          <w:lang w:val="fr-CA"/>
        </w:rPr>
        <w:t xml:space="preserve"> du </w:t>
      </w:r>
      <w:r w:rsidR="00A65707">
        <w:rPr>
          <w:rFonts w:ascii="Arial" w:hAnsi="Arial" w:cs="Arial"/>
          <w:color w:val="000000"/>
          <w:sz w:val="20"/>
          <w:szCs w:val="20"/>
          <w:lang w:val="fr-CA"/>
        </w:rPr>
        <w:t>ministère</w:t>
      </w:r>
      <w:r w:rsidRPr="003C520C">
        <w:rPr>
          <w:rFonts w:ascii="Arial" w:hAnsi="Arial" w:cs="Arial"/>
          <w:color w:val="000000"/>
          <w:sz w:val="20"/>
          <w:szCs w:val="20"/>
          <w:lang w:val="fr-CA"/>
        </w:rPr>
        <w:t xml:space="preserve"> </w:t>
      </w:r>
      <w:r w:rsidR="00064E5D">
        <w:rPr>
          <w:rFonts w:ascii="Arial" w:hAnsi="Arial" w:cs="Arial"/>
          <w:color w:val="000000"/>
          <w:sz w:val="20"/>
          <w:szCs w:val="20"/>
          <w:lang w:val="fr-CA"/>
        </w:rPr>
        <w:t xml:space="preserve">de la </w:t>
      </w:r>
      <w:r w:rsidRPr="003C520C">
        <w:rPr>
          <w:rFonts w:ascii="Arial" w:hAnsi="Arial" w:cs="Arial"/>
          <w:color w:val="000000"/>
          <w:sz w:val="20"/>
          <w:szCs w:val="20"/>
          <w:lang w:val="fr-CA"/>
        </w:rPr>
        <w:t>Direction générale d</w:t>
      </w:r>
      <w:r w:rsidR="00064E5D">
        <w:rPr>
          <w:rFonts w:ascii="Arial" w:hAnsi="Arial" w:cs="Arial"/>
          <w:color w:val="000000"/>
          <w:sz w:val="20"/>
          <w:szCs w:val="20"/>
          <w:lang w:val="fr-CA"/>
        </w:rPr>
        <w:t>u DPF</w:t>
      </w:r>
      <w:r w:rsidRPr="003C520C">
        <w:rPr>
          <w:rFonts w:ascii="Arial" w:hAnsi="Arial" w:cs="Arial"/>
          <w:color w:val="000000"/>
          <w:sz w:val="20"/>
          <w:szCs w:val="20"/>
          <w:lang w:val="fr-CA"/>
        </w:rPr>
        <w:t xml:space="preserve"> fournit des conseils et de l’orientation aux secteurs des conseillers financiers, aux régions et aux groupes spécialisés dans la comptabilité sur tous les sujets en lien avec le codage financier. Elle répond aux demandes de renseignements de la part des organismes centraux concernant tous les sujets en lien avec le codage financier. L’unité est responsable de l’entretien du plan comptable du </w:t>
      </w:r>
      <w:r w:rsidR="00A65707">
        <w:rPr>
          <w:rFonts w:ascii="Arial" w:hAnsi="Arial" w:cs="Arial"/>
          <w:color w:val="000000"/>
          <w:sz w:val="20"/>
          <w:szCs w:val="20"/>
          <w:lang w:val="fr-CA"/>
        </w:rPr>
        <w:t>ministère</w:t>
      </w:r>
      <w:r w:rsidRPr="003C520C">
        <w:rPr>
          <w:rFonts w:ascii="Arial" w:hAnsi="Arial" w:cs="Arial"/>
          <w:color w:val="000000"/>
          <w:sz w:val="20"/>
          <w:szCs w:val="20"/>
          <w:lang w:val="fr-CA"/>
        </w:rPr>
        <w:t xml:space="preserve"> et de la validation de la mise en correspondance de codage gouvernemental. Elle coordonne également l’examen annuel du codage financier. Finalement, l’unité élabore les normes et les lignes directrices du </w:t>
      </w:r>
      <w:r w:rsidR="00A65707">
        <w:rPr>
          <w:rFonts w:ascii="Arial" w:hAnsi="Arial" w:cs="Arial"/>
          <w:color w:val="000000"/>
          <w:sz w:val="20"/>
          <w:szCs w:val="20"/>
          <w:lang w:val="fr-CA"/>
        </w:rPr>
        <w:t>ministère</w:t>
      </w:r>
      <w:r w:rsidRPr="003C520C">
        <w:rPr>
          <w:rFonts w:ascii="Arial" w:hAnsi="Arial" w:cs="Arial"/>
          <w:color w:val="000000"/>
          <w:sz w:val="20"/>
          <w:szCs w:val="20"/>
          <w:lang w:val="fr-CA"/>
        </w:rPr>
        <w:t xml:space="preserve"> en lien avec le codage financier.</w:t>
      </w:r>
    </w:p>
    <w:p w:rsidR="00807E0F" w:rsidRPr="00F6757A" w:rsidRDefault="00807E0F" w:rsidP="00807E0F">
      <w:pPr>
        <w:rPr>
          <w:rFonts w:ascii="Arial" w:hAnsi="Arial"/>
          <w:sz w:val="20"/>
          <w:highlight w:val="yellow"/>
          <w:lang w:val="fr-CA"/>
        </w:rPr>
      </w:pPr>
    </w:p>
    <w:p w:rsidR="00807E0F" w:rsidRDefault="00807E0F" w:rsidP="00807E0F">
      <w:pPr>
        <w:rPr>
          <w:rFonts w:ascii="Arial" w:hAnsi="Arial"/>
          <w:sz w:val="20"/>
          <w:lang w:val="fr-CA"/>
        </w:rPr>
      </w:pPr>
      <w:r w:rsidRPr="003C520C">
        <w:rPr>
          <w:rFonts w:ascii="Arial" w:hAnsi="Arial"/>
          <w:sz w:val="20"/>
          <w:lang w:val="fr-CA"/>
        </w:rPr>
        <w:t xml:space="preserve">Les CGF de la Direction générale </w:t>
      </w:r>
      <w:r w:rsidR="00033314">
        <w:rPr>
          <w:rFonts w:ascii="Arial" w:hAnsi="Arial"/>
          <w:sz w:val="20"/>
          <w:lang w:val="fr-CA"/>
        </w:rPr>
        <w:t>du DPF</w:t>
      </w:r>
      <w:r w:rsidRPr="003C520C">
        <w:rPr>
          <w:rFonts w:ascii="Arial" w:hAnsi="Arial"/>
          <w:sz w:val="20"/>
          <w:lang w:val="fr-CA"/>
        </w:rPr>
        <w:t xml:space="preserve">, procèdent généralement à l’examen du codage des dépenses budgétaires et législatives et recommandent des changements en se fondant sur le budget ministériel et sur les exigences en matière de compte rendu du gouvernement et des gestionnaires. Les CGF assurent la liaison avec leurs domaines de </w:t>
      </w:r>
      <w:r w:rsidRPr="003C520C">
        <w:rPr>
          <w:rFonts w:ascii="Arial" w:hAnsi="Arial"/>
          <w:sz w:val="20"/>
          <w:lang w:val="fr-CA"/>
        </w:rPr>
        <w:lastRenderedPageBreak/>
        <w:t>programmes respectifs afin de transmettre leurs exigences en matière de codage financier et de communiquer les changements à apporter à l’unité responsable du codage financier.</w:t>
      </w:r>
    </w:p>
    <w:p w:rsidR="00807E0F" w:rsidRDefault="00807E0F" w:rsidP="00807E0F">
      <w:pPr>
        <w:rPr>
          <w:rFonts w:ascii="Arial" w:hAnsi="Arial"/>
          <w:sz w:val="20"/>
          <w:lang w:val="fr-CA"/>
        </w:rPr>
      </w:pPr>
    </w:p>
    <w:p w:rsidR="00807E0F" w:rsidRDefault="00807E0F" w:rsidP="00807E0F">
      <w:pPr>
        <w:rPr>
          <w:rFonts w:ascii="Arial" w:hAnsi="Arial"/>
          <w:b/>
          <w:sz w:val="20"/>
          <w:lang w:val="fr-CA"/>
        </w:rPr>
      </w:pPr>
      <w:r>
        <w:rPr>
          <w:rFonts w:ascii="Arial" w:hAnsi="Arial"/>
          <w:b/>
          <w:sz w:val="20"/>
          <w:lang w:val="fr-CA"/>
        </w:rPr>
        <w:t>Changement de codage financier</w:t>
      </w:r>
    </w:p>
    <w:p w:rsidR="00807E0F" w:rsidRPr="003C520C" w:rsidRDefault="00033314" w:rsidP="00807E0F">
      <w:pPr>
        <w:rPr>
          <w:rFonts w:ascii="Arial" w:hAnsi="Arial"/>
          <w:sz w:val="20"/>
          <w:lang w:val="fr-CA"/>
        </w:rPr>
      </w:pPr>
      <w:r>
        <w:rPr>
          <w:rFonts w:ascii="Arial" w:hAnsi="Arial"/>
          <w:sz w:val="20"/>
          <w:lang w:val="fr-CA"/>
        </w:rPr>
        <w:t xml:space="preserve">Les demandes de modifications du codage financier existant ou de nouveau codage financier doivent être présente par l’entremise du CGF qui devra passer en revue, et approuver, la gestion du financement et les exigences d’entreprises. </w:t>
      </w:r>
      <w:r w:rsidR="00807E0F" w:rsidRPr="0058008C">
        <w:rPr>
          <w:rFonts w:ascii="Arial" w:hAnsi="Arial"/>
          <w:sz w:val="20"/>
          <w:lang w:val="fr-CA"/>
        </w:rPr>
        <w:t>Les demand</w:t>
      </w:r>
      <w:r w:rsidR="00807E0F">
        <w:rPr>
          <w:rFonts w:ascii="Arial" w:hAnsi="Arial"/>
          <w:sz w:val="20"/>
          <w:lang w:val="fr-CA"/>
        </w:rPr>
        <w:t>es sont ensuite transmises à l'u</w:t>
      </w:r>
      <w:r w:rsidR="00807E0F" w:rsidRPr="0058008C">
        <w:rPr>
          <w:rFonts w:ascii="Arial" w:hAnsi="Arial"/>
          <w:sz w:val="20"/>
          <w:lang w:val="fr-CA"/>
        </w:rPr>
        <w:t>nité de codage financier ministériel pour examen et approbation des exigences comptables et de rapports ministérielles et gouvernementales. Enfin, les demandes seront transmises au bu</w:t>
      </w:r>
      <w:r w:rsidR="00807E0F">
        <w:rPr>
          <w:rFonts w:ascii="Arial" w:hAnsi="Arial"/>
          <w:sz w:val="20"/>
          <w:lang w:val="fr-CA"/>
        </w:rPr>
        <w:t>reau de gestion du système maSGE</w:t>
      </w:r>
      <w:r w:rsidR="00807E0F" w:rsidRPr="0058008C">
        <w:rPr>
          <w:rFonts w:ascii="Arial" w:hAnsi="Arial"/>
          <w:sz w:val="20"/>
          <w:lang w:val="fr-CA"/>
        </w:rPr>
        <w:t xml:space="preserve"> pour examen et approbatio</w:t>
      </w:r>
      <w:r w:rsidR="00807E0F">
        <w:rPr>
          <w:rFonts w:ascii="Arial" w:hAnsi="Arial"/>
          <w:sz w:val="20"/>
          <w:lang w:val="fr-CA"/>
        </w:rPr>
        <w:t>n des exigences du système maSGE</w:t>
      </w:r>
      <w:r w:rsidR="00807E0F" w:rsidRPr="0058008C">
        <w:rPr>
          <w:rFonts w:ascii="Arial" w:hAnsi="Arial"/>
          <w:sz w:val="20"/>
          <w:lang w:val="fr-CA"/>
        </w:rPr>
        <w:t xml:space="preserve"> e</w:t>
      </w:r>
      <w:r w:rsidR="00807E0F">
        <w:rPr>
          <w:rFonts w:ascii="Arial" w:hAnsi="Arial"/>
          <w:sz w:val="20"/>
          <w:lang w:val="fr-CA"/>
        </w:rPr>
        <w:t>t de la mise en œuvre dans maSGE</w:t>
      </w:r>
      <w:r w:rsidR="00807E0F" w:rsidRPr="0058008C">
        <w:rPr>
          <w:rFonts w:ascii="Arial" w:hAnsi="Arial"/>
          <w:sz w:val="20"/>
          <w:lang w:val="fr-CA"/>
        </w:rPr>
        <w:t>.</w:t>
      </w:r>
    </w:p>
    <w:p w:rsidR="00807E0F" w:rsidRDefault="00807E0F" w:rsidP="00807E0F">
      <w:pPr>
        <w:rPr>
          <w:rFonts w:ascii="Arial" w:hAnsi="Arial"/>
          <w:sz w:val="20"/>
          <w:lang w:val="fr-CA"/>
        </w:rPr>
      </w:pPr>
    </w:p>
    <w:p w:rsidR="00807E0F" w:rsidRDefault="00807E0F" w:rsidP="00033314">
      <w:pPr>
        <w:rPr>
          <w:rFonts w:ascii="Arial" w:hAnsi="Arial"/>
          <w:sz w:val="20"/>
          <w:lang w:val="fr-CA"/>
        </w:rPr>
      </w:pPr>
      <w:r w:rsidRPr="003617AF">
        <w:rPr>
          <w:rFonts w:ascii="Arial" w:hAnsi="Arial"/>
          <w:sz w:val="20"/>
          <w:lang w:val="fr-CA"/>
        </w:rPr>
        <w:t>T</w:t>
      </w:r>
      <w:r>
        <w:rPr>
          <w:rFonts w:ascii="Arial" w:hAnsi="Arial"/>
          <w:sz w:val="20"/>
          <w:lang w:val="fr-CA"/>
        </w:rPr>
        <w:t>out le codage financier d’EDS</w:t>
      </w:r>
      <w:r w:rsidRPr="003617AF">
        <w:rPr>
          <w:rFonts w:ascii="Arial" w:hAnsi="Arial"/>
          <w:sz w:val="20"/>
          <w:lang w:val="fr-CA"/>
        </w:rPr>
        <w:t xml:space="preserve">C doit respecter les normes du CT relatives au codage financier. Reportez-vous </w:t>
      </w:r>
      <w:r w:rsidR="00033314">
        <w:rPr>
          <w:rFonts w:ascii="Arial" w:hAnsi="Arial"/>
          <w:sz w:val="20"/>
          <w:lang w:val="fr-CA"/>
        </w:rPr>
        <w:t xml:space="preserve">aux </w:t>
      </w:r>
      <w:r w:rsidR="00033314" w:rsidRPr="00033314">
        <w:rPr>
          <w:rFonts w:ascii="Arial" w:hAnsi="Arial"/>
          <w:sz w:val="20"/>
          <w:lang w:val="fr-CA"/>
        </w:rPr>
        <w:t xml:space="preserve">Normes de codage financier </w:t>
      </w:r>
      <w:r>
        <w:rPr>
          <w:rFonts w:ascii="Arial" w:hAnsi="Arial"/>
          <w:sz w:val="20"/>
          <w:lang w:val="fr-CA"/>
        </w:rPr>
        <w:t>d’EDS</w:t>
      </w:r>
      <w:r w:rsidRPr="003617AF">
        <w:rPr>
          <w:rFonts w:ascii="Arial" w:hAnsi="Arial"/>
          <w:sz w:val="20"/>
          <w:lang w:val="fr-CA"/>
        </w:rPr>
        <w:t>C pour plus de détails sur la mise en œ</w:t>
      </w:r>
      <w:r w:rsidR="00033314">
        <w:rPr>
          <w:rFonts w:ascii="Arial" w:hAnsi="Arial"/>
          <w:sz w:val="20"/>
          <w:lang w:val="fr-CA"/>
        </w:rPr>
        <w:t>uvre des normes du CT pour</w:t>
      </w:r>
      <w:r>
        <w:rPr>
          <w:rFonts w:ascii="Arial" w:hAnsi="Arial"/>
          <w:sz w:val="20"/>
          <w:lang w:val="fr-CA"/>
        </w:rPr>
        <w:t xml:space="preserve"> EDS</w:t>
      </w:r>
      <w:r w:rsidRPr="003617AF">
        <w:rPr>
          <w:rFonts w:ascii="Arial" w:hAnsi="Arial"/>
          <w:sz w:val="20"/>
          <w:lang w:val="fr-CA"/>
        </w:rPr>
        <w:t>C</w:t>
      </w:r>
      <w:r>
        <w:rPr>
          <w:rFonts w:ascii="Arial" w:hAnsi="Arial"/>
          <w:sz w:val="20"/>
          <w:lang w:val="fr-CA"/>
        </w:rPr>
        <w:t>.</w:t>
      </w:r>
    </w:p>
    <w:p w:rsidR="00807E0F" w:rsidRDefault="00807E0F" w:rsidP="00807E0F">
      <w:pPr>
        <w:rPr>
          <w:rFonts w:ascii="Arial" w:hAnsi="Arial"/>
          <w:sz w:val="20"/>
          <w:lang w:val="fr-CA"/>
        </w:rPr>
      </w:pPr>
    </w:p>
    <w:p w:rsidR="00807E0F" w:rsidRPr="00F6757A" w:rsidRDefault="00807E0F" w:rsidP="00807E0F">
      <w:pPr>
        <w:rPr>
          <w:rFonts w:ascii="Arial" w:hAnsi="Arial"/>
          <w:sz w:val="20"/>
          <w:highlight w:val="yellow"/>
          <w:lang w:val="fr-CA"/>
        </w:rPr>
      </w:pPr>
      <w:r w:rsidRPr="003617AF">
        <w:rPr>
          <w:rFonts w:ascii="Arial" w:hAnsi="Arial"/>
          <w:sz w:val="20"/>
          <w:lang w:val="fr-CA"/>
        </w:rPr>
        <w:t>Il est recommandé que l'unité de codage financier ministériel soit contactée pour obtenir des conseils sur les modi</w:t>
      </w:r>
      <w:r w:rsidR="00033314">
        <w:rPr>
          <w:rFonts w:ascii="Arial" w:hAnsi="Arial"/>
          <w:sz w:val="20"/>
          <w:lang w:val="fr-CA"/>
        </w:rPr>
        <w:t>fications proposées aux codes pour les f</w:t>
      </w:r>
      <w:r>
        <w:rPr>
          <w:rFonts w:ascii="Arial" w:hAnsi="Arial"/>
          <w:sz w:val="20"/>
          <w:lang w:val="fr-CA"/>
        </w:rPr>
        <w:t>onds ou de comptes du</w:t>
      </w:r>
      <w:r w:rsidRPr="003617AF">
        <w:rPr>
          <w:rFonts w:ascii="Arial" w:hAnsi="Arial"/>
          <w:sz w:val="20"/>
          <w:lang w:val="fr-CA"/>
        </w:rPr>
        <w:t xml:space="preserve"> grand livre général</w:t>
      </w:r>
      <w:r w:rsidR="00033314">
        <w:rPr>
          <w:rFonts w:ascii="Arial" w:hAnsi="Arial"/>
          <w:sz w:val="20"/>
          <w:lang w:val="fr-CA"/>
        </w:rPr>
        <w:t xml:space="preserve">, ainsi que pour </w:t>
      </w:r>
      <w:r w:rsidRPr="003617AF">
        <w:rPr>
          <w:rFonts w:ascii="Arial" w:hAnsi="Arial"/>
          <w:sz w:val="20"/>
          <w:lang w:val="fr-CA"/>
        </w:rPr>
        <w:t>des modifications impor</w:t>
      </w:r>
      <w:r>
        <w:rPr>
          <w:rFonts w:ascii="Arial" w:hAnsi="Arial"/>
          <w:sz w:val="20"/>
          <w:lang w:val="fr-CA"/>
        </w:rPr>
        <w:t>tantes aux codes de centre de coûts ou de domaines</w:t>
      </w:r>
      <w:r w:rsidRPr="003617AF">
        <w:rPr>
          <w:rFonts w:ascii="Arial" w:hAnsi="Arial"/>
          <w:sz w:val="20"/>
          <w:lang w:val="fr-CA"/>
        </w:rPr>
        <w:t xml:space="preserve"> fonctionnelles. Cela aidera à faire en sorte que les changements proposés soient conformes aux no</w:t>
      </w:r>
      <w:r>
        <w:rPr>
          <w:rFonts w:ascii="Arial" w:hAnsi="Arial"/>
          <w:sz w:val="20"/>
          <w:lang w:val="fr-CA"/>
        </w:rPr>
        <w:t>rmes du gouvernement et d’EDS</w:t>
      </w:r>
      <w:r w:rsidRPr="003617AF">
        <w:rPr>
          <w:rFonts w:ascii="Arial" w:hAnsi="Arial"/>
          <w:sz w:val="20"/>
          <w:lang w:val="fr-CA"/>
        </w:rPr>
        <w:t>C et empê</w:t>
      </w:r>
      <w:r w:rsidR="00033314">
        <w:rPr>
          <w:rFonts w:ascii="Arial" w:hAnsi="Arial"/>
          <w:sz w:val="20"/>
          <w:lang w:val="fr-CA"/>
        </w:rPr>
        <w:t>chera</w:t>
      </w:r>
      <w:r w:rsidRPr="003617AF">
        <w:rPr>
          <w:rFonts w:ascii="Arial" w:hAnsi="Arial"/>
          <w:sz w:val="20"/>
          <w:lang w:val="fr-CA"/>
        </w:rPr>
        <w:t xml:space="preserve"> les retards ou les rejets éventuels de demandes de changement de codage financier.</w:t>
      </w:r>
    </w:p>
    <w:p w:rsidR="00807E0F" w:rsidRDefault="00807E0F" w:rsidP="00807E0F">
      <w:pPr>
        <w:rPr>
          <w:rFonts w:ascii="Arial" w:hAnsi="Arial" w:cs="Arial"/>
          <w:sz w:val="20"/>
          <w:szCs w:val="20"/>
          <w:lang w:val="fr-CA"/>
        </w:rPr>
      </w:pPr>
    </w:p>
    <w:p w:rsidR="00807E0F" w:rsidRDefault="00807E0F" w:rsidP="00807E0F">
      <w:pPr>
        <w:rPr>
          <w:rFonts w:ascii="Arial" w:hAnsi="Arial" w:cs="Arial"/>
          <w:sz w:val="20"/>
          <w:szCs w:val="20"/>
          <w:lang w:val="fr-CA"/>
        </w:rPr>
      </w:pPr>
    </w:p>
    <w:p w:rsidR="00807E0F" w:rsidRDefault="00807E0F" w:rsidP="00807E0F">
      <w:pPr>
        <w:rPr>
          <w:rFonts w:ascii="Arial" w:hAnsi="Arial" w:cs="Arial"/>
          <w:sz w:val="20"/>
          <w:szCs w:val="20"/>
          <w:lang w:val="fr-CA"/>
        </w:rPr>
      </w:pPr>
    </w:p>
    <w:p w:rsidR="00807E0F" w:rsidRDefault="00807E0F" w:rsidP="00807E0F">
      <w:pPr>
        <w:rPr>
          <w:rFonts w:ascii="Arial" w:hAnsi="Arial" w:cs="Arial"/>
          <w:sz w:val="20"/>
          <w:szCs w:val="20"/>
          <w:lang w:val="fr-CA"/>
        </w:rPr>
      </w:pPr>
    </w:p>
    <w:p w:rsidR="00807E0F" w:rsidRDefault="00807E0F" w:rsidP="00807E0F">
      <w:pPr>
        <w:rPr>
          <w:rFonts w:ascii="Arial" w:hAnsi="Arial" w:cs="Arial"/>
          <w:sz w:val="20"/>
          <w:szCs w:val="20"/>
          <w:lang w:val="fr-CA"/>
        </w:rPr>
      </w:pPr>
    </w:p>
    <w:p w:rsidR="00807E0F" w:rsidRDefault="00807E0F" w:rsidP="00807E0F">
      <w:pPr>
        <w:rPr>
          <w:rFonts w:ascii="Arial" w:hAnsi="Arial" w:cs="Arial"/>
          <w:sz w:val="20"/>
          <w:szCs w:val="20"/>
          <w:lang w:val="fr-CA"/>
        </w:rPr>
      </w:pPr>
    </w:p>
    <w:p w:rsidR="00807E0F" w:rsidRDefault="00807E0F" w:rsidP="00807E0F">
      <w:pPr>
        <w:rPr>
          <w:rFonts w:ascii="Arial" w:hAnsi="Arial" w:cs="Arial"/>
          <w:sz w:val="20"/>
          <w:szCs w:val="20"/>
          <w:lang w:val="fr-CA"/>
        </w:rPr>
      </w:pPr>
    </w:p>
    <w:p w:rsidR="00807E0F" w:rsidRDefault="00807E0F" w:rsidP="00807E0F">
      <w:pPr>
        <w:rPr>
          <w:rFonts w:ascii="Arial" w:hAnsi="Arial" w:cs="Arial"/>
          <w:sz w:val="20"/>
          <w:szCs w:val="20"/>
          <w:lang w:val="fr-CA"/>
        </w:rPr>
      </w:pPr>
    </w:p>
    <w:p w:rsidR="00807E0F" w:rsidRDefault="00807E0F" w:rsidP="00807E0F">
      <w:pPr>
        <w:rPr>
          <w:rFonts w:ascii="Arial" w:hAnsi="Arial" w:cs="Arial"/>
          <w:sz w:val="20"/>
          <w:szCs w:val="20"/>
          <w:lang w:val="fr-CA"/>
        </w:rPr>
      </w:pPr>
    </w:p>
    <w:p w:rsidR="00807E0F" w:rsidRDefault="00807E0F" w:rsidP="00807E0F">
      <w:pPr>
        <w:rPr>
          <w:rFonts w:ascii="Arial" w:hAnsi="Arial" w:cs="Arial"/>
          <w:sz w:val="20"/>
          <w:szCs w:val="20"/>
          <w:lang w:val="fr-CA"/>
        </w:rPr>
      </w:pPr>
    </w:p>
    <w:p w:rsidR="000055DA" w:rsidRDefault="000055DA" w:rsidP="00807E0F">
      <w:pPr>
        <w:rPr>
          <w:rFonts w:ascii="Arial" w:hAnsi="Arial" w:cs="Arial"/>
          <w:sz w:val="20"/>
          <w:szCs w:val="20"/>
          <w:lang w:val="fr-CA"/>
        </w:rPr>
      </w:pPr>
    </w:p>
    <w:p w:rsidR="000055DA" w:rsidRDefault="000055DA" w:rsidP="00807E0F">
      <w:pPr>
        <w:rPr>
          <w:rFonts w:ascii="Arial" w:hAnsi="Arial" w:cs="Arial"/>
          <w:sz w:val="20"/>
          <w:szCs w:val="20"/>
          <w:lang w:val="fr-CA"/>
        </w:rPr>
      </w:pPr>
    </w:p>
    <w:p w:rsidR="000055DA" w:rsidRDefault="000055DA" w:rsidP="00807E0F">
      <w:pPr>
        <w:rPr>
          <w:rFonts w:ascii="Arial" w:hAnsi="Arial" w:cs="Arial"/>
          <w:sz w:val="20"/>
          <w:szCs w:val="20"/>
          <w:lang w:val="fr-CA"/>
        </w:rPr>
      </w:pPr>
    </w:p>
    <w:p w:rsidR="000055DA" w:rsidRDefault="000055DA" w:rsidP="00807E0F">
      <w:pPr>
        <w:rPr>
          <w:rFonts w:ascii="Arial" w:hAnsi="Arial" w:cs="Arial"/>
          <w:sz w:val="20"/>
          <w:szCs w:val="20"/>
          <w:lang w:val="fr-CA"/>
        </w:rPr>
      </w:pPr>
    </w:p>
    <w:p w:rsidR="000055DA" w:rsidRDefault="000055DA" w:rsidP="00807E0F">
      <w:pPr>
        <w:rPr>
          <w:rFonts w:ascii="Arial" w:hAnsi="Arial" w:cs="Arial"/>
          <w:sz w:val="20"/>
          <w:szCs w:val="20"/>
          <w:lang w:val="fr-CA"/>
        </w:rPr>
      </w:pPr>
    </w:p>
    <w:p w:rsidR="000055DA" w:rsidRDefault="000055DA" w:rsidP="00807E0F">
      <w:pPr>
        <w:rPr>
          <w:rFonts w:ascii="Arial" w:hAnsi="Arial" w:cs="Arial"/>
          <w:sz w:val="20"/>
          <w:szCs w:val="20"/>
          <w:lang w:val="fr-CA"/>
        </w:rPr>
      </w:pPr>
    </w:p>
    <w:p w:rsidR="000055DA" w:rsidRDefault="000055DA" w:rsidP="00807E0F">
      <w:pPr>
        <w:rPr>
          <w:rFonts w:ascii="Arial" w:hAnsi="Arial" w:cs="Arial"/>
          <w:sz w:val="20"/>
          <w:szCs w:val="20"/>
          <w:lang w:val="fr-CA"/>
        </w:rPr>
      </w:pPr>
    </w:p>
    <w:p w:rsidR="000055DA" w:rsidRDefault="000055DA" w:rsidP="00807E0F">
      <w:pPr>
        <w:rPr>
          <w:rFonts w:ascii="Arial" w:hAnsi="Arial" w:cs="Arial"/>
          <w:sz w:val="20"/>
          <w:szCs w:val="20"/>
          <w:lang w:val="fr-CA"/>
        </w:rPr>
      </w:pPr>
    </w:p>
    <w:p w:rsidR="000055DA" w:rsidRDefault="000055DA" w:rsidP="00807E0F">
      <w:pPr>
        <w:rPr>
          <w:rFonts w:ascii="Arial" w:hAnsi="Arial" w:cs="Arial"/>
          <w:sz w:val="20"/>
          <w:szCs w:val="20"/>
          <w:lang w:val="fr-CA"/>
        </w:rPr>
      </w:pPr>
    </w:p>
    <w:p w:rsidR="000055DA" w:rsidRDefault="000055DA" w:rsidP="00807E0F">
      <w:pPr>
        <w:rPr>
          <w:rFonts w:ascii="Arial" w:hAnsi="Arial" w:cs="Arial"/>
          <w:sz w:val="20"/>
          <w:szCs w:val="20"/>
          <w:lang w:val="fr-CA"/>
        </w:rPr>
      </w:pPr>
    </w:p>
    <w:p w:rsidR="000055DA" w:rsidRDefault="000055DA" w:rsidP="00807E0F">
      <w:pPr>
        <w:rPr>
          <w:rFonts w:ascii="Arial" w:hAnsi="Arial" w:cs="Arial"/>
          <w:sz w:val="20"/>
          <w:szCs w:val="20"/>
          <w:lang w:val="fr-CA"/>
        </w:rPr>
      </w:pPr>
    </w:p>
    <w:p w:rsidR="000055DA" w:rsidRDefault="000055DA" w:rsidP="00807E0F">
      <w:pPr>
        <w:rPr>
          <w:rFonts w:ascii="Arial" w:hAnsi="Arial" w:cs="Arial"/>
          <w:sz w:val="20"/>
          <w:szCs w:val="20"/>
          <w:lang w:val="fr-CA"/>
        </w:rPr>
      </w:pPr>
    </w:p>
    <w:p w:rsidR="00807E0F" w:rsidRDefault="00807E0F" w:rsidP="00807E0F">
      <w:pPr>
        <w:rPr>
          <w:rFonts w:ascii="Arial" w:hAnsi="Arial" w:cs="Arial"/>
          <w:sz w:val="20"/>
          <w:szCs w:val="20"/>
          <w:lang w:val="fr-CA"/>
        </w:rPr>
      </w:pPr>
    </w:p>
    <w:p w:rsidR="00807E0F" w:rsidRDefault="00807E0F" w:rsidP="00807E0F">
      <w:pPr>
        <w:rPr>
          <w:rFonts w:ascii="Arial" w:hAnsi="Arial" w:cs="Arial"/>
          <w:sz w:val="20"/>
          <w:szCs w:val="20"/>
          <w:lang w:val="fr-CA"/>
        </w:rPr>
      </w:pPr>
    </w:p>
    <w:p w:rsidR="00807E0F" w:rsidRDefault="00807E0F" w:rsidP="00807E0F">
      <w:pPr>
        <w:rPr>
          <w:rFonts w:ascii="Arial" w:hAnsi="Arial" w:cs="Arial"/>
          <w:sz w:val="20"/>
          <w:szCs w:val="20"/>
          <w:lang w:val="fr-CA"/>
        </w:rPr>
      </w:pPr>
    </w:p>
    <w:p w:rsidR="00033314" w:rsidRDefault="00033314" w:rsidP="00807E0F">
      <w:pPr>
        <w:rPr>
          <w:rFonts w:ascii="Arial" w:hAnsi="Arial" w:cs="Arial"/>
          <w:sz w:val="20"/>
          <w:szCs w:val="20"/>
          <w:lang w:val="fr-CA"/>
        </w:rPr>
      </w:pPr>
    </w:p>
    <w:p w:rsidR="00033314" w:rsidRDefault="00033314" w:rsidP="00807E0F">
      <w:pPr>
        <w:rPr>
          <w:rFonts w:ascii="Arial" w:hAnsi="Arial" w:cs="Arial"/>
          <w:sz w:val="20"/>
          <w:szCs w:val="20"/>
          <w:lang w:val="fr-CA"/>
        </w:rPr>
      </w:pPr>
    </w:p>
    <w:p w:rsidR="00033314" w:rsidRDefault="00033314" w:rsidP="00807E0F">
      <w:pPr>
        <w:rPr>
          <w:rFonts w:ascii="Arial" w:hAnsi="Arial" w:cs="Arial"/>
          <w:sz w:val="20"/>
          <w:szCs w:val="20"/>
          <w:lang w:val="fr-CA"/>
        </w:rPr>
      </w:pPr>
    </w:p>
    <w:p w:rsidR="00033314" w:rsidRDefault="00033314" w:rsidP="00807E0F">
      <w:pPr>
        <w:rPr>
          <w:rFonts w:ascii="Arial" w:hAnsi="Arial" w:cs="Arial"/>
          <w:sz w:val="20"/>
          <w:szCs w:val="20"/>
          <w:lang w:val="fr-CA"/>
        </w:rPr>
      </w:pPr>
    </w:p>
    <w:p w:rsidR="00807E0F" w:rsidRDefault="00807E0F" w:rsidP="00807E0F">
      <w:pPr>
        <w:rPr>
          <w:rFonts w:ascii="Arial" w:hAnsi="Arial" w:cs="Arial"/>
          <w:sz w:val="20"/>
          <w:szCs w:val="20"/>
          <w:lang w:val="fr-CA"/>
        </w:rPr>
      </w:pPr>
    </w:p>
    <w:p w:rsidR="00807E0F" w:rsidRDefault="00807E0F" w:rsidP="00807E0F">
      <w:pPr>
        <w:rPr>
          <w:rFonts w:ascii="Arial" w:hAnsi="Arial" w:cs="Arial"/>
          <w:sz w:val="20"/>
          <w:szCs w:val="20"/>
          <w:lang w:val="fr-CA"/>
        </w:rPr>
      </w:pPr>
    </w:p>
    <w:p w:rsidR="00807E0F" w:rsidRDefault="00807E0F" w:rsidP="00807E0F">
      <w:pPr>
        <w:rPr>
          <w:rFonts w:ascii="Arial" w:hAnsi="Arial" w:cs="Arial"/>
          <w:sz w:val="20"/>
          <w:szCs w:val="20"/>
          <w:lang w:val="fr-CA"/>
        </w:rPr>
      </w:pPr>
    </w:p>
    <w:p w:rsidR="00807E0F" w:rsidRDefault="00807E0F" w:rsidP="00807E0F">
      <w:pPr>
        <w:rPr>
          <w:rFonts w:ascii="Arial" w:hAnsi="Arial" w:cs="Arial"/>
          <w:sz w:val="20"/>
          <w:szCs w:val="20"/>
          <w:lang w:val="fr-CA"/>
        </w:rPr>
      </w:pPr>
    </w:p>
    <w:p w:rsidR="00807E0F" w:rsidRDefault="00807E0F" w:rsidP="00807E0F">
      <w:pPr>
        <w:rPr>
          <w:rFonts w:ascii="Arial" w:hAnsi="Arial" w:cs="Arial"/>
          <w:sz w:val="20"/>
          <w:szCs w:val="20"/>
          <w:lang w:val="fr-CA"/>
        </w:rPr>
      </w:pPr>
    </w:p>
    <w:p w:rsidR="00807E0F" w:rsidRPr="003C520C" w:rsidRDefault="00807E0F" w:rsidP="00807E0F">
      <w:pPr>
        <w:rPr>
          <w:rFonts w:ascii="Arial" w:hAnsi="Arial" w:cs="Arial"/>
          <w:sz w:val="20"/>
          <w:szCs w:val="20"/>
          <w:lang w:val="fr-CA"/>
        </w:rPr>
      </w:pPr>
    </w:p>
    <w:p w:rsidR="00807E0F" w:rsidRPr="00001E0D" w:rsidRDefault="00807E0F" w:rsidP="00807E0F">
      <w:pPr>
        <w:pStyle w:val="Heading2"/>
        <w:rPr>
          <w:lang w:val="fr-CA"/>
        </w:rPr>
      </w:pPr>
      <w:bookmarkStart w:id="121" w:name="appB"/>
      <w:bookmarkStart w:id="122" w:name="appC"/>
      <w:bookmarkStart w:id="123" w:name="appD"/>
      <w:bookmarkStart w:id="124" w:name="_Toc299694695"/>
      <w:bookmarkStart w:id="125" w:name="_Toc485812751"/>
      <w:bookmarkEnd w:id="121"/>
      <w:bookmarkEnd w:id="122"/>
      <w:bookmarkEnd w:id="123"/>
      <w:r w:rsidRPr="00001E0D">
        <w:rPr>
          <w:lang w:val="fr-CA"/>
        </w:rPr>
        <w:lastRenderedPageBreak/>
        <w:t>Annex</w:t>
      </w:r>
      <w:r>
        <w:rPr>
          <w:lang w:val="fr-CA"/>
        </w:rPr>
        <w:t>e</w:t>
      </w:r>
      <w:r w:rsidRPr="00001E0D">
        <w:rPr>
          <w:lang w:val="fr-CA"/>
        </w:rPr>
        <w:t xml:space="preserve"> G</w:t>
      </w:r>
      <w:r>
        <w:rPr>
          <w:lang w:val="fr-CA"/>
        </w:rPr>
        <w:t xml:space="preserve"> </w:t>
      </w:r>
      <w:r w:rsidRPr="00001E0D">
        <w:rPr>
          <w:lang w:val="fr-CA"/>
        </w:rPr>
        <w:t>: Acronym</w:t>
      </w:r>
      <w:r>
        <w:rPr>
          <w:lang w:val="fr-CA"/>
        </w:rPr>
        <w:t>e</w:t>
      </w:r>
      <w:r w:rsidRPr="00001E0D">
        <w:rPr>
          <w:lang w:val="fr-CA"/>
        </w:rPr>
        <w:t>s</w:t>
      </w:r>
      <w:bookmarkEnd w:id="124"/>
      <w:bookmarkEnd w:id="125"/>
    </w:p>
    <w:p w:rsidR="00807E0F" w:rsidRPr="00001E0D" w:rsidRDefault="00807E0F" w:rsidP="00807E0F">
      <w:pPr>
        <w:rPr>
          <w:rFonts w:ascii="Arial" w:hAnsi="Arial" w:cs="Arial"/>
          <w:sz w:val="20"/>
          <w:szCs w:val="20"/>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8397"/>
      </w:tblGrid>
      <w:tr w:rsidR="00807E0F" w:rsidRPr="002E0EA7" w:rsidTr="00C96B78">
        <w:tc>
          <w:tcPr>
            <w:tcW w:w="1791" w:type="dxa"/>
            <w:shd w:val="clear" w:color="auto" w:fill="auto"/>
          </w:tcPr>
          <w:p w:rsidR="00807E0F" w:rsidRPr="007B301F" w:rsidRDefault="00807E0F" w:rsidP="00C96B78">
            <w:pPr>
              <w:rPr>
                <w:rFonts w:ascii="Arial" w:hAnsi="Arial" w:cs="Arial"/>
                <w:color w:val="000000" w:themeColor="text1"/>
                <w:sz w:val="20"/>
                <w:szCs w:val="20"/>
                <w:lang w:val="fr-CA"/>
              </w:rPr>
            </w:pPr>
            <w:r w:rsidRPr="007B301F">
              <w:rPr>
                <w:rFonts w:ascii="Arial" w:hAnsi="Arial" w:cs="Arial"/>
                <w:color w:val="000000" w:themeColor="text1"/>
                <w:sz w:val="20"/>
                <w:szCs w:val="20"/>
                <w:lang w:val="fr-CA"/>
              </w:rPr>
              <w:t>AAP</w:t>
            </w:r>
          </w:p>
        </w:tc>
        <w:tc>
          <w:tcPr>
            <w:tcW w:w="8397" w:type="dxa"/>
            <w:shd w:val="clear" w:color="auto" w:fill="auto"/>
          </w:tcPr>
          <w:p w:rsidR="00807E0F" w:rsidRPr="007B301F" w:rsidRDefault="00807E0F" w:rsidP="00C96B78">
            <w:pPr>
              <w:rPr>
                <w:rFonts w:ascii="Arial" w:hAnsi="Arial" w:cs="Arial"/>
                <w:color w:val="000000" w:themeColor="text1"/>
                <w:sz w:val="20"/>
                <w:szCs w:val="20"/>
                <w:lang w:val="fr-CA"/>
              </w:rPr>
            </w:pPr>
            <w:r>
              <w:rPr>
                <w:rFonts w:ascii="Arial" w:hAnsi="Arial" w:cs="Arial"/>
                <w:color w:val="000000" w:themeColor="text1"/>
                <w:sz w:val="20"/>
                <w:szCs w:val="20"/>
                <w:lang w:val="fr-CA"/>
              </w:rPr>
              <w:t>Alignement d’</w:t>
            </w:r>
            <w:r w:rsidRPr="007B301F">
              <w:rPr>
                <w:rFonts w:ascii="Arial" w:hAnsi="Arial" w:cs="Arial"/>
                <w:color w:val="000000" w:themeColor="text1"/>
                <w:sz w:val="20"/>
                <w:szCs w:val="20"/>
                <w:lang w:val="fr-CA"/>
              </w:rPr>
              <w:t xml:space="preserve">Architecture de </w:t>
            </w:r>
            <w:r>
              <w:rPr>
                <w:rFonts w:ascii="Arial" w:hAnsi="Arial" w:cs="Arial"/>
                <w:color w:val="000000" w:themeColor="text1"/>
                <w:sz w:val="20"/>
                <w:szCs w:val="20"/>
                <w:lang w:val="fr-CA"/>
              </w:rPr>
              <w:t>P</w:t>
            </w:r>
            <w:r w:rsidRPr="007B301F">
              <w:rPr>
                <w:rFonts w:ascii="Arial" w:hAnsi="Arial" w:cs="Arial"/>
                <w:color w:val="000000" w:themeColor="text1"/>
                <w:sz w:val="20"/>
                <w:szCs w:val="20"/>
                <w:lang w:val="fr-CA"/>
              </w:rPr>
              <w:t>rogramme</w:t>
            </w:r>
          </w:p>
        </w:tc>
      </w:tr>
      <w:tr w:rsidR="00807E0F" w:rsidRPr="00B934B9" w:rsidTr="00C96B78">
        <w:tc>
          <w:tcPr>
            <w:tcW w:w="1791" w:type="dxa"/>
            <w:shd w:val="clear" w:color="auto" w:fill="auto"/>
          </w:tcPr>
          <w:p w:rsidR="00807E0F" w:rsidRPr="007B301F" w:rsidRDefault="00807E0F" w:rsidP="00C96B78">
            <w:pPr>
              <w:rPr>
                <w:rFonts w:ascii="Arial" w:hAnsi="Arial" w:cs="Arial"/>
                <w:color w:val="000000" w:themeColor="text1"/>
                <w:sz w:val="20"/>
                <w:szCs w:val="20"/>
                <w:lang w:val="fr-CA"/>
              </w:rPr>
            </w:pPr>
            <w:r w:rsidRPr="007B301F">
              <w:rPr>
                <w:rFonts w:ascii="Arial" w:hAnsi="Arial" w:cs="Arial"/>
                <w:color w:val="000000" w:themeColor="text1"/>
                <w:sz w:val="20"/>
                <w:szCs w:val="20"/>
                <w:lang w:val="fr-CA"/>
              </w:rPr>
              <w:t>AAPF</w:t>
            </w:r>
          </w:p>
        </w:tc>
        <w:tc>
          <w:tcPr>
            <w:tcW w:w="8397" w:type="dxa"/>
            <w:shd w:val="clear" w:color="auto" w:fill="auto"/>
          </w:tcPr>
          <w:p w:rsidR="00807E0F" w:rsidRPr="007B301F" w:rsidRDefault="00807E0F" w:rsidP="00C96B78">
            <w:pPr>
              <w:rPr>
                <w:rFonts w:ascii="Arial" w:hAnsi="Arial" w:cs="Arial"/>
                <w:color w:val="000000" w:themeColor="text1"/>
                <w:sz w:val="20"/>
                <w:szCs w:val="20"/>
                <w:lang w:val="fr-CA"/>
              </w:rPr>
            </w:pPr>
            <w:r w:rsidRPr="007B301F">
              <w:rPr>
                <w:rFonts w:ascii="Arial" w:hAnsi="Arial" w:cs="Arial"/>
                <w:color w:val="000000" w:themeColor="text1"/>
                <w:sz w:val="20"/>
                <w:szCs w:val="20"/>
                <w:lang w:val="fr-CA"/>
              </w:rPr>
              <w:t>Adjoint à l’agent principal des finances</w:t>
            </w:r>
          </w:p>
        </w:tc>
      </w:tr>
      <w:tr w:rsidR="00807E0F" w:rsidRPr="00001E0D" w:rsidTr="00C96B78">
        <w:tc>
          <w:tcPr>
            <w:tcW w:w="1791" w:type="dxa"/>
            <w:shd w:val="clear" w:color="auto" w:fill="auto"/>
          </w:tcPr>
          <w:p w:rsidR="00807E0F" w:rsidRPr="007B301F" w:rsidRDefault="00807E0F" w:rsidP="00C96B78">
            <w:pPr>
              <w:rPr>
                <w:rFonts w:ascii="Arial" w:hAnsi="Arial" w:cs="Arial"/>
                <w:color w:val="000000" w:themeColor="text1"/>
                <w:sz w:val="20"/>
                <w:szCs w:val="20"/>
                <w:lang w:val="fr-CA"/>
              </w:rPr>
            </w:pPr>
            <w:r>
              <w:rPr>
                <w:rFonts w:ascii="Arial" w:hAnsi="Arial" w:cs="Arial"/>
                <w:color w:val="000000" w:themeColor="text1"/>
                <w:sz w:val="20"/>
                <w:szCs w:val="20"/>
                <w:lang w:val="fr-CA"/>
              </w:rPr>
              <w:t>AC</w:t>
            </w:r>
          </w:p>
        </w:tc>
        <w:tc>
          <w:tcPr>
            <w:tcW w:w="8397" w:type="dxa"/>
            <w:shd w:val="clear" w:color="auto" w:fill="auto"/>
          </w:tcPr>
          <w:p w:rsidR="00807E0F" w:rsidRPr="007B301F" w:rsidRDefault="00807E0F" w:rsidP="00C96B78">
            <w:pPr>
              <w:rPr>
                <w:rFonts w:ascii="Arial" w:hAnsi="Arial" w:cs="Arial"/>
                <w:color w:val="000000" w:themeColor="text1"/>
                <w:sz w:val="20"/>
                <w:szCs w:val="20"/>
                <w:lang w:val="fr-CA"/>
              </w:rPr>
            </w:pPr>
            <w:r>
              <w:rPr>
                <w:rFonts w:ascii="Arial" w:hAnsi="Arial" w:cs="Arial"/>
                <w:color w:val="000000" w:themeColor="text1"/>
                <w:sz w:val="20"/>
                <w:szCs w:val="20"/>
                <w:lang w:val="fr-CA"/>
              </w:rPr>
              <w:t>Administration centrale</w:t>
            </w:r>
          </w:p>
        </w:tc>
      </w:tr>
      <w:tr w:rsidR="00807E0F" w:rsidRPr="00001E0D" w:rsidTr="00C96B78">
        <w:tc>
          <w:tcPr>
            <w:tcW w:w="1791" w:type="dxa"/>
            <w:shd w:val="clear" w:color="auto" w:fill="auto"/>
          </w:tcPr>
          <w:p w:rsidR="00807E0F" w:rsidRPr="007B301F" w:rsidRDefault="00807E0F" w:rsidP="00C96B78">
            <w:pPr>
              <w:rPr>
                <w:rFonts w:ascii="Arial" w:hAnsi="Arial" w:cs="Arial"/>
                <w:color w:val="000000" w:themeColor="text1"/>
                <w:sz w:val="20"/>
                <w:szCs w:val="20"/>
                <w:lang w:val="fr-CA"/>
              </w:rPr>
            </w:pPr>
            <w:r w:rsidRPr="007B301F">
              <w:rPr>
                <w:rFonts w:ascii="Arial" w:hAnsi="Arial" w:cs="Arial"/>
                <w:color w:val="000000" w:themeColor="text1"/>
                <w:sz w:val="20"/>
                <w:szCs w:val="20"/>
                <w:lang w:val="fr-CA"/>
              </w:rPr>
              <w:t>APF</w:t>
            </w:r>
          </w:p>
        </w:tc>
        <w:tc>
          <w:tcPr>
            <w:tcW w:w="8397" w:type="dxa"/>
            <w:shd w:val="clear" w:color="auto" w:fill="auto"/>
          </w:tcPr>
          <w:p w:rsidR="00807E0F" w:rsidRPr="007B301F" w:rsidRDefault="00807E0F" w:rsidP="00C96B78">
            <w:pPr>
              <w:rPr>
                <w:rFonts w:ascii="Arial" w:hAnsi="Arial" w:cs="Arial"/>
                <w:color w:val="000000" w:themeColor="text1"/>
                <w:sz w:val="20"/>
                <w:szCs w:val="20"/>
                <w:lang w:val="fr-CA"/>
              </w:rPr>
            </w:pPr>
            <w:r w:rsidRPr="007B301F">
              <w:rPr>
                <w:rFonts w:ascii="Arial" w:hAnsi="Arial" w:cs="Arial"/>
                <w:color w:val="000000" w:themeColor="text1"/>
                <w:sz w:val="20"/>
                <w:szCs w:val="20"/>
                <w:lang w:val="fr-CA"/>
              </w:rPr>
              <w:t>Agent principal des finances</w:t>
            </w:r>
          </w:p>
        </w:tc>
      </w:tr>
      <w:tr w:rsidR="00807E0F" w:rsidRPr="00B934B9" w:rsidTr="00C96B78">
        <w:tc>
          <w:tcPr>
            <w:tcW w:w="1791" w:type="dxa"/>
            <w:shd w:val="clear" w:color="auto" w:fill="auto"/>
          </w:tcPr>
          <w:p w:rsidR="00807E0F" w:rsidRPr="007B301F" w:rsidRDefault="00807E0F" w:rsidP="00C96B78">
            <w:pPr>
              <w:rPr>
                <w:rFonts w:ascii="Arial" w:hAnsi="Arial" w:cs="Arial"/>
                <w:color w:val="000000" w:themeColor="text1"/>
                <w:sz w:val="20"/>
                <w:szCs w:val="20"/>
                <w:lang w:val="fr-CA"/>
              </w:rPr>
            </w:pPr>
            <w:r>
              <w:rPr>
                <w:rFonts w:ascii="Arial" w:hAnsi="Arial" w:cs="Arial"/>
                <w:color w:val="000000" w:themeColor="text1"/>
                <w:sz w:val="20"/>
                <w:szCs w:val="20"/>
                <w:lang w:val="fr-CA"/>
              </w:rPr>
              <w:t>ARC</w:t>
            </w:r>
          </w:p>
        </w:tc>
        <w:tc>
          <w:tcPr>
            <w:tcW w:w="8397" w:type="dxa"/>
            <w:shd w:val="clear" w:color="auto" w:fill="auto"/>
          </w:tcPr>
          <w:p w:rsidR="00807E0F" w:rsidRPr="007B301F" w:rsidRDefault="00807E0F" w:rsidP="00C96B78">
            <w:pPr>
              <w:rPr>
                <w:rFonts w:ascii="Arial" w:hAnsi="Arial" w:cs="Arial"/>
                <w:color w:val="000000" w:themeColor="text1"/>
                <w:sz w:val="20"/>
                <w:szCs w:val="20"/>
                <w:lang w:val="fr-CA"/>
              </w:rPr>
            </w:pPr>
            <w:r>
              <w:rPr>
                <w:rFonts w:ascii="Arial" w:hAnsi="Arial" w:cs="Arial"/>
                <w:color w:val="000000" w:themeColor="text1"/>
                <w:sz w:val="20"/>
                <w:szCs w:val="20"/>
                <w:lang w:val="fr-CA"/>
              </w:rPr>
              <w:t>Agence du revenu du Canada</w:t>
            </w:r>
          </w:p>
        </w:tc>
      </w:tr>
      <w:tr w:rsidR="00807E0F" w:rsidRPr="00001E0D" w:rsidTr="00C96B78">
        <w:tc>
          <w:tcPr>
            <w:tcW w:w="1791" w:type="dxa"/>
            <w:shd w:val="clear" w:color="auto" w:fill="auto"/>
          </w:tcPr>
          <w:p w:rsidR="00807E0F" w:rsidRPr="007B301F" w:rsidRDefault="00807E0F" w:rsidP="00C96B78">
            <w:pPr>
              <w:rPr>
                <w:rFonts w:ascii="Arial" w:hAnsi="Arial" w:cs="Arial"/>
                <w:color w:val="000000" w:themeColor="text1"/>
                <w:sz w:val="20"/>
                <w:szCs w:val="20"/>
                <w:lang w:val="fr-CA"/>
              </w:rPr>
            </w:pPr>
            <w:r w:rsidRPr="007B301F">
              <w:rPr>
                <w:rFonts w:ascii="Arial" w:hAnsi="Arial" w:cs="Arial"/>
                <w:color w:val="000000" w:themeColor="text1"/>
                <w:sz w:val="20"/>
                <w:szCs w:val="20"/>
                <w:lang w:val="fr-CA"/>
              </w:rPr>
              <w:t>BCG</w:t>
            </w:r>
          </w:p>
        </w:tc>
        <w:tc>
          <w:tcPr>
            <w:tcW w:w="8397" w:type="dxa"/>
            <w:shd w:val="clear" w:color="auto" w:fill="auto"/>
          </w:tcPr>
          <w:p w:rsidR="00807E0F" w:rsidRPr="007B301F" w:rsidRDefault="00807E0F" w:rsidP="00C96B78">
            <w:pPr>
              <w:rPr>
                <w:rFonts w:ascii="Arial" w:hAnsi="Arial" w:cs="Arial"/>
                <w:color w:val="000000" w:themeColor="text1"/>
                <w:sz w:val="20"/>
                <w:szCs w:val="20"/>
                <w:lang w:val="fr-CA"/>
              </w:rPr>
            </w:pPr>
            <w:r w:rsidRPr="007B301F">
              <w:rPr>
                <w:rFonts w:ascii="Arial" w:hAnsi="Arial" w:cs="Arial"/>
                <w:color w:val="000000" w:themeColor="text1"/>
                <w:sz w:val="20"/>
                <w:szCs w:val="20"/>
                <w:lang w:val="fr-CA"/>
              </w:rPr>
              <w:t>Bureau du contrôleur général</w:t>
            </w:r>
          </w:p>
        </w:tc>
      </w:tr>
      <w:tr w:rsidR="00807E0F" w:rsidRPr="00001E0D" w:rsidTr="00C96B78">
        <w:tc>
          <w:tcPr>
            <w:tcW w:w="1791" w:type="dxa"/>
            <w:shd w:val="clear" w:color="auto" w:fill="auto"/>
          </w:tcPr>
          <w:p w:rsidR="00807E0F" w:rsidRPr="007B301F" w:rsidRDefault="00807E0F" w:rsidP="00C96B78">
            <w:pPr>
              <w:rPr>
                <w:rFonts w:ascii="Arial" w:hAnsi="Arial" w:cs="Arial"/>
                <w:color w:val="000000" w:themeColor="text1"/>
                <w:sz w:val="20"/>
                <w:szCs w:val="20"/>
                <w:lang w:val="fr-CA"/>
              </w:rPr>
            </w:pPr>
            <w:r w:rsidRPr="007B301F">
              <w:rPr>
                <w:rFonts w:ascii="Arial" w:hAnsi="Arial" w:cs="Arial"/>
                <w:color w:val="000000" w:themeColor="text1"/>
                <w:sz w:val="20"/>
                <w:szCs w:val="20"/>
                <w:lang w:val="fr-CA"/>
              </w:rPr>
              <w:t>BCP</w:t>
            </w:r>
          </w:p>
        </w:tc>
        <w:tc>
          <w:tcPr>
            <w:tcW w:w="8397" w:type="dxa"/>
            <w:shd w:val="clear" w:color="auto" w:fill="auto"/>
          </w:tcPr>
          <w:p w:rsidR="00807E0F" w:rsidRPr="007B301F" w:rsidRDefault="00807E0F" w:rsidP="00C96B78">
            <w:pPr>
              <w:rPr>
                <w:rFonts w:ascii="Arial" w:hAnsi="Arial" w:cs="Arial"/>
                <w:color w:val="000000" w:themeColor="text1"/>
                <w:sz w:val="20"/>
                <w:szCs w:val="20"/>
                <w:lang w:val="fr-CA"/>
              </w:rPr>
            </w:pPr>
            <w:r w:rsidRPr="007B301F">
              <w:rPr>
                <w:rFonts w:ascii="Arial" w:hAnsi="Arial" w:cs="Arial"/>
                <w:color w:val="000000" w:themeColor="text1"/>
                <w:sz w:val="20"/>
                <w:szCs w:val="20"/>
                <w:lang w:val="fr-CA"/>
              </w:rPr>
              <w:t>Bureau du Conseil privé</w:t>
            </w:r>
          </w:p>
        </w:tc>
      </w:tr>
      <w:tr w:rsidR="00807E0F" w:rsidRPr="004123C4" w:rsidTr="00C96B78">
        <w:tc>
          <w:tcPr>
            <w:tcW w:w="1791" w:type="dxa"/>
            <w:shd w:val="clear" w:color="auto" w:fill="auto"/>
          </w:tcPr>
          <w:p w:rsidR="00807E0F" w:rsidRPr="00215A7C" w:rsidRDefault="00807E0F" w:rsidP="00C96B78">
            <w:pPr>
              <w:tabs>
                <w:tab w:val="center" w:pos="787"/>
              </w:tabs>
              <w:rPr>
                <w:rFonts w:ascii="Arial" w:hAnsi="Arial" w:cs="Arial"/>
                <w:color w:val="000000" w:themeColor="text1"/>
                <w:sz w:val="20"/>
                <w:szCs w:val="20"/>
                <w:lang w:val="fr-CA"/>
              </w:rPr>
            </w:pPr>
            <w:r w:rsidRPr="00215A7C">
              <w:rPr>
                <w:rFonts w:ascii="Arial" w:hAnsi="Arial" w:cs="Arial"/>
                <w:color w:val="000000" w:themeColor="text1"/>
                <w:sz w:val="20"/>
                <w:szCs w:val="20"/>
                <w:lang w:val="fr-CA"/>
              </w:rPr>
              <w:t>BI</w:t>
            </w:r>
          </w:p>
        </w:tc>
        <w:tc>
          <w:tcPr>
            <w:tcW w:w="8397" w:type="dxa"/>
            <w:shd w:val="clear" w:color="auto" w:fill="auto"/>
          </w:tcPr>
          <w:p w:rsidR="00807E0F" w:rsidRPr="00215A7C" w:rsidRDefault="00807E0F" w:rsidP="00C96B78">
            <w:pPr>
              <w:rPr>
                <w:rFonts w:ascii="Arial" w:hAnsi="Arial" w:cs="Arial"/>
                <w:color w:val="000000" w:themeColor="text1"/>
                <w:sz w:val="20"/>
                <w:szCs w:val="20"/>
                <w:lang w:val="fr-CA"/>
              </w:rPr>
            </w:pPr>
            <w:r w:rsidRPr="00215A7C">
              <w:rPr>
                <w:rFonts w:ascii="Arial" w:hAnsi="Arial" w:cs="Arial"/>
                <w:sz w:val="20"/>
                <w:szCs w:val="20"/>
                <w:lang w:val="fr-CA"/>
              </w:rPr>
              <w:t>Outil d’information décisionnel</w:t>
            </w:r>
          </w:p>
        </w:tc>
      </w:tr>
      <w:tr w:rsidR="00807E0F" w:rsidRPr="00B934B9" w:rsidTr="00C96B78">
        <w:tc>
          <w:tcPr>
            <w:tcW w:w="1791" w:type="dxa"/>
            <w:shd w:val="clear" w:color="auto" w:fill="auto"/>
          </w:tcPr>
          <w:p w:rsidR="00807E0F" w:rsidRDefault="00807E0F" w:rsidP="00C96B78">
            <w:pPr>
              <w:tabs>
                <w:tab w:val="center" w:pos="787"/>
              </w:tabs>
              <w:rPr>
                <w:rFonts w:ascii="Arial" w:hAnsi="Arial" w:cs="Arial"/>
                <w:color w:val="000000" w:themeColor="text1"/>
                <w:sz w:val="20"/>
                <w:szCs w:val="20"/>
                <w:lang w:val="fr-CA"/>
              </w:rPr>
            </w:pPr>
            <w:r>
              <w:rPr>
                <w:rFonts w:ascii="Arial" w:hAnsi="Arial" w:cs="Arial"/>
                <w:color w:val="000000" w:themeColor="text1"/>
                <w:sz w:val="20"/>
                <w:szCs w:val="20"/>
                <w:lang w:val="fr-CA"/>
              </w:rPr>
              <w:t>BI-IP</w:t>
            </w:r>
          </w:p>
        </w:tc>
        <w:tc>
          <w:tcPr>
            <w:tcW w:w="8397" w:type="dxa"/>
            <w:shd w:val="clear" w:color="auto" w:fill="auto"/>
          </w:tcPr>
          <w:p w:rsidR="00807E0F" w:rsidRPr="00E111D7" w:rsidRDefault="00807E0F" w:rsidP="00C96B78">
            <w:pPr>
              <w:rPr>
                <w:rFonts w:ascii="Arial" w:hAnsi="Arial" w:cs="Arial"/>
                <w:color w:val="000000" w:themeColor="text1"/>
                <w:sz w:val="20"/>
                <w:szCs w:val="20"/>
                <w:lang w:val="fr-CA"/>
              </w:rPr>
            </w:pPr>
            <w:r w:rsidRPr="00215A7C">
              <w:rPr>
                <w:rFonts w:ascii="Arial" w:hAnsi="Arial" w:cs="Arial"/>
                <w:color w:val="000000" w:themeColor="text1"/>
                <w:sz w:val="20"/>
                <w:szCs w:val="20"/>
                <w:lang w:val="fr-CA"/>
              </w:rPr>
              <w:t>Outil de planification intégrée des renseignements opérationnels</w:t>
            </w:r>
          </w:p>
        </w:tc>
      </w:tr>
      <w:tr w:rsidR="00807E0F" w:rsidRPr="00B934B9" w:rsidTr="00C96B78">
        <w:tc>
          <w:tcPr>
            <w:tcW w:w="1791" w:type="dxa"/>
            <w:shd w:val="clear" w:color="auto" w:fill="auto"/>
          </w:tcPr>
          <w:p w:rsidR="00807E0F" w:rsidRPr="007B301F" w:rsidDel="00DF4A2D" w:rsidRDefault="00807E0F" w:rsidP="00C96B78">
            <w:pPr>
              <w:tabs>
                <w:tab w:val="center" w:pos="787"/>
              </w:tabs>
              <w:rPr>
                <w:rFonts w:ascii="Arial" w:hAnsi="Arial" w:cs="Arial"/>
                <w:color w:val="000000" w:themeColor="text1"/>
                <w:sz w:val="20"/>
                <w:szCs w:val="20"/>
                <w:lang w:val="fr-CA"/>
              </w:rPr>
            </w:pPr>
            <w:r>
              <w:rPr>
                <w:rFonts w:ascii="Arial" w:hAnsi="Arial" w:cs="Arial"/>
                <w:color w:val="000000" w:themeColor="text1"/>
                <w:sz w:val="20"/>
                <w:szCs w:val="20"/>
                <w:lang w:val="fr-CA"/>
              </w:rPr>
              <w:t>BSIF</w:t>
            </w:r>
          </w:p>
        </w:tc>
        <w:tc>
          <w:tcPr>
            <w:tcW w:w="8397" w:type="dxa"/>
            <w:shd w:val="clear" w:color="auto" w:fill="auto"/>
          </w:tcPr>
          <w:p w:rsidR="00807E0F" w:rsidRPr="007B301F" w:rsidDel="00DF4A2D" w:rsidRDefault="00807E0F" w:rsidP="00C96B78">
            <w:pPr>
              <w:rPr>
                <w:rFonts w:ascii="Arial" w:hAnsi="Arial" w:cs="Arial"/>
                <w:color w:val="000000" w:themeColor="text1"/>
                <w:sz w:val="20"/>
                <w:szCs w:val="20"/>
                <w:lang w:val="fr-CA"/>
              </w:rPr>
            </w:pPr>
            <w:r w:rsidRPr="004123C4">
              <w:rPr>
                <w:rFonts w:ascii="Arial" w:hAnsi="Arial" w:cs="Arial"/>
                <w:color w:val="000000" w:themeColor="text1"/>
                <w:sz w:val="20"/>
                <w:szCs w:val="20"/>
                <w:lang w:val="fr-CA"/>
              </w:rPr>
              <w:t>Bureau du surintendant des institutions financières</w:t>
            </w:r>
          </w:p>
        </w:tc>
      </w:tr>
      <w:tr w:rsidR="00807E0F" w:rsidRPr="00B934B9" w:rsidTr="00C96B78">
        <w:tc>
          <w:tcPr>
            <w:tcW w:w="1791" w:type="dxa"/>
            <w:shd w:val="clear" w:color="auto" w:fill="auto"/>
          </w:tcPr>
          <w:p w:rsidR="00807E0F" w:rsidRPr="007B301F" w:rsidRDefault="00807E0F" w:rsidP="00C96B78">
            <w:pPr>
              <w:rPr>
                <w:rFonts w:ascii="Arial" w:hAnsi="Arial" w:cs="Arial"/>
                <w:color w:val="000000" w:themeColor="text1"/>
                <w:sz w:val="20"/>
                <w:szCs w:val="20"/>
                <w:lang w:val="fr-CA"/>
              </w:rPr>
            </w:pPr>
            <w:r>
              <w:rPr>
                <w:rFonts w:ascii="Arial" w:hAnsi="Arial" w:cs="Arial"/>
                <w:color w:val="000000" w:themeColor="text1"/>
                <w:sz w:val="20"/>
                <w:szCs w:val="20"/>
                <w:lang w:val="fr-CA"/>
              </w:rPr>
              <w:t>CDCGP</w:t>
            </w:r>
          </w:p>
        </w:tc>
        <w:tc>
          <w:tcPr>
            <w:tcW w:w="8397" w:type="dxa"/>
            <w:shd w:val="clear" w:color="auto" w:fill="auto"/>
          </w:tcPr>
          <w:p w:rsidR="00807E0F" w:rsidRPr="007B301F" w:rsidRDefault="00807E0F" w:rsidP="00C96B78">
            <w:pPr>
              <w:rPr>
                <w:rFonts w:ascii="Arial" w:hAnsi="Arial" w:cs="Arial"/>
                <w:color w:val="000000" w:themeColor="text1"/>
                <w:sz w:val="20"/>
                <w:szCs w:val="20"/>
                <w:lang w:val="fr-CA"/>
              </w:rPr>
            </w:pPr>
            <w:r>
              <w:rPr>
                <w:rFonts w:ascii="Arial" w:hAnsi="Arial" w:cs="Arial"/>
                <w:color w:val="000000" w:themeColor="text1"/>
                <w:sz w:val="20"/>
                <w:szCs w:val="20"/>
                <w:lang w:val="fr-CA"/>
              </w:rPr>
              <w:t>Comité directeur du Conseil de gestion du portefeuille</w:t>
            </w:r>
          </w:p>
        </w:tc>
      </w:tr>
      <w:tr w:rsidR="00807E0F" w:rsidRPr="00B934B9" w:rsidTr="00C96B78">
        <w:tc>
          <w:tcPr>
            <w:tcW w:w="1791" w:type="dxa"/>
            <w:shd w:val="clear" w:color="auto" w:fill="auto"/>
          </w:tcPr>
          <w:p w:rsidR="00807E0F" w:rsidRPr="007B301F" w:rsidRDefault="00807E0F" w:rsidP="00C96B78">
            <w:pPr>
              <w:rPr>
                <w:rFonts w:ascii="Arial" w:hAnsi="Arial" w:cs="Arial"/>
                <w:color w:val="000000" w:themeColor="text1"/>
                <w:sz w:val="20"/>
                <w:szCs w:val="20"/>
                <w:lang w:val="fr-CA"/>
              </w:rPr>
            </w:pPr>
            <w:r w:rsidRPr="007B301F">
              <w:rPr>
                <w:rFonts w:ascii="Arial" w:hAnsi="Arial" w:cs="Arial"/>
                <w:color w:val="000000" w:themeColor="text1"/>
                <w:sz w:val="20"/>
                <w:szCs w:val="20"/>
                <w:lang w:val="fr-CA"/>
              </w:rPr>
              <w:t>CDGS</w:t>
            </w:r>
          </w:p>
        </w:tc>
        <w:tc>
          <w:tcPr>
            <w:tcW w:w="8397" w:type="dxa"/>
            <w:shd w:val="clear" w:color="auto" w:fill="auto"/>
          </w:tcPr>
          <w:p w:rsidR="00807E0F" w:rsidRPr="007B301F" w:rsidRDefault="00807E0F" w:rsidP="00C96B78">
            <w:pPr>
              <w:rPr>
                <w:rFonts w:ascii="Arial" w:hAnsi="Arial" w:cs="Arial"/>
                <w:color w:val="000000" w:themeColor="text1"/>
                <w:sz w:val="20"/>
                <w:szCs w:val="20"/>
                <w:lang w:val="fr-CA"/>
              </w:rPr>
            </w:pPr>
            <w:r w:rsidRPr="007B301F">
              <w:rPr>
                <w:rFonts w:ascii="Arial" w:hAnsi="Arial" w:cs="Arial"/>
                <w:color w:val="000000" w:themeColor="text1"/>
                <w:sz w:val="20"/>
                <w:szCs w:val="20"/>
                <w:lang w:val="fr-CA"/>
              </w:rPr>
              <w:t>Cadre de direction – Gestion du service</w:t>
            </w:r>
          </w:p>
        </w:tc>
      </w:tr>
      <w:tr w:rsidR="00807E0F" w:rsidRPr="00001E0D" w:rsidTr="00C96B78">
        <w:tc>
          <w:tcPr>
            <w:tcW w:w="1791" w:type="dxa"/>
            <w:shd w:val="clear" w:color="auto" w:fill="auto"/>
          </w:tcPr>
          <w:p w:rsidR="00807E0F" w:rsidRPr="007B301F" w:rsidRDefault="00807E0F" w:rsidP="00C96B78">
            <w:pPr>
              <w:rPr>
                <w:rFonts w:ascii="Arial" w:hAnsi="Arial" w:cs="Arial"/>
                <w:color w:val="000000" w:themeColor="text1"/>
                <w:sz w:val="20"/>
                <w:szCs w:val="20"/>
                <w:lang w:val="fr-CA"/>
              </w:rPr>
            </w:pPr>
            <w:r>
              <w:rPr>
                <w:rFonts w:ascii="Arial" w:hAnsi="Arial" w:cs="Arial"/>
                <w:color w:val="000000" w:themeColor="text1"/>
                <w:sz w:val="20"/>
                <w:szCs w:val="20"/>
                <w:lang w:val="fr-CA"/>
              </w:rPr>
              <w:t>CEI</w:t>
            </w:r>
          </w:p>
        </w:tc>
        <w:tc>
          <w:tcPr>
            <w:tcW w:w="8397" w:type="dxa"/>
            <w:shd w:val="clear" w:color="auto" w:fill="auto"/>
          </w:tcPr>
          <w:p w:rsidR="00807E0F" w:rsidRPr="007B301F" w:rsidRDefault="00807E0F" w:rsidP="00C96B78">
            <w:pPr>
              <w:rPr>
                <w:rFonts w:ascii="Arial" w:hAnsi="Arial" w:cs="Arial"/>
                <w:color w:val="000000" w:themeColor="text1"/>
                <w:sz w:val="20"/>
                <w:szCs w:val="20"/>
                <w:lang w:val="fr-CA"/>
              </w:rPr>
            </w:pPr>
            <w:r>
              <w:rPr>
                <w:rFonts w:ascii="Arial" w:hAnsi="Arial" w:cs="Arial"/>
                <w:color w:val="000000" w:themeColor="text1"/>
                <w:sz w:val="20"/>
                <w:szCs w:val="20"/>
                <w:lang w:val="fr-CA"/>
              </w:rPr>
              <w:t>Comité d’examen interne</w:t>
            </w:r>
          </w:p>
        </w:tc>
      </w:tr>
      <w:tr w:rsidR="00807E0F" w:rsidRPr="00001E0D" w:rsidTr="00C96B78">
        <w:tc>
          <w:tcPr>
            <w:tcW w:w="1791" w:type="dxa"/>
            <w:shd w:val="clear" w:color="auto" w:fill="auto"/>
          </w:tcPr>
          <w:p w:rsidR="00807E0F" w:rsidRPr="007B301F" w:rsidRDefault="00807E0F" w:rsidP="00C96B78">
            <w:pPr>
              <w:rPr>
                <w:rFonts w:ascii="Arial" w:hAnsi="Arial" w:cs="Arial"/>
                <w:color w:val="000000" w:themeColor="text1"/>
                <w:sz w:val="20"/>
                <w:szCs w:val="20"/>
                <w:lang w:val="fr-CA"/>
              </w:rPr>
            </w:pPr>
            <w:r w:rsidRPr="007B301F">
              <w:rPr>
                <w:rFonts w:ascii="Arial" w:hAnsi="Arial" w:cs="Arial"/>
                <w:color w:val="000000" w:themeColor="text1"/>
                <w:sz w:val="20"/>
                <w:szCs w:val="20"/>
                <w:lang w:val="fr-CA"/>
              </w:rPr>
              <w:t>CF</w:t>
            </w:r>
          </w:p>
        </w:tc>
        <w:tc>
          <w:tcPr>
            <w:tcW w:w="8397" w:type="dxa"/>
            <w:shd w:val="clear" w:color="auto" w:fill="auto"/>
          </w:tcPr>
          <w:p w:rsidR="00807E0F" w:rsidRPr="007B301F" w:rsidRDefault="00807E0F" w:rsidP="00C96B78">
            <w:pPr>
              <w:rPr>
                <w:rFonts w:ascii="Arial" w:hAnsi="Arial" w:cs="Arial"/>
                <w:color w:val="000000" w:themeColor="text1"/>
                <w:sz w:val="20"/>
                <w:szCs w:val="20"/>
                <w:lang w:val="fr-CA"/>
              </w:rPr>
            </w:pPr>
            <w:r w:rsidRPr="007B301F">
              <w:rPr>
                <w:rFonts w:ascii="Arial" w:hAnsi="Arial" w:cs="Arial"/>
                <w:color w:val="000000" w:themeColor="text1"/>
                <w:sz w:val="20"/>
                <w:szCs w:val="20"/>
                <w:lang w:val="fr-CA"/>
              </w:rPr>
              <w:t>Centre financier</w:t>
            </w:r>
          </w:p>
        </w:tc>
      </w:tr>
      <w:tr w:rsidR="00807E0F" w:rsidRPr="00001E0D" w:rsidTr="00C96B78">
        <w:tc>
          <w:tcPr>
            <w:tcW w:w="1791" w:type="dxa"/>
            <w:shd w:val="clear" w:color="auto" w:fill="auto"/>
          </w:tcPr>
          <w:p w:rsidR="00807E0F" w:rsidRPr="007B301F" w:rsidRDefault="00807E0F" w:rsidP="00C96B78">
            <w:pPr>
              <w:rPr>
                <w:rFonts w:ascii="Arial" w:hAnsi="Arial" w:cs="Arial"/>
                <w:color w:val="000000" w:themeColor="text1"/>
                <w:sz w:val="20"/>
                <w:szCs w:val="20"/>
                <w:lang w:val="fr-CA"/>
              </w:rPr>
            </w:pPr>
            <w:r w:rsidRPr="007B301F">
              <w:rPr>
                <w:rFonts w:ascii="Arial" w:hAnsi="Arial" w:cs="Arial"/>
                <w:color w:val="000000" w:themeColor="text1"/>
                <w:sz w:val="20"/>
                <w:szCs w:val="20"/>
                <w:lang w:val="fr-CA"/>
              </w:rPr>
              <w:t>CFD</w:t>
            </w:r>
          </w:p>
        </w:tc>
        <w:tc>
          <w:tcPr>
            <w:tcW w:w="8397" w:type="dxa"/>
            <w:shd w:val="clear" w:color="auto" w:fill="auto"/>
          </w:tcPr>
          <w:p w:rsidR="00807E0F" w:rsidRPr="007B301F" w:rsidRDefault="00807E0F" w:rsidP="00C96B78">
            <w:pPr>
              <w:rPr>
                <w:rFonts w:ascii="Arial" w:hAnsi="Arial" w:cs="Arial"/>
                <w:color w:val="000000" w:themeColor="text1"/>
                <w:sz w:val="20"/>
                <w:szCs w:val="20"/>
                <w:lang w:val="fr-CA"/>
              </w:rPr>
            </w:pPr>
            <w:r w:rsidRPr="007B301F">
              <w:rPr>
                <w:rFonts w:ascii="Arial" w:hAnsi="Arial" w:cs="Arial"/>
                <w:color w:val="000000" w:themeColor="text1"/>
                <w:sz w:val="20"/>
                <w:szCs w:val="20"/>
                <w:lang w:val="fr-CA"/>
              </w:rPr>
              <w:t>Comptes à fins déterminées</w:t>
            </w:r>
          </w:p>
        </w:tc>
      </w:tr>
      <w:tr w:rsidR="00807E0F" w:rsidRPr="00001E0D" w:rsidTr="00C96B78">
        <w:tc>
          <w:tcPr>
            <w:tcW w:w="1791" w:type="dxa"/>
            <w:shd w:val="clear" w:color="auto" w:fill="auto"/>
          </w:tcPr>
          <w:p w:rsidR="00807E0F" w:rsidRPr="007B301F" w:rsidRDefault="00807E0F" w:rsidP="00C96B78">
            <w:pPr>
              <w:rPr>
                <w:rFonts w:ascii="Arial" w:hAnsi="Arial" w:cs="Arial"/>
                <w:color w:val="000000" w:themeColor="text1"/>
                <w:sz w:val="20"/>
                <w:szCs w:val="20"/>
                <w:lang w:val="fr-CA"/>
              </w:rPr>
            </w:pPr>
            <w:r w:rsidRPr="007B301F">
              <w:rPr>
                <w:rFonts w:ascii="Arial" w:hAnsi="Arial" w:cs="Arial"/>
                <w:color w:val="000000" w:themeColor="text1"/>
                <w:sz w:val="20"/>
                <w:szCs w:val="20"/>
                <w:lang w:val="fr-CA"/>
              </w:rPr>
              <w:t>CGF</w:t>
            </w:r>
          </w:p>
        </w:tc>
        <w:tc>
          <w:tcPr>
            <w:tcW w:w="8397" w:type="dxa"/>
            <w:shd w:val="clear" w:color="auto" w:fill="auto"/>
          </w:tcPr>
          <w:p w:rsidR="00807E0F" w:rsidRPr="007B301F" w:rsidRDefault="00807E0F" w:rsidP="00C96B78">
            <w:pPr>
              <w:rPr>
                <w:rFonts w:ascii="Arial" w:hAnsi="Arial" w:cs="Arial"/>
                <w:color w:val="000000" w:themeColor="text1"/>
                <w:sz w:val="20"/>
                <w:szCs w:val="20"/>
                <w:lang w:val="fr-CA"/>
              </w:rPr>
            </w:pPr>
            <w:r w:rsidRPr="007B301F">
              <w:rPr>
                <w:rFonts w:ascii="Arial" w:hAnsi="Arial" w:cs="Arial"/>
                <w:color w:val="000000" w:themeColor="text1"/>
                <w:sz w:val="20"/>
                <w:szCs w:val="20"/>
                <w:lang w:val="fr-CA"/>
              </w:rPr>
              <w:t>Conseiller en gestion financière</w:t>
            </w:r>
          </w:p>
        </w:tc>
      </w:tr>
      <w:tr w:rsidR="00807E0F" w:rsidRPr="00E829E5" w:rsidTr="00C96B78">
        <w:tc>
          <w:tcPr>
            <w:tcW w:w="1791" w:type="dxa"/>
            <w:shd w:val="clear" w:color="auto" w:fill="auto"/>
          </w:tcPr>
          <w:p w:rsidR="00807E0F" w:rsidRPr="007B301F" w:rsidRDefault="00807E0F" w:rsidP="00C96B78">
            <w:pPr>
              <w:rPr>
                <w:rFonts w:ascii="Arial" w:hAnsi="Arial" w:cs="Arial"/>
                <w:color w:val="000000" w:themeColor="text1"/>
                <w:sz w:val="20"/>
                <w:szCs w:val="20"/>
                <w:lang w:val="fr-CA"/>
              </w:rPr>
            </w:pPr>
            <w:r>
              <w:rPr>
                <w:rFonts w:ascii="Arial" w:hAnsi="Arial" w:cs="Arial"/>
                <w:color w:val="000000" w:themeColor="text1"/>
                <w:sz w:val="20"/>
                <w:szCs w:val="20"/>
                <w:lang w:val="fr-CA"/>
              </w:rPr>
              <w:t>CGM</w:t>
            </w:r>
          </w:p>
        </w:tc>
        <w:tc>
          <w:tcPr>
            <w:tcW w:w="8397" w:type="dxa"/>
            <w:shd w:val="clear" w:color="auto" w:fill="auto"/>
          </w:tcPr>
          <w:p w:rsidR="00807E0F" w:rsidRPr="007B301F" w:rsidRDefault="00807E0F" w:rsidP="00C96B78">
            <w:pPr>
              <w:rPr>
                <w:rFonts w:ascii="Arial" w:hAnsi="Arial" w:cs="Arial"/>
                <w:color w:val="000000" w:themeColor="text1"/>
                <w:sz w:val="20"/>
                <w:szCs w:val="20"/>
                <w:lang w:val="fr-CA"/>
              </w:rPr>
            </w:pPr>
            <w:r>
              <w:rPr>
                <w:rFonts w:ascii="Arial" w:hAnsi="Arial" w:cs="Arial"/>
                <w:color w:val="000000" w:themeColor="text1"/>
                <w:sz w:val="20"/>
                <w:szCs w:val="20"/>
                <w:lang w:val="fr-CA"/>
              </w:rPr>
              <w:t>Comité de gestion ministérielle</w:t>
            </w:r>
          </w:p>
        </w:tc>
      </w:tr>
      <w:tr w:rsidR="00807E0F" w:rsidRPr="00B934B9" w:rsidTr="00C96B78">
        <w:tc>
          <w:tcPr>
            <w:tcW w:w="1791" w:type="dxa"/>
            <w:shd w:val="clear" w:color="auto" w:fill="auto"/>
          </w:tcPr>
          <w:p w:rsidR="00807E0F" w:rsidRPr="007B301F" w:rsidRDefault="00807E0F" w:rsidP="00C96B78">
            <w:pPr>
              <w:rPr>
                <w:rFonts w:ascii="Arial" w:hAnsi="Arial" w:cs="Arial"/>
                <w:color w:val="000000" w:themeColor="text1"/>
                <w:sz w:val="20"/>
                <w:szCs w:val="20"/>
                <w:lang w:val="fr-CA"/>
              </w:rPr>
            </w:pPr>
            <w:r w:rsidRPr="007B301F">
              <w:rPr>
                <w:rFonts w:ascii="Arial" w:hAnsi="Arial" w:cs="Arial"/>
                <w:color w:val="000000" w:themeColor="text1"/>
                <w:sz w:val="20"/>
                <w:szCs w:val="20"/>
                <w:lang w:val="fr-CA"/>
              </w:rPr>
              <w:t>CGP</w:t>
            </w:r>
          </w:p>
        </w:tc>
        <w:tc>
          <w:tcPr>
            <w:tcW w:w="8397" w:type="dxa"/>
            <w:shd w:val="clear" w:color="auto" w:fill="auto"/>
          </w:tcPr>
          <w:p w:rsidR="00807E0F" w:rsidRPr="007B301F" w:rsidRDefault="00807E0F" w:rsidP="00C96B78">
            <w:pPr>
              <w:rPr>
                <w:rFonts w:ascii="Arial" w:hAnsi="Arial" w:cs="Arial"/>
                <w:color w:val="000000" w:themeColor="text1"/>
                <w:sz w:val="20"/>
                <w:szCs w:val="20"/>
                <w:lang w:val="fr-CA"/>
              </w:rPr>
            </w:pPr>
            <w:r w:rsidRPr="007B301F">
              <w:rPr>
                <w:rFonts w:ascii="Arial" w:hAnsi="Arial" w:cs="Arial"/>
                <w:color w:val="000000" w:themeColor="text1"/>
                <w:sz w:val="20"/>
                <w:szCs w:val="20"/>
                <w:lang w:val="fr-CA"/>
              </w:rPr>
              <w:t>Comité de gestion du portefeuille</w:t>
            </w:r>
          </w:p>
        </w:tc>
      </w:tr>
      <w:tr w:rsidR="00807E0F" w:rsidRPr="00B934B9" w:rsidTr="00C96B78">
        <w:tc>
          <w:tcPr>
            <w:tcW w:w="1791" w:type="dxa"/>
            <w:shd w:val="clear" w:color="auto" w:fill="auto"/>
          </w:tcPr>
          <w:p w:rsidR="00807E0F" w:rsidRDefault="00807E0F" w:rsidP="00C96B78">
            <w:pPr>
              <w:rPr>
                <w:rFonts w:ascii="Arial" w:hAnsi="Arial" w:cs="Arial"/>
                <w:color w:val="000000" w:themeColor="text1"/>
                <w:sz w:val="20"/>
                <w:szCs w:val="20"/>
                <w:lang w:val="fr-CA"/>
              </w:rPr>
            </w:pPr>
            <w:r>
              <w:rPr>
                <w:rFonts w:ascii="Arial" w:hAnsi="Arial" w:cs="Arial"/>
                <w:color w:val="000000" w:themeColor="text1"/>
                <w:sz w:val="20"/>
                <w:szCs w:val="20"/>
                <w:lang w:val="fr-CA"/>
              </w:rPr>
              <w:t>CGPI</w:t>
            </w:r>
          </w:p>
        </w:tc>
        <w:tc>
          <w:tcPr>
            <w:tcW w:w="8397" w:type="dxa"/>
            <w:shd w:val="clear" w:color="auto" w:fill="auto"/>
          </w:tcPr>
          <w:p w:rsidR="00807E0F" w:rsidRDefault="00807E0F" w:rsidP="00C96B78">
            <w:pPr>
              <w:rPr>
                <w:rFonts w:ascii="Arial" w:hAnsi="Arial" w:cs="Arial"/>
                <w:color w:val="000000" w:themeColor="text1"/>
                <w:sz w:val="20"/>
                <w:szCs w:val="20"/>
                <w:lang w:val="fr-CA"/>
              </w:rPr>
            </w:pPr>
            <w:r>
              <w:rPr>
                <w:rFonts w:ascii="Arial" w:hAnsi="Arial" w:cs="Arial"/>
                <w:color w:val="000000" w:themeColor="text1"/>
                <w:sz w:val="20"/>
                <w:szCs w:val="20"/>
                <w:lang w:val="fr-CA"/>
              </w:rPr>
              <w:t>Conseil des grands projets et des investissements</w:t>
            </w:r>
          </w:p>
        </w:tc>
      </w:tr>
      <w:tr w:rsidR="00807E0F" w:rsidRPr="00B934B9" w:rsidTr="00C96B78">
        <w:tc>
          <w:tcPr>
            <w:tcW w:w="1791" w:type="dxa"/>
            <w:shd w:val="clear" w:color="auto" w:fill="auto"/>
          </w:tcPr>
          <w:p w:rsidR="00807E0F" w:rsidRDefault="00807E0F" w:rsidP="00C96B78">
            <w:pPr>
              <w:rPr>
                <w:rFonts w:ascii="Arial" w:hAnsi="Arial" w:cs="Arial"/>
                <w:color w:val="000000" w:themeColor="text1"/>
                <w:sz w:val="20"/>
                <w:szCs w:val="20"/>
                <w:lang w:val="fr-CA"/>
              </w:rPr>
            </w:pPr>
            <w:r>
              <w:rPr>
                <w:rFonts w:ascii="Arial" w:hAnsi="Arial" w:cs="Arial"/>
                <w:color w:val="000000" w:themeColor="text1"/>
                <w:sz w:val="20"/>
                <w:szCs w:val="20"/>
                <w:lang w:val="fr-CA"/>
              </w:rPr>
              <w:t>CGQJ</w:t>
            </w:r>
          </w:p>
        </w:tc>
        <w:tc>
          <w:tcPr>
            <w:tcW w:w="8397" w:type="dxa"/>
            <w:shd w:val="clear" w:color="auto" w:fill="auto"/>
          </w:tcPr>
          <w:p w:rsidR="00807E0F" w:rsidRDefault="00807E0F" w:rsidP="00C96B78">
            <w:pPr>
              <w:rPr>
                <w:rFonts w:ascii="Arial" w:hAnsi="Arial" w:cs="Arial"/>
                <w:color w:val="000000" w:themeColor="text1"/>
                <w:sz w:val="20"/>
                <w:szCs w:val="20"/>
                <w:lang w:val="fr-CA"/>
              </w:rPr>
            </w:pPr>
            <w:r>
              <w:rPr>
                <w:rFonts w:ascii="Arial" w:hAnsi="Arial" w:cs="Arial"/>
                <w:color w:val="000000" w:themeColor="text1"/>
                <w:sz w:val="20"/>
                <w:szCs w:val="20"/>
                <w:lang w:val="fr-CA"/>
              </w:rPr>
              <w:t>Comité de gestion des questions juridiques</w:t>
            </w:r>
          </w:p>
        </w:tc>
      </w:tr>
      <w:tr w:rsidR="00807E0F" w:rsidRPr="00B934B9" w:rsidTr="00C96B78">
        <w:tc>
          <w:tcPr>
            <w:tcW w:w="1791" w:type="dxa"/>
            <w:shd w:val="clear" w:color="auto" w:fill="auto"/>
          </w:tcPr>
          <w:p w:rsidR="00807E0F" w:rsidRPr="007B301F" w:rsidRDefault="00807E0F" w:rsidP="00C96B78">
            <w:pPr>
              <w:rPr>
                <w:rFonts w:ascii="Arial" w:hAnsi="Arial" w:cs="Arial"/>
                <w:color w:val="000000" w:themeColor="text1"/>
                <w:sz w:val="20"/>
                <w:szCs w:val="20"/>
                <w:lang w:val="fr-CA"/>
              </w:rPr>
            </w:pPr>
            <w:r>
              <w:rPr>
                <w:rFonts w:ascii="Arial" w:hAnsi="Arial" w:cs="Arial"/>
                <w:color w:val="000000" w:themeColor="text1"/>
                <w:sz w:val="20"/>
                <w:szCs w:val="20"/>
                <w:lang w:val="fr-CA"/>
              </w:rPr>
              <w:t>CGS</w:t>
            </w:r>
          </w:p>
        </w:tc>
        <w:tc>
          <w:tcPr>
            <w:tcW w:w="8397" w:type="dxa"/>
            <w:shd w:val="clear" w:color="auto" w:fill="auto"/>
          </w:tcPr>
          <w:p w:rsidR="00807E0F" w:rsidRPr="007B301F" w:rsidRDefault="00807E0F" w:rsidP="00C96B78">
            <w:pPr>
              <w:rPr>
                <w:rFonts w:ascii="Arial" w:hAnsi="Arial" w:cs="Arial"/>
                <w:color w:val="000000" w:themeColor="text1"/>
                <w:sz w:val="20"/>
                <w:szCs w:val="20"/>
                <w:lang w:val="fr-CA"/>
              </w:rPr>
            </w:pPr>
            <w:r>
              <w:rPr>
                <w:rFonts w:ascii="Arial" w:hAnsi="Arial" w:cs="Arial"/>
                <w:color w:val="000000" w:themeColor="text1"/>
                <w:sz w:val="20"/>
                <w:szCs w:val="20"/>
                <w:lang w:val="fr-CA"/>
              </w:rPr>
              <w:t>Comité de gestion des services</w:t>
            </w:r>
          </w:p>
        </w:tc>
      </w:tr>
      <w:tr w:rsidR="00807E0F" w:rsidRPr="003006E5" w:rsidTr="00C96B78">
        <w:tc>
          <w:tcPr>
            <w:tcW w:w="1791" w:type="dxa"/>
            <w:shd w:val="clear" w:color="auto" w:fill="auto"/>
          </w:tcPr>
          <w:p w:rsidR="00807E0F" w:rsidRPr="007B301F" w:rsidRDefault="00807E0F" w:rsidP="00C96B78">
            <w:pPr>
              <w:rPr>
                <w:rFonts w:ascii="Arial" w:hAnsi="Arial" w:cs="Arial"/>
                <w:color w:val="000000" w:themeColor="text1"/>
                <w:sz w:val="20"/>
                <w:szCs w:val="20"/>
                <w:lang w:val="fr-CA"/>
              </w:rPr>
            </w:pPr>
            <w:r>
              <w:rPr>
                <w:rFonts w:ascii="Arial" w:hAnsi="Arial" w:cs="Arial"/>
                <w:color w:val="000000" w:themeColor="text1"/>
                <w:sz w:val="20"/>
                <w:szCs w:val="20"/>
                <w:lang w:val="fr-CA"/>
              </w:rPr>
              <w:t>CME</w:t>
            </w:r>
          </w:p>
        </w:tc>
        <w:tc>
          <w:tcPr>
            <w:tcW w:w="8397" w:type="dxa"/>
            <w:shd w:val="clear" w:color="auto" w:fill="auto"/>
          </w:tcPr>
          <w:p w:rsidR="00807E0F" w:rsidRPr="007B301F" w:rsidRDefault="00807E0F" w:rsidP="00C96B78">
            <w:pPr>
              <w:rPr>
                <w:rFonts w:ascii="Arial" w:hAnsi="Arial" w:cs="Arial"/>
                <w:color w:val="000000" w:themeColor="text1"/>
                <w:sz w:val="20"/>
                <w:szCs w:val="20"/>
                <w:lang w:val="fr-CA"/>
              </w:rPr>
            </w:pPr>
            <w:r>
              <w:rPr>
                <w:rFonts w:ascii="Arial" w:hAnsi="Arial" w:cs="Arial"/>
                <w:color w:val="000000" w:themeColor="text1"/>
                <w:sz w:val="20"/>
                <w:szCs w:val="20"/>
                <w:lang w:val="fr-CA"/>
              </w:rPr>
              <w:t>Comité ministérielle d’évaluation</w:t>
            </w:r>
          </w:p>
        </w:tc>
      </w:tr>
      <w:tr w:rsidR="00807E0F" w:rsidRPr="003006E5" w:rsidTr="00C96B78">
        <w:tc>
          <w:tcPr>
            <w:tcW w:w="1791" w:type="dxa"/>
            <w:shd w:val="clear" w:color="auto" w:fill="auto"/>
          </w:tcPr>
          <w:p w:rsidR="00807E0F" w:rsidRPr="007B301F" w:rsidRDefault="00807E0F" w:rsidP="00C96B78">
            <w:pPr>
              <w:rPr>
                <w:rFonts w:ascii="Arial" w:hAnsi="Arial" w:cs="Arial"/>
                <w:color w:val="000000" w:themeColor="text1"/>
                <w:sz w:val="20"/>
                <w:szCs w:val="20"/>
                <w:lang w:val="fr-CA"/>
              </w:rPr>
            </w:pPr>
            <w:r>
              <w:rPr>
                <w:rFonts w:ascii="Arial" w:hAnsi="Arial" w:cs="Arial"/>
                <w:color w:val="000000" w:themeColor="text1"/>
                <w:sz w:val="20"/>
                <w:szCs w:val="20"/>
                <w:lang w:val="fr-CA"/>
              </w:rPr>
              <w:t>CMV</w:t>
            </w:r>
          </w:p>
        </w:tc>
        <w:tc>
          <w:tcPr>
            <w:tcW w:w="8397" w:type="dxa"/>
            <w:shd w:val="clear" w:color="auto" w:fill="auto"/>
          </w:tcPr>
          <w:p w:rsidR="00807E0F" w:rsidRPr="007B301F" w:rsidRDefault="00807E0F" w:rsidP="00C96B78">
            <w:pPr>
              <w:rPr>
                <w:rFonts w:ascii="Arial" w:hAnsi="Arial" w:cs="Arial"/>
                <w:color w:val="000000" w:themeColor="text1"/>
                <w:sz w:val="20"/>
                <w:szCs w:val="20"/>
                <w:lang w:val="fr-CA"/>
              </w:rPr>
            </w:pPr>
            <w:r>
              <w:rPr>
                <w:rFonts w:ascii="Arial" w:hAnsi="Arial" w:cs="Arial"/>
                <w:color w:val="000000" w:themeColor="text1"/>
                <w:sz w:val="20"/>
                <w:szCs w:val="20"/>
                <w:lang w:val="fr-CA"/>
              </w:rPr>
              <w:t>Comité ministérielle de vérification</w:t>
            </w:r>
          </w:p>
        </w:tc>
      </w:tr>
      <w:tr w:rsidR="00807E0F" w:rsidRPr="00B934B9" w:rsidTr="00C96B78">
        <w:tc>
          <w:tcPr>
            <w:tcW w:w="1791" w:type="dxa"/>
            <w:shd w:val="clear" w:color="auto" w:fill="auto"/>
          </w:tcPr>
          <w:p w:rsidR="00807E0F" w:rsidRPr="007B301F" w:rsidRDefault="00807E0F" w:rsidP="00C96B78">
            <w:pPr>
              <w:rPr>
                <w:rFonts w:ascii="Arial" w:hAnsi="Arial" w:cs="Arial"/>
                <w:color w:val="000000" w:themeColor="text1"/>
                <w:sz w:val="20"/>
                <w:szCs w:val="20"/>
                <w:lang w:val="fr-CA"/>
              </w:rPr>
            </w:pPr>
            <w:r>
              <w:rPr>
                <w:rFonts w:ascii="Arial" w:hAnsi="Arial" w:cs="Arial"/>
                <w:color w:val="000000" w:themeColor="text1"/>
                <w:sz w:val="20"/>
                <w:szCs w:val="20"/>
                <w:lang w:val="fr-CA"/>
              </w:rPr>
              <w:t>CPRPSI</w:t>
            </w:r>
          </w:p>
        </w:tc>
        <w:tc>
          <w:tcPr>
            <w:tcW w:w="8397" w:type="dxa"/>
            <w:shd w:val="clear" w:color="auto" w:fill="auto"/>
          </w:tcPr>
          <w:p w:rsidR="00807E0F" w:rsidRPr="007B301F" w:rsidRDefault="00807E0F" w:rsidP="00C96B78">
            <w:pPr>
              <w:rPr>
                <w:rFonts w:ascii="Arial" w:hAnsi="Arial" w:cs="Arial"/>
                <w:color w:val="000000" w:themeColor="text1"/>
                <w:sz w:val="20"/>
                <w:szCs w:val="20"/>
                <w:lang w:val="fr-CA"/>
              </w:rPr>
            </w:pPr>
            <w:r>
              <w:rPr>
                <w:rFonts w:ascii="Arial" w:hAnsi="Arial" w:cs="Arial"/>
                <w:color w:val="000000" w:themeColor="text1"/>
                <w:sz w:val="20"/>
                <w:szCs w:val="20"/>
                <w:lang w:val="fr-CA"/>
              </w:rPr>
              <w:t>Comité de la protection des renseignements personnels et de la sécurité de l’information</w:t>
            </w:r>
          </w:p>
        </w:tc>
      </w:tr>
      <w:tr w:rsidR="00807E0F" w:rsidRPr="00B934B9" w:rsidTr="00C96B78">
        <w:tc>
          <w:tcPr>
            <w:tcW w:w="1791" w:type="dxa"/>
            <w:shd w:val="clear" w:color="auto" w:fill="auto"/>
          </w:tcPr>
          <w:p w:rsidR="00807E0F" w:rsidRPr="007B301F" w:rsidRDefault="00807E0F" w:rsidP="00C96B78">
            <w:pPr>
              <w:rPr>
                <w:rFonts w:ascii="Arial" w:hAnsi="Arial" w:cs="Arial"/>
                <w:color w:val="000000" w:themeColor="text1"/>
                <w:sz w:val="20"/>
                <w:szCs w:val="20"/>
                <w:lang w:val="fr-CA"/>
              </w:rPr>
            </w:pPr>
            <w:r w:rsidRPr="007B301F">
              <w:rPr>
                <w:rFonts w:ascii="Arial" w:hAnsi="Arial" w:cs="Arial"/>
                <w:color w:val="000000" w:themeColor="text1"/>
                <w:sz w:val="20"/>
                <w:szCs w:val="20"/>
                <w:lang w:val="fr-CA"/>
              </w:rPr>
              <w:t>CRG</w:t>
            </w:r>
          </w:p>
        </w:tc>
        <w:tc>
          <w:tcPr>
            <w:tcW w:w="8397" w:type="dxa"/>
            <w:shd w:val="clear" w:color="auto" w:fill="auto"/>
          </w:tcPr>
          <w:p w:rsidR="00807E0F" w:rsidRPr="007B301F" w:rsidRDefault="00807E0F" w:rsidP="00C96B78">
            <w:pPr>
              <w:rPr>
                <w:rFonts w:ascii="Arial" w:hAnsi="Arial" w:cs="Arial"/>
                <w:color w:val="000000" w:themeColor="text1"/>
                <w:sz w:val="20"/>
                <w:szCs w:val="20"/>
                <w:lang w:val="fr-CA"/>
              </w:rPr>
            </w:pPr>
            <w:r w:rsidRPr="007B301F">
              <w:rPr>
                <w:rFonts w:ascii="Arial" w:hAnsi="Arial" w:cs="Arial"/>
                <w:color w:val="000000" w:themeColor="text1"/>
                <w:sz w:val="20"/>
                <w:szCs w:val="20"/>
                <w:lang w:val="fr-CA"/>
              </w:rPr>
              <w:t>Cadre de responsabilisation de gestion</w:t>
            </w:r>
          </w:p>
        </w:tc>
      </w:tr>
      <w:tr w:rsidR="00807E0F" w:rsidRPr="00B934B9" w:rsidTr="00C96B78">
        <w:tc>
          <w:tcPr>
            <w:tcW w:w="1791" w:type="dxa"/>
            <w:shd w:val="clear" w:color="auto" w:fill="auto"/>
          </w:tcPr>
          <w:p w:rsidR="00807E0F" w:rsidRPr="007B301F" w:rsidRDefault="00807E0F" w:rsidP="00C96B78">
            <w:pPr>
              <w:rPr>
                <w:rFonts w:ascii="Arial" w:hAnsi="Arial" w:cs="Arial"/>
                <w:color w:val="000000" w:themeColor="text1"/>
                <w:sz w:val="20"/>
                <w:szCs w:val="20"/>
                <w:lang w:val="fr-CA"/>
              </w:rPr>
            </w:pPr>
            <w:r>
              <w:rPr>
                <w:rFonts w:ascii="Arial" w:hAnsi="Arial" w:cs="Arial"/>
                <w:color w:val="000000" w:themeColor="text1"/>
                <w:sz w:val="20"/>
                <w:szCs w:val="20"/>
                <w:lang w:val="fr-CA"/>
              </w:rPr>
              <w:t>CSMP</w:t>
            </w:r>
          </w:p>
        </w:tc>
        <w:tc>
          <w:tcPr>
            <w:tcW w:w="8397" w:type="dxa"/>
            <w:shd w:val="clear" w:color="auto" w:fill="auto"/>
          </w:tcPr>
          <w:p w:rsidR="00807E0F" w:rsidRPr="007B301F" w:rsidRDefault="00807E0F" w:rsidP="00C96B78">
            <w:pPr>
              <w:rPr>
                <w:rFonts w:ascii="Arial" w:hAnsi="Arial" w:cs="Arial"/>
                <w:color w:val="000000" w:themeColor="text1"/>
                <w:sz w:val="20"/>
                <w:szCs w:val="20"/>
                <w:lang w:val="fr-CA"/>
              </w:rPr>
            </w:pPr>
            <w:r>
              <w:rPr>
                <w:rFonts w:ascii="Arial" w:hAnsi="Arial" w:cs="Arial"/>
                <w:color w:val="000000" w:themeColor="text1"/>
                <w:sz w:val="20"/>
                <w:szCs w:val="20"/>
                <w:lang w:val="fr-CA"/>
              </w:rPr>
              <w:t>Comité du sous-ministre sur les politiques</w:t>
            </w:r>
          </w:p>
        </w:tc>
      </w:tr>
      <w:tr w:rsidR="00807E0F" w:rsidRPr="00001E0D" w:rsidTr="00C96B78">
        <w:tc>
          <w:tcPr>
            <w:tcW w:w="1791" w:type="dxa"/>
            <w:shd w:val="clear" w:color="auto" w:fill="auto"/>
          </w:tcPr>
          <w:p w:rsidR="00807E0F" w:rsidRPr="007B301F" w:rsidRDefault="00807E0F" w:rsidP="00C96B78">
            <w:pPr>
              <w:rPr>
                <w:rFonts w:ascii="Arial" w:hAnsi="Arial" w:cs="Arial"/>
                <w:color w:val="000000" w:themeColor="text1"/>
                <w:sz w:val="20"/>
                <w:szCs w:val="20"/>
                <w:lang w:val="fr-CA"/>
              </w:rPr>
            </w:pPr>
            <w:r w:rsidRPr="007B301F">
              <w:rPr>
                <w:rFonts w:ascii="Arial" w:hAnsi="Arial" w:cs="Arial"/>
                <w:color w:val="000000" w:themeColor="text1"/>
                <w:sz w:val="20"/>
                <w:szCs w:val="20"/>
                <w:lang w:val="fr-CA"/>
              </w:rPr>
              <w:t>CT</w:t>
            </w:r>
          </w:p>
        </w:tc>
        <w:tc>
          <w:tcPr>
            <w:tcW w:w="8397" w:type="dxa"/>
            <w:shd w:val="clear" w:color="auto" w:fill="auto"/>
          </w:tcPr>
          <w:p w:rsidR="00807E0F" w:rsidRPr="007B301F" w:rsidRDefault="00807E0F" w:rsidP="00C96B78">
            <w:pPr>
              <w:rPr>
                <w:rFonts w:ascii="Arial" w:hAnsi="Arial" w:cs="Arial"/>
                <w:color w:val="000000" w:themeColor="text1"/>
                <w:sz w:val="20"/>
                <w:szCs w:val="20"/>
                <w:lang w:val="fr-CA"/>
              </w:rPr>
            </w:pPr>
            <w:r w:rsidRPr="007B301F">
              <w:rPr>
                <w:rFonts w:ascii="Arial" w:hAnsi="Arial" w:cs="Arial"/>
                <w:color w:val="000000" w:themeColor="text1"/>
                <w:sz w:val="20"/>
                <w:szCs w:val="20"/>
                <w:lang w:val="fr-CA"/>
              </w:rPr>
              <w:t>Conseil du Trésor</w:t>
            </w:r>
          </w:p>
        </w:tc>
      </w:tr>
      <w:tr w:rsidR="00807E0F" w:rsidRPr="00B934B9" w:rsidTr="00C96B78">
        <w:tc>
          <w:tcPr>
            <w:tcW w:w="1791" w:type="dxa"/>
            <w:shd w:val="clear" w:color="auto" w:fill="auto"/>
          </w:tcPr>
          <w:p w:rsidR="00807E0F" w:rsidRDefault="00807E0F" w:rsidP="00C96B78">
            <w:pPr>
              <w:rPr>
                <w:rFonts w:ascii="Arial" w:hAnsi="Arial" w:cs="Arial"/>
                <w:color w:val="000000" w:themeColor="text1"/>
                <w:sz w:val="20"/>
                <w:szCs w:val="20"/>
                <w:lang w:val="fr-CA"/>
              </w:rPr>
            </w:pPr>
            <w:r>
              <w:rPr>
                <w:rFonts w:ascii="Arial" w:hAnsi="Arial" w:cs="Arial"/>
                <w:color w:val="000000" w:themeColor="text1"/>
                <w:sz w:val="20"/>
                <w:szCs w:val="20"/>
                <w:lang w:val="fr-CA"/>
              </w:rPr>
              <w:t>DGAPF</w:t>
            </w:r>
          </w:p>
        </w:tc>
        <w:tc>
          <w:tcPr>
            <w:tcW w:w="8397" w:type="dxa"/>
            <w:shd w:val="clear" w:color="auto" w:fill="auto"/>
          </w:tcPr>
          <w:p w:rsidR="00807E0F" w:rsidRDefault="00807E0F" w:rsidP="00C96B78">
            <w:pPr>
              <w:rPr>
                <w:rFonts w:ascii="Arial" w:hAnsi="Arial" w:cs="Arial"/>
                <w:color w:val="000000" w:themeColor="text1"/>
                <w:sz w:val="20"/>
                <w:szCs w:val="20"/>
                <w:lang w:val="fr-CA"/>
              </w:rPr>
            </w:pPr>
            <w:r>
              <w:rPr>
                <w:rFonts w:ascii="Arial" w:hAnsi="Arial" w:cs="Arial"/>
                <w:color w:val="000000" w:themeColor="text1"/>
                <w:sz w:val="20"/>
                <w:szCs w:val="20"/>
                <w:lang w:val="fr-CA"/>
              </w:rPr>
              <w:t>Direction générale de l’agent principal des finances</w:t>
            </w:r>
          </w:p>
        </w:tc>
      </w:tr>
      <w:tr w:rsidR="00807E0F" w:rsidRPr="00B934B9" w:rsidTr="00C96B78">
        <w:tc>
          <w:tcPr>
            <w:tcW w:w="1791" w:type="dxa"/>
            <w:shd w:val="clear" w:color="auto" w:fill="auto"/>
          </w:tcPr>
          <w:p w:rsidR="00807E0F" w:rsidRPr="007B301F" w:rsidRDefault="00807E0F" w:rsidP="00C96B78">
            <w:pPr>
              <w:rPr>
                <w:rFonts w:ascii="Arial" w:hAnsi="Arial" w:cs="Arial"/>
                <w:color w:val="000000" w:themeColor="text1"/>
                <w:sz w:val="20"/>
                <w:szCs w:val="20"/>
                <w:lang w:val="fr-CA"/>
              </w:rPr>
            </w:pPr>
            <w:r>
              <w:rPr>
                <w:rFonts w:ascii="Arial" w:hAnsi="Arial" w:cs="Arial"/>
                <w:color w:val="000000" w:themeColor="text1"/>
                <w:sz w:val="20"/>
                <w:szCs w:val="20"/>
                <w:lang w:val="fr-CA"/>
              </w:rPr>
              <w:t>DGOP</w:t>
            </w:r>
          </w:p>
        </w:tc>
        <w:tc>
          <w:tcPr>
            <w:tcW w:w="8397" w:type="dxa"/>
            <w:shd w:val="clear" w:color="auto" w:fill="auto"/>
          </w:tcPr>
          <w:p w:rsidR="00807E0F" w:rsidRPr="007B301F" w:rsidRDefault="00807E0F" w:rsidP="00C96B78">
            <w:pPr>
              <w:rPr>
                <w:rFonts w:ascii="Arial" w:hAnsi="Arial" w:cs="Arial"/>
                <w:color w:val="000000" w:themeColor="text1"/>
                <w:sz w:val="20"/>
                <w:szCs w:val="20"/>
                <w:lang w:val="fr-CA"/>
              </w:rPr>
            </w:pPr>
            <w:r>
              <w:rPr>
                <w:rFonts w:ascii="Arial" w:hAnsi="Arial" w:cs="Arial"/>
                <w:color w:val="000000" w:themeColor="text1"/>
                <w:sz w:val="20"/>
                <w:szCs w:val="20"/>
                <w:lang w:val="fr-CA"/>
              </w:rPr>
              <w:t>Direction générale des opérations de programmes</w:t>
            </w:r>
          </w:p>
        </w:tc>
      </w:tr>
      <w:tr w:rsidR="00807E0F" w:rsidRPr="00B934B9" w:rsidTr="00C96B78">
        <w:tc>
          <w:tcPr>
            <w:tcW w:w="1791" w:type="dxa"/>
            <w:shd w:val="clear" w:color="auto" w:fill="auto"/>
          </w:tcPr>
          <w:p w:rsidR="00807E0F" w:rsidRPr="007B301F" w:rsidRDefault="00807E0F" w:rsidP="00C96B78">
            <w:pPr>
              <w:rPr>
                <w:rFonts w:ascii="Arial" w:hAnsi="Arial" w:cs="Arial"/>
                <w:color w:val="000000" w:themeColor="text1"/>
                <w:sz w:val="20"/>
                <w:szCs w:val="20"/>
                <w:lang w:val="fr-CA"/>
              </w:rPr>
            </w:pPr>
            <w:r>
              <w:rPr>
                <w:rFonts w:ascii="Arial" w:hAnsi="Arial" w:cs="Arial"/>
                <w:color w:val="000000" w:themeColor="text1"/>
                <w:sz w:val="20"/>
                <w:szCs w:val="20"/>
                <w:lang w:val="fr-CA"/>
              </w:rPr>
              <w:t>DGPSS</w:t>
            </w:r>
          </w:p>
        </w:tc>
        <w:tc>
          <w:tcPr>
            <w:tcW w:w="8397" w:type="dxa"/>
            <w:shd w:val="clear" w:color="auto" w:fill="auto"/>
          </w:tcPr>
          <w:p w:rsidR="00807E0F" w:rsidRPr="007B301F" w:rsidRDefault="00807E0F" w:rsidP="00C96B78">
            <w:pPr>
              <w:rPr>
                <w:rFonts w:ascii="Arial" w:hAnsi="Arial" w:cs="Arial"/>
                <w:color w:val="000000" w:themeColor="text1"/>
                <w:sz w:val="20"/>
                <w:szCs w:val="20"/>
                <w:lang w:val="fr-CA"/>
              </w:rPr>
            </w:pPr>
            <w:r>
              <w:rPr>
                <w:rFonts w:ascii="Arial" w:hAnsi="Arial" w:cs="Arial"/>
                <w:color w:val="000000" w:themeColor="text1"/>
                <w:sz w:val="20"/>
                <w:szCs w:val="20"/>
                <w:lang w:val="fr-CA"/>
              </w:rPr>
              <w:t>Direction générale politique stratégique et service</w:t>
            </w:r>
          </w:p>
        </w:tc>
      </w:tr>
      <w:tr w:rsidR="00807E0F" w:rsidRPr="00B934B9" w:rsidTr="00C96B78">
        <w:tc>
          <w:tcPr>
            <w:tcW w:w="1791" w:type="dxa"/>
            <w:shd w:val="clear" w:color="auto" w:fill="auto"/>
          </w:tcPr>
          <w:p w:rsidR="00807E0F" w:rsidRPr="007B301F" w:rsidRDefault="00807E0F" w:rsidP="00C96B78">
            <w:pPr>
              <w:rPr>
                <w:rFonts w:ascii="Arial" w:hAnsi="Arial" w:cs="Arial"/>
                <w:color w:val="000000" w:themeColor="text1"/>
                <w:sz w:val="20"/>
                <w:szCs w:val="20"/>
                <w:lang w:val="fr-CA"/>
              </w:rPr>
            </w:pPr>
            <w:r>
              <w:rPr>
                <w:rFonts w:ascii="Arial" w:hAnsi="Arial" w:cs="Arial"/>
                <w:color w:val="000000" w:themeColor="text1"/>
                <w:sz w:val="20"/>
                <w:szCs w:val="20"/>
                <w:lang w:val="fr-CA"/>
              </w:rPr>
              <w:t>DIRCM</w:t>
            </w:r>
          </w:p>
        </w:tc>
        <w:tc>
          <w:tcPr>
            <w:tcW w:w="8397" w:type="dxa"/>
            <w:shd w:val="clear" w:color="auto" w:fill="auto"/>
          </w:tcPr>
          <w:p w:rsidR="00807E0F" w:rsidRPr="007B301F" w:rsidRDefault="00807E0F" w:rsidP="00C96B78">
            <w:pPr>
              <w:rPr>
                <w:rFonts w:ascii="Arial" w:hAnsi="Arial" w:cs="Arial"/>
                <w:color w:val="000000" w:themeColor="text1"/>
                <w:sz w:val="20"/>
                <w:szCs w:val="20"/>
                <w:lang w:val="fr-CA"/>
              </w:rPr>
            </w:pPr>
            <w:r>
              <w:rPr>
                <w:rFonts w:ascii="Arial" w:hAnsi="Arial" w:cs="Arial"/>
                <w:color w:val="000000" w:themeColor="text1"/>
                <w:sz w:val="20"/>
                <w:szCs w:val="20"/>
                <w:lang w:val="fr-CA"/>
              </w:rPr>
              <w:t>Direction intégrée de la responsabilité et de la comptabilité ministérielle</w:t>
            </w:r>
          </w:p>
        </w:tc>
      </w:tr>
      <w:tr w:rsidR="00807E0F" w:rsidRPr="00001E0D" w:rsidTr="00C96B78">
        <w:tc>
          <w:tcPr>
            <w:tcW w:w="1791" w:type="dxa"/>
            <w:shd w:val="clear" w:color="auto" w:fill="auto"/>
          </w:tcPr>
          <w:p w:rsidR="00807E0F" w:rsidRPr="007B301F" w:rsidRDefault="00807E0F" w:rsidP="00C96B78">
            <w:pPr>
              <w:rPr>
                <w:rFonts w:ascii="Arial" w:hAnsi="Arial" w:cs="Arial"/>
                <w:color w:val="000000" w:themeColor="text1"/>
                <w:sz w:val="20"/>
                <w:szCs w:val="20"/>
                <w:lang w:val="fr-CA"/>
              </w:rPr>
            </w:pPr>
            <w:r w:rsidRPr="007B301F">
              <w:rPr>
                <w:rFonts w:ascii="Arial" w:hAnsi="Arial" w:cs="Arial"/>
                <w:color w:val="000000" w:themeColor="text1"/>
                <w:sz w:val="20"/>
                <w:szCs w:val="20"/>
                <w:lang w:val="fr-CA"/>
              </w:rPr>
              <w:t>DRF</w:t>
            </w:r>
          </w:p>
        </w:tc>
        <w:tc>
          <w:tcPr>
            <w:tcW w:w="8397" w:type="dxa"/>
            <w:shd w:val="clear" w:color="auto" w:fill="auto"/>
          </w:tcPr>
          <w:p w:rsidR="00807E0F" w:rsidRPr="007B301F" w:rsidRDefault="00807E0F" w:rsidP="00C96B78">
            <w:pPr>
              <w:rPr>
                <w:rFonts w:ascii="Arial" w:hAnsi="Arial" w:cs="Arial"/>
                <w:color w:val="000000" w:themeColor="text1"/>
                <w:sz w:val="20"/>
                <w:szCs w:val="20"/>
                <w:lang w:val="fr-CA"/>
              </w:rPr>
            </w:pPr>
            <w:r w:rsidRPr="007B301F">
              <w:rPr>
                <w:rFonts w:ascii="Arial" w:hAnsi="Arial" w:cs="Arial"/>
                <w:color w:val="000000" w:themeColor="text1"/>
                <w:sz w:val="20"/>
                <w:szCs w:val="20"/>
                <w:lang w:val="fr-CA"/>
              </w:rPr>
              <w:t>Directeur régional des finances</w:t>
            </w:r>
          </w:p>
        </w:tc>
      </w:tr>
      <w:tr w:rsidR="00807E0F" w:rsidRPr="00B934B9" w:rsidTr="00C96B78">
        <w:tc>
          <w:tcPr>
            <w:tcW w:w="1791" w:type="dxa"/>
            <w:shd w:val="clear" w:color="auto" w:fill="auto"/>
          </w:tcPr>
          <w:p w:rsidR="00807E0F" w:rsidRPr="007B301F" w:rsidRDefault="00807E0F" w:rsidP="00C96B78">
            <w:pPr>
              <w:rPr>
                <w:rFonts w:ascii="Arial" w:hAnsi="Arial" w:cs="Arial"/>
                <w:color w:val="000000" w:themeColor="text1"/>
                <w:sz w:val="20"/>
                <w:szCs w:val="20"/>
                <w:lang w:val="fr-CA"/>
              </w:rPr>
            </w:pPr>
            <w:r>
              <w:rPr>
                <w:rFonts w:ascii="Arial" w:hAnsi="Arial" w:cs="Arial"/>
                <w:color w:val="000000" w:themeColor="text1"/>
                <w:sz w:val="20"/>
                <w:szCs w:val="20"/>
                <w:lang w:val="fr-CA"/>
              </w:rPr>
              <w:t>DSGF</w:t>
            </w:r>
          </w:p>
        </w:tc>
        <w:tc>
          <w:tcPr>
            <w:tcW w:w="8397" w:type="dxa"/>
            <w:shd w:val="clear" w:color="auto" w:fill="auto"/>
          </w:tcPr>
          <w:p w:rsidR="00807E0F" w:rsidRPr="007B301F" w:rsidRDefault="00807E0F" w:rsidP="00C96B78">
            <w:pPr>
              <w:rPr>
                <w:rFonts w:ascii="Arial" w:hAnsi="Arial" w:cs="Arial"/>
                <w:color w:val="000000" w:themeColor="text1"/>
                <w:sz w:val="20"/>
                <w:szCs w:val="20"/>
                <w:lang w:val="fr-CA"/>
              </w:rPr>
            </w:pPr>
            <w:r>
              <w:rPr>
                <w:rFonts w:ascii="Arial" w:hAnsi="Arial" w:cs="Arial"/>
                <w:color w:val="000000" w:themeColor="text1"/>
                <w:sz w:val="20"/>
                <w:szCs w:val="20"/>
                <w:lang w:val="fr-CA"/>
              </w:rPr>
              <w:t>Direction des services de gestion financière</w:t>
            </w:r>
          </w:p>
        </w:tc>
      </w:tr>
      <w:tr w:rsidR="00807E0F" w:rsidRPr="00B934B9" w:rsidTr="00C96B78">
        <w:tc>
          <w:tcPr>
            <w:tcW w:w="1791" w:type="dxa"/>
            <w:shd w:val="clear" w:color="auto" w:fill="auto"/>
          </w:tcPr>
          <w:p w:rsidR="00807E0F" w:rsidRPr="007B301F" w:rsidRDefault="00807E0F" w:rsidP="00C96B78">
            <w:pPr>
              <w:rPr>
                <w:rFonts w:ascii="Arial" w:hAnsi="Arial" w:cs="Arial"/>
                <w:color w:val="000000" w:themeColor="text1"/>
                <w:sz w:val="20"/>
                <w:szCs w:val="20"/>
                <w:lang w:val="fr-CA"/>
              </w:rPr>
            </w:pPr>
            <w:r w:rsidRPr="007B301F">
              <w:rPr>
                <w:rFonts w:ascii="Arial" w:hAnsi="Arial" w:cs="Arial"/>
                <w:color w:val="000000" w:themeColor="text1"/>
                <w:sz w:val="20"/>
                <w:szCs w:val="20"/>
                <w:lang w:val="fr-CA"/>
              </w:rPr>
              <w:t>EDMT</w:t>
            </w:r>
          </w:p>
        </w:tc>
        <w:tc>
          <w:tcPr>
            <w:tcW w:w="8397" w:type="dxa"/>
            <w:shd w:val="clear" w:color="auto" w:fill="auto"/>
          </w:tcPr>
          <w:p w:rsidR="00807E0F" w:rsidRPr="007B301F" w:rsidRDefault="00807E0F" w:rsidP="00C96B78">
            <w:pPr>
              <w:rPr>
                <w:rFonts w:ascii="Arial" w:hAnsi="Arial" w:cs="Arial"/>
                <w:color w:val="000000" w:themeColor="text1"/>
                <w:sz w:val="20"/>
                <w:szCs w:val="20"/>
                <w:lang w:val="fr-CA"/>
              </w:rPr>
            </w:pPr>
            <w:r w:rsidRPr="007B301F">
              <w:rPr>
                <w:rFonts w:ascii="Arial" w:hAnsi="Arial" w:cs="Arial"/>
                <w:color w:val="000000" w:themeColor="text1"/>
                <w:sz w:val="20"/>
                <w:szCs w:val="20"/>
                <w:lang w:val="fr-CA"/>
              </w:rPr>
              <w:t>Entente sur le développement du marché du travail</w:t>
            </w:r>
          </w:p>
        </w:tc>
      </w:tr>
      <w:tr w:rsidR="00807E0F" w:rsidRPr="00B934B9" w:rsidTr="00C96B78">
        <w:tc>
          <w:tcPr>
            <w:tcW w:w="1791" w:type="dxa"/>
            <w:shd w:val="clear" w:color="auto" w:fill="auto"/>
          </w:tcPr>
          <w:p w:rsidR="00807E0F" w:rsidRPr="007B301F" w:rsidRDefault="00807E0F" w:rsidP="00C96B78">
            <w:pPr>
              <w:rPr>
                <w:rFonts w:ascii="Arial" w:hAnsi="Arial" w:cs="Arial"/>
                <w:color w:val="000000" w:themeColor="text1"/>
                <w:sz w:val="20"/>
                <w:szCs w:val="20"/>
                <w:lang w:val="fr-CA"/>
              </w:rPr>
            </w:pPr>
            <w:r w:rsidRPr="007B301F">
              <w:rPr>
                <w:rFonts w:ascii="Arial" w:hAnsi="Arial" w:cs="Arial"/>
                <w:color w:val="000000" w:themeColor="text1"/>
                <w:sz w:val="20"/>
                <w:szCs w:val="20"/>
                <w:lang w:val="fr-CA"/>
              </w:rPr>
              <w:t>EDSC</w:t>
            </w:r>
          </w:p>
        </w:tc>
        <w:tc>
          <w:tcPr>
            <w:tcW w:w="8397" w:type="dxa"/>
            <w:shd w:val="clear" w:color="auto" w:fill="auto"/>
          </w:tcPr>
          <w:p w:rsidR="00807E0F" w:rsidRPr="007B301F" w:rsidRDefault="00807E0F" w:rsidP="00C96B78">
            <w:pPr>
              <w:rPr>
                <w:rFonts w:ascii="Arial" w:hAnsi="Arial" w:cs="Arial"/>
                <w:color w:val="000000" w:themeColor="text1"/>
                <w:sz w:val="20"/>
                <w:szCs w:val="20"/>
                <w:lang w:val="fr-CA"/>
              </w:rPr>
            </w:pPr>
            <w:r w:rsidRPr="007B301F">
              <w:rPr>
                <w:rFonts w:ascii="Arial" w:hAnsi="Arial" w:cs="Arial"/>
                <w:color w:val="000000" w:themeColor="text1"/>
                <w:sz w:val="20"/>
                <w:szCs w:val="20"/>
                <w:lang w:val="fr-CA"/>
              </w:rPr>
              <w:t>Emploi et Développement social Canada</w:t>
            </w:r>
          </w:p>
        </w:tc>
      </w:tr>
      <w:tr w:rsidR="00807E0F" w:rsidRPr="00001E0D" w:rsidTr="00C96B78">
        <w:tc>
          <w:tcPr>
            <w:tcW w:w="1791" w:type="dxa"/>
            <w:shd w:val="clear" w:color="auto" w:fill="auto"/>
          </w:tcPr>
          <w:p w:rsidR="00807E0F" w:rsidRPr="007B301F" w:rsidRDefault="00807E0F" w:rsidP="00C96B78">
            <w:pPr>
              <w:rPr>
                <w:rFonts w:ascii="Arial" w:hAnsi="Arial" w:cs="Arial"/>
                <w:color w:val="000000" w:themeColor="text1"/>
                <w:sz w:val="20"/>
                <w:szCs w:val="20"/>
                <w:lang w:val="fr-CA"/>
              </w:rPr>
            </w:pPr>
            <w:r w:rsidRPr="007B301F">
              <w:rPr>
                <w:rFonts w:ascii="Arial" w:hAnsi="Arial" w:cs="Arial"/>
                <w:color w:val="000000" w:themeColor="text1"/>
                <w:sz w:val="20"/>
                <w:szCs w:val="20"/>
                <w:lang w:val="fr-CA"/>
              </w:rPr>
              <w:t>F et E</w:t>
            </w:r>
          </w:p>
        </w:tc>
        <w:tc>
          <w:tcPr>
            <w:tcW w:w="8397" w:type="dxa"/>
            <w:shd w:val="clear" w:color="auto" w:fill="auto"/>
          </w:tcPr>
          <w:p w:rsidR="00807E0F" w:rsidRPr="007B301F" w:rsidRDefault="00807E0F" w:rsidP="00C96B78">
            <w:pPr>
              <w:rPr>
                <w:rFonts w:ascii="Arial" w:hAnsi="Arial" w:cs="Arial"/>
                <w:color w:val="000000" w:themeColor="text1"/>
                <w:sz w:val="20"/>
                <w:szCs w:val="20"/>
                <w:lang w:val="fr-CA"/>
              </w:rPr>
            </w:pPr>
            <w:r w:rsidRPr="007B301F">
              <w:rPr>
                <w:rFonts w:ascii="Arial" w:hAnsi="Arial" w:cs="Arial"/>
                <w:color w:val="000000" w:themeColor="text1"/>
                <w:sz w:val="20"/>
                <w:szCs w:val="20"/>
                <w:lang w:val="fr-CA"/>
              </w:rPr>
              <w:t>Fonctionnement et entretien</w:t>
            </w:r>
          </w:p>
        </w:tc>
      </w:tr>
      <w:tr w:rsidR="00807E0F" w:rsidRPr="00001E0D" w:rsidTr="00C96B78">
        <w:tc>
          <w:tcPr>
            <w:tcW w:w="1791" w:type="dxa"/>
            <w:shd w:val="clear" w:color="auto" w:fill="auto"/>
          </w:tcPr>
          <w:p w:rsidR="00807E0F" w:rsidRPr="007B301F" w:rsidRDefault="00807E0F" w:rsidP="00C96B78">
            <w:pPr>
              <w:rPr>
                <w:rFonts w:ascii="Arial" w:hAnsi="Arial" w:cs="Arial"/>
                <w:color w:val="000000" w:themeColor="text1"/>
                <w:sz w:val="20"/>
                <w:szCs w:val="20"/>
                <w:lang w:val="fr-CA"/>
              </w:rPr>
            </w:pPr>
            <w:r w:rsidRPr="007B301F">
              <w:rPr>
                <w:rFonts w:ascii="Arial" w:hAnsi="Arial" w:cs="Arial"/>
                <w:color w:val="000000" w:themeColor="text1"/>
                <w:sz w:val="20"/>
                <w:szCs w:val="20"/>
                <w:lang w:val="fr-CA"/>
              </w:rPr>
              <w:t>FIA</w:t>
            </w:r>
          </w:p>
        </w:tc>
        <w:tc>
          <w:tcPr>
            <w:tcW w:w="8397" w:type="dxa"/>
            <w:shd w:val="clear" w:color="auto" w:fill="auto"/>
          </w:tcPr>
          <w:p w:rsidR="00807E0F" w:rsidRPr="007B301F" w:rsidRDefault="00807E0F" w:rsidP="00C96B78">
            <w:pPr>
              <w:rPr>
                <w:rFonts w:ascii="Arial" w:hAnsi="Arial" w:cs="Arial"/>
                <w:color w:val="000000" w:themeColor="text1"/>
                <w:sz w:val="20"/>
                <w:szCs w:val="20"/>
                <w:lang w:val="fr-CA"/>
              </w:rPr>
            </w:pPr>
            <w:r w:rsidRPr="007B301F">
              <w:rPr>
                <w:rFonts w:ascii="Arial" w:hAnsi="Arial" w:cs="Arial"/>
                <w:color w:val="000000" w:themeColor="text1"/>
                <w:sz w:val="20"/>
                <w:szCs w:val="20"/>
                <w:lang w:val="fr-CA"/>
              </w:rPr>
              <w:t>Fonds d’investissement en apprentissage</w:t>
            </w:r>
          </w:p>
        </w:tc>
      </w:tr>
      <w:tr w:rsidR="00807E0F" w:rsidRPr="00E829E5" w:rsidTr="00C96B78">
        <w:tc>
          <w:tcPr>
            <w:tcW w:w="1791" w:type="dxa"/>
            <w:shd w:val="clear" w:color="auto" w:fill="auto"/>
          </w:tcPr>
          <w:p w:rsidR="00807E0F" w:rsidRPr="007B301F" w:rsidRDefault="00807E0F" w:rsidP="00C96B78">
            <w:pPr>
              <w:rPr>
                <w:rFonts w:ascii="Arial" w:hAnsi="Arial" w:cs="Arial"/>
                <w:color w:val="000000" w:themeColor="text1"/>
                <w:sz w:val="20"/>
                <w:szCs w:val="20"/>
                <w:lang w:val="fr-CA"/>
              </w:rPr>
            </w:pPr>
            <w:r>
              <w:rPr>
                <w:rFonts w:ascii="Arial" w:hAnsi="Arial" w:cs="Arial"/>
                <w:color w:val="000000" w:themeColor="text1"/>
                <w:sz w:val="20"/>
                <w:szCs w:val="20"/>
                <w:lang w:val="fr-CA"/>
              </w:rPr>
              <w:t>GRC</w:t>
            </w:r>
          </w:p>
        </w:tc>
        <w:tc>
          <w:tcPr>
            <w:tcW w:w="8397" w:type="dxa"/>
            <w:shd w:val="clear" w:color="auto" w:fill="auto"/>
          </w:tcPr>
          <w:p w:rsidR="00807E0F" w:rsidRPr="007B301F" w:rsidRDefault="00807E0F" w:rsidP="00C96B78">
            <w:pPr>
              <w:rPr>
                <w:rFonts w:ascii="Arial" w:hAnsi="Arial" w:cs="Arial"/>
                <w:color w:val="000000" w:themeColor="text1"/>
                <w:sz w:val="20"/>
                <w:szCs w:val="20"/>
                <w:lang w:val="fr-CA"/>
              </w:rPr>
            </w:pPr>
            <w:r>
              <w:rPr>
                <w:rFonts w:ascii="Arial" w:hAnsi="Arial" w:cs="Arial"/>
                <w:color w:val="000000" w:themeColor="text1"/>
                <w:sz w:val="20"/>
                <w:szCs w:val="20"/>
                <w:lang w:val="fr-CA"/>
              </w:rPr>
              <w:t>Gendarmerie royale du Canada</w:t>
            </w:r>
          </w:p>
        </w:tc>
      </w:tr>
      <w:tr w:rsidR="00807E0F" w:rsidRPr="00B934B9" w:rsidTr="00C96B78">
        <w:tc>
          <w:tcPr>
            <w:tcW w:w="1791" w:type="dxa"/>
            <w:shd w:val="clear" w:color="auto" w:fill="auto"/>
          </w:tcPr>
          <w:p w:rsidR="00807E0F" w:rsidRPr="007B301F" w:rsidRDefault="00807E0F" w:rsidP="00C96B78">
            <w:pPr>
              <w:rPr>
                <w:rFonts w:ascii="Arial" w:hAnsi="Arial" w:cs="Arial"/>
                <w:color w:val="000000" w:themeColor="text1"/>
                <w:sz w:val="20"/>
                <w:szCs w:val="20"/>
                <w:lang w:val="fr-CA"/>
              </w:rPr>
            </w:pPr>
            <w:r w:rsidRPr="007B301F">
              <w:rPr>
                <w:rFonts w:ascii="Arial" w:hAnsi="Arial" w:cs="Arial"/>
                <w:color w:val="000000" w:themeColor="text1"/>
                <w:sz w:val="20"/>
                <w:szCs w:val="20"/>
                <w:lang w:val="fr-CA"/>
              </w:rPr>
              <w:t>GRM</w:t>
            </w:r>
          </w:p>
        </w:tc>
        <w:tc>
          <w:tcPr>
            <w:tcW w:w="8397" w:type="dxa"/>
            <w:shd w:val="clear" w:color="auto" w:fill="auto"/>
          </w:tcPr>
          <w:p w:rsidR="00807E0F" w:rsidRPr="007B301F" w:rsidRDefault="00807E0F" w:rsidP="00C96B78">
            <w:pPr>
              <w:rPr>
                <w:rFonts w:ascii="Arial" w:hAnsi="Arial" w:cs="Arial"/>
                <w:color w:val="000000" w:themeColor="text1"/>
                <w:sz w:val="20"/>
                <w:szCs w:val="20"/>
                <w:lang w:val="fr-CA"/>
              </w:rPr>
            </w:pPr>
            <w:r w:rsidRPr="007B301F">
              <w:rPr>
                <w:rFonts w:ascii="Arial" w:hAnsi="Arial" w:cs="Arial"/>
                <w:color w:val="000000" w:themeColor="text1"/>
                <w:sz w:val="20"/>
                <w:szCs w:val="20"/>
                <w:lang w:val="fr-CA"/>
              </w:rPr>
              <w:t>Gestion des ressources ministérielles (unité sous la direction de l’AAPF)</w:t>
            </w:r>
          </w:p>
        </w:tc>
      </w:tr>
      <w:tr w:rsidR="00807E0F" w:rsidRPr="003006E5" w:rsidTr="00C96B78">
        <w:tc>
          <w:tcPr>
            <w:tcW w:w="1791" w:type="dxa"/>
            <w:shd w:val="clear" w:color="auto" w:fill="auto"/>
          </w:tcPr>
          <w:p w:rsidR="00807E0F" w:rsidRPr="007B301F" w:rsidRDefault="00807E0F" w:rsidP="00C96B78">
            <w:pPr>
              <w:rPr>
                <w:rFonts w:ascii="Arial" w:hAnsi="Arial" w:cs="Arial"/>
                <w:color w:val="000000" w:themeColor="text1"/>
                <w:sz w:val="20"/>
                <w:szCs w:val="20"/>
                <w:lang w:val="fr-CA"/>
              </w:rPr>
            </w:pPr>
            <w:r>
              <w:rPr>
                <w:rFonts w:ascii="Arial" w:hAnsi="Arial" w:cs="Arial"/>
                <w:color w:val="000000" w:themeColor="text1"/>
                <w:sz w:val="20"/>
                <w:szCs w:val="20"/>
                <w:lang w:val="fr-CA"/>
              </w:rPr>
              <w:t>IRC</w:t>
            </w:r>
          </w:p>
        </w:tc>
        <w:tc>
          <w:tcPr>
            <w:tcW w:w="8397" w:type="dxa"/>
            <w:shd w:val="clear" w:color="auto" w:fill="auto"/>
          </w:tcPr>
          <w:p w:rsidR="00807E0F" w:rsidRPr="007B301F" w:rsidRDefault="00807E0F" w:rsidP="00C96B78">
            <w:pPr>
              <w:rPr>
                <w:rFonts w:ascii="Arial" w:hAnsi="Arial" w:cs="Arial"/>
                <w:color w:val="000000" w:themeColor="text1"/>
                <w:sz w:val="20"/>
                <w:szCs w:val="20"/>
                <w:lang w:val="fr-CA"/>
              </w:rPr>
            </w:pPr>
            <w:r>
              <w:rPr>
                <w:rFonts w:ascii="Arial" w:hAnsi="Arial" w:cs="Arial"/>
                <w:color w:val="000000" w:themeColor="text1"/>
                <w:sz w:val="20"/>
                <w:szCs w:val="20"/>
                <w:lang w:val="fr-CA"/>
              </w:rPr>
              <w:t>Indicateurs de rendement clés</w:t>
            </w:r>
          </w:p>
        </w:tc>
      </w:tr>
      <w:tr w:rsidR="00807E0F" w:rsidRPr="00B934B9" w:rsidTr="00C96B78">
        <w:tc>
          <w:tcPr>
            <w:tcW w:w="1791" w:type="dxa"/>
            <w:shd w:val="clear" w:color="auto" w:fill="auto"/>
          </w:tcPr>
          <w:p w:rsidR="00807E0F" w:rsidRPr="007B301F" w:rsidRDefault="00807E0F" w:rsidP="00C96B78">
            <w:pPr>
              <w:rPr>
                <w:rFonts w:ascii="Arial" w:hAnsi="Arial" w:cs="Arial"/>
                <w:color w:val="000000" w:themeColor="text1"/>
                <w:sz w:val="20"/>
                <w:szCs w:val="20"/>
                <w:lang w:val="fr-CA"/>
              </w:rPr>
            </w:pPr>
            <w:r w:rsidRPr="007B301F">
              <w:rPr>
                <w:rFonts w:ascii="Arial" w:hAnsi="Arial" w:cs="Arial"/>
                <w:color w:val="000000" w:themeColor="text1"/>
                <w:sz w:val="20"/>
                <w:szCs w:val="20"/>
                <w:lang w:val="fr-CA"/>
              </w:rPr>
              <w:t>LGFP</w:t>
            </w:r>
          </w:p>
        </w:tc>
        <w:tc>
          <w:tcPr>
            <w:tcW w:w="8397" w:type="dxa"/>
            <w:shd w:val="clear" w:color="auto" w:fill="auto"/>
          </w:tcPr>
          <w:p w:rsidR="00807E0F" w:rsidRPr="007B301F" w:rsidRDefault="00807E0F" w:rsidP="00C96B78">
            <w:pPr>
              <w:rPr>
                <w:rFonts w:ascii="Arial" w:hAnsi="Arial" w:cs="Arial"/>
                <w:color w:val="000000" w:themeColor="text1"/>
                <w:sz w:val="20"/>
                <w:szCs w:val="20"/>
                <w:lang w:val="fr-CA"/>
              </w:rPr>
            </w:pPr>
            <w:r w:rsidRPr="007B301F">
              <w:rPr>
                <w:rFonts w:ascii="Arial" w:hAnsi="Arial" w:cs="Arial"/>
                <w:color w:val="000000" w:themeColor="text1"/>
                <w:sz w:val="20"/>
                <w:szCs w:val="20"/>
                <w:lang w:val="fr-CA"/>
              </w:rPr>
              <w:t>Loi sur la gestion des finances publiques</w:t>
            </w:r>
          </w:p>
        </w:tc>
      </w:tr>
      <w:tr w:rsidR="00807E0F" w:rsidRPr="00B934B9" w:rsidTr="00C96B78">
        <w:tc>
          <w:tcPr>
            <w:tcW w:w="1791" w:type="dxa"/>
            <w:shd w:val="clear" w:color="auto" w:fill="auto"/>
          </w:tcPr>
          <w:p w:rsidR="00807E0F" w:rsidRPr="007B301F" w:rsidRDefault="00807E0F" w:rsidP="00C96B78">
            <w:pPr>
              <w:rPr>
                <w:rFonts w:ascii="Arial" w:hAnsi="Arial" w:cs="Arial"/>
                <w:color w:val="000000" w:themeColor="text1"/>
                <w:sz w:val="20"/>
                <w:szCs w:val="20"/>
                <w:lang w:val="fr-CA"/>
              </w:rPr>
            </w:pPr>
            <w:r w:rsidRPr="007B301F">
              <w:rPr>
                <w:rFonts w:ascii="Arial" w:hAnsi="Arial" w:cs="Arial"/>
                <w:color w:val="000000" w:themeColor="text1"/>
                <w:sz w:val="20"/>
                <w:szCs w:val="20"/>
                <w:lang w:val="fr-CA"/>
              </w:rPr>
              <w:t>maSGE</w:t>
            </w:r>
          </w:p>
        </w:tc>
        <w:tc>
          <w:tcPr>
            <w:tcW w:w="8397" w:type="dxa"/>
            <w:shd w:val="clear" w:color="auto" w:fill="auto"/>
          </w:tcPr>
          <w:p w:rsidR="00807E0F" w:rsidRPr="007B301F" w:rsidRDefault="00807E0F" w:rsidP="00C96B78">
            <w:pPr>
              <w:rPr>
                <w:rFonts w:ascii="Arial" w:hAnsi="Arial" w:cs="Arial"/>
                <w:color w:val="000000" w:themeColor="text1"/>
                <w:sz w:val="20"/>
                <w:szCs w:val="20"/>
                <w:lang w:val="fr-CA"/>
              </w:rPr>
            </w:pPr>
            <w:r w:rsidRPr="007B301F">
              <w:rPr>
                <w:rFonts w:ascii="Arial" w:hAnsi="Arial" w:cs="Arial"/>
                <w:color w:val="000000" w:themeColor="text1"/>
                <w:sz w:val="20"/>
                <w:szCs w:val="20"/>
                <w:lang w:val="fr-CA"/>
              </w:rPr>
              <w:t>ma Solution de gestion d’entreprise</w:t>
            </w:r>
          </w:p>
        </w:tc>
      </w:tr>
      <w:tr w:rsidR="00807E0F" w:rsidRPr="00001E0D" w:rsidTr="00C96B78">
        <w:tc>
          <w:tcPr>
            <w:tcW w:w="1791" w:type="dxa"/>
            <w:shd w:val="clear" w:color="auto" w:fill="auto"/>
          </w:tcPr>
          <w:p w:rsidR="00807E0F" w:rsidRPr="007B301F" w:rsidRDefault="00807E0F" w:rsidP="00C96B78">
            <w:pPr>
              <w:rPr>
                <w:rFonts w:ascii="Arial" w:hAnsi="Arial" w:cs="Arial"/>
                <w:color w:val="000000" w:themeColor="text1"/>
                <w:sz w:val="20"/>
                <w:szCs w:val="20"/>
                <w:lang w:val="fr-CA"/>
              </w:rPr>
            </w:pPr>
            <w:r w:rsidRPr="007B301F">
              <w:rPr>
                <w:rFonts w:ascii="Arial" w:hAnsi="Arial" w:cs="Arial"/>
                <w:color w:val="000000" w:themeColor="text1"/>
                <w:sz w:val="20"/>
                <w:szCs w:val="20"/>
                <w:lang w:val="fr-CA"/>
              </w:rPr>
              <w:t>MC</w:t>
            </w:r>
          </w:p>
        </w:tc>
        <w:tc>
          <w:tcPr>
            <w:tcW w:w="8397" w:type="dxa"/>
            <w:shd w:val="clear" w:color="auto" w:fill="auto"/>
          </w:tcPr>
          <w:p w:rsidR="00807E0F" w:rsidRPr="007B301F" w:rsidRDefault="00807E0F" w:rsidP="00C96B78">
            <w:pPr>
              <w:rPr>
                <w:rFonts w:ascii="Arial" w:hAnsi="Arial" w:cs="Arial"/>
                <w:color w:val="000000" w:themeColor="text1"/>
                <w:sz w:val="20"/>
                <w:szCs w:val="20"/>
                <w:lang w:val="fr-CA"/>
              </w:rPr>
            </w:pPr>
            <w:r w:rsidRPr="007B301F">
              <w:rPr>
                <w:rFonts w:ascii="Arial" w:hAnsi="Arial" w:cs="Arial"/>
                <w:color w:val="000000" w:themeColor="text1"/>
                <w:sz w:val="20"/>
                <w:szCs w:val="20"/>
                <w:lang w:val="fr-CA"/>
              </w:rPr>
              <w:t>Mémoire au Cabinet</w:t>
            </w:r>
          </w:p>
        </w:tc>
      </w:tr>
      <w:tr w:rsidR="00807E0F" w:rsidRPr="00B934B9" w:rsidTr="00C96B78">
        <w:tc>
          <w:tcPr>
            <w:tcW w:w="1791" w:type="dxa"/>
            <w:shd w:val="clear" w:color="auto" w:fill="auto"/>
          </w:tcPr>
          <w:p w:rsidR="00807E0F" w:rsidRPr="007B301F" w:rsidRDefault="00807E0F" w:rsidP="00C96B78">
            <w:pPr>
              <w:rPr>
                <w:rFonts w:ascii="Arial" w:hAnsi="Arial" w:cs="Arial"/>
                <w:color w:val="000000" w:themeColor="text1"/>
                <w:sz w:val="20"/>
                <w:szCs w:val="20"/>
                <w:lang w:val="fr-CA"/>
              </w:rPr>
            </w:pPr>
            <w:r w:rsidRPr="007B301F">
              <w:rPr>
                <w:rFonts w:ascii="Arial" w:hAnsi="Arial" w:cs="Arial"/>
                <w:color w:val="000000" w:themeColor="text1"/>
                <w:sz w:val="20"/>
                <w:szCs w:val="20"/>
                <w:lang w:val="fr-CA"/>
              </w:rPr>
              <w:t>MDR</w:t>
            </w:r>
          </w:p>
        </w:tc>
        <w:tc>
          <w:tcPr>
            <w:tcW w:w="8397" w:type="dxa"/>
            <w:shd w:val="clear" w:color="auto" w:fill="auto"/>
          </w:tcPr>
          <w:p w:rsidR="00807E0F" w:rsidRPr="007B301F" w:rsidRDefault="00807E0F" w:rsidP="00C96B78">
            <w:pPr>
              <w:rPr>
                <w:rFonts w:ascii="Arial" w:hAnsi="Arial" w:cs="Arial"/>
                <w:color w:val="000000" w:themeColor="text1"/>
                <w:sz w:val="20"/>
                <w:szCs w:val="20"/>
                <w:lang w:val="fr-CA"/>
              </w:rPr>
            </w:pPr>
            <w:r w:rsidRPr="007B301F">
              <w:rPr>
                <w:rFonts w:ascii="Arial" w:hAnsi="Arial" w:cs="Arial"/>
                <w:color w:val="000000" w:themeColor="text1"/>
                <w:sz w:val="20"/>
                <w:szCs w:val="20"/>
                <w:lang w:val="fr-CA"/>
              </w:rPr>
              <w:t>Modèle de détermination des ressources</w:t>
            </w:r>
          </w:p>
        </w:tc>
      </w:tr>
      <w:tr w:rsidR="00807E0F" w:rsidRPr="00B934B9" w:rsidTr="00C96B78">
        <w:tc>
          <w:tcPr>
            <w:tcW w:w="1791" w:type="dxa"/>
            <w:shd w:val="clear" w:color="auto" w:fill="auto"/>
          </w:tcPr>
          <w:p w:rsidR="00807E0F" w:rsidRPr="007B301F" w:rsidRDefault="00807E0F" w:rsidP="00C96B78">
            <w:pPr>
              <w:rPr>
                <w:rFonts w:ascii="Arial" w:hAnsi="Arial" w:cs="Arial"/>
                <w:color w:val="000000" w:themeColor="text1"/>
                <w:sz w:val="20"/>
                <w:szCs w:val="20"/>
                <w:lang w:val="fr-CA"/>
              </w:rPr>
            </w:pPr>
            <w:r w:rsidRPr="007B301F">
              <w:rPr>
                <w:rFonts w:ascii="Arial" w:hAnsi="Arial" w:cs="Arial"/>
                <w:color w:val="000000" w:themeColor="text1"/>
                <w:sz w:val="20"/>
                <w:szCs w:val="20"/>
                <w:lang w:val="fr-CA"/>
              </w:rPr>
              <w:t>MJANR</w:t>
            </w:r>
          </w:p>
        </w:tc>
        <w:tc>
          <w:tcPr>
            <w:tcW w:w="8397" w:type="dxa"/>
            <w:shd w:val="clear" w:color="auto" w:fill="auto"/>
          </w:tcPr>
          <w:p w:rsidR="00807E0F" w:rsidRPr="007B301F" w:rsidRDefault="00807E0F" w:rsidP="00C96B78">
            <w:pPr>
              <w:rPr>
                <w:rFonts w:ascii="Arial" w:hAnsi="Arial" w:cs="Arial"/>
                <w:color w:val="000000" w:themeColor="text1"/>
                <w:sz w:val="20"/>
                <w:szCs w:val="20"/>
                <w:lang w:val="fr-CA"/>
              </w:rPr>
            </w:pPr>
            <w:r w:rsidRPr="007B301F">
              <w:rPr>
                <w:rFonts w:ascii="Arial" w:hAnsi="Arial" w:cs="Arial"/>
                <w:color w:val="000000" w:themeColor="text1"/>
                <w:sz w:val="20"/>
                <w:szCs w:val="20"/>
                <w:lang w:val="fr-CA"/>
              </w:rPr>
              <w:t>Mise à jour annuelle des niveaux de référence</w:t>
            </w:r>
          </w:p>
        </w:tc>
      </w:tr>
      <w:tr w:rsidR="00807E0F" w:rsidRPr="00E829E5" w:rsidTr="00C96B78">
        <w:tc>
          <w:tcPr>
            <w:tcW w:w="1791" w:type="dxa"/>
            <w:shd w:val="clear" w:color="auto" w:fill="auto"/>
          </w:tcPr>
          <w:p w:rsidR="00807E0F" w:rsidRDefault="00807E0F" w:rsidP="00C96B78">
            <w:pPr>
              <w:rPr>
                <w:rFonts w:ascii="Arial" w:hAnsi="Arial" w:cs="Arial"/>
                <w:color w:val="000000" w:themeColor="text1"/>
                <w:sz w:val="20"/>
                <w:szCs w:val="20"/>
                <w:lang w:val="fr-CA"/>
              </w:rPr>
            </w:pPr>
            <w:r>
              <w:rPr>
                <w:rFonts w:ascii="Arial" w:hAnsi="Arial" w:cs="Arial"/>
                <w:color w:val="000000" w:themeColor="text1"/>
                <w:sz w:val="20"/>
                <w:szCs w:val="20"/>
                <w:lang w:val="fr-CA"/>
              </w:rPr>
              <w:t>OI</w:t>
            </w:r>
          </w:p>
        </w:tc>
        <w:tc>
          <w:tcPr>
            <w:tcW w:w="8397" w:type="dxa"/>
            <w:shd w:val="clear" w:color="auto" w:fill="auto"/>
          </w:tcPr>
          <w:p w:rsidR="00807E0F" w:rsidRDefault="00807E0F" w:rsidP="00C96B78">
            <w:pPr>
              <w:rPr>
                <w:rFonts w:ascii="Arial" w:hAnsi="Arial" w:cs="Arial"/>
                <w:color w:val="000000" w:themeColor="text1"/>
                <w:sz w:val="20"/>
                <w:szCs w:val="20"/>
                <w:lang w:val="fr-CA"/>
              </w:rPr>
            </w:pPr>
            <w:r>
              <w:rPr>
                <w:rFonts w:ascii="Arial" w:hAnsi="Arial" w:cs="Arial"/>
                <w:color w:val="000000" w:themeColor="text1"/>
                <w:sz w:val="20"/>
                <w:szCs w:val="20"/>
                <w:lang w:val="fr-CA"/>
              </w:rPr>
              <w:t>Ordre interne</w:t>
            </w:r>
          </w:p>
        </w:tc>
      </w:tr>
      <w:tr w:rsidR="00807E0F" w:rsidRPr="00E829E5" w:rsidTr="00C96B78">
        <w:tc>
          <w:tcPr>
            <w:tcW w:w="1791" w:type="dxa"/>
            <w:shd w:val="clear" w:color="auto" w:fill="auto"/>
          </w:tcPr>
          <w:p w:rsidR="00807E0F" w:rsidRPr="007B301F" w:rsidRDefault="00807E0F" w:rsidP="00C96B78">
            <w:pPr>
              <w:rPr>
                <w:rFonts w:ascii="Arial" w:hAnsi="Arial" w:cs="Arial"/>
                <w:color w:val="000000" w:themeColor="text1"/>
                <w:sz w:val="20"/>
                <w:szCs w:val="20"/>
                <w:lang w:val="fr-CA"/>
              </w:rPr>
            </w:pPr>
            <w:r>
              <w:rPr>
                <w:rFonts w:ascii="Arial" w:hAnsi="Arial" w:cs="Arial"/>
                <w:color w:val="000000" w:themeColor="text1"/>
                <w:sz w:val="20"/>
                <w:szCs w:val="20"/>
                <w:lang w:val="fr-CA"/>
              </w:rPr>
              <w:t>OPS</w:t>
            </w:r>
          </w:p>
        </w:tc>
        <w:tc>
          <w:tcPr>
            <w:tcW w:w="8397" w:type="dxa"/>
            <w:shd w:val="clear" w:color="auto" w:fill="auto"/>
          </w:tcPr>
          <w:p w:rsidR="00807E0F" w:rsidRPr="007B301F" w:rsidRDefault="00807E0F" w:rsidP="00C96B78">
            <w:pPr>
              <w:rPr>
                <w:rFonts w:ascii="Arial" w:hAnsi="Arial" w:cs="Arial"/>
                <w:color w:val="000000" w:themeColor="text1"/>
                <w:sz w:val="20"/>
                <w:szCs w:val="20"/>
                <w:lang w:val="fr-CA"/>
              </w:rPr>
            </w:pPr>
            <w:r>
              <w:rPr>
                <w:rFonts w:ascii="Arial" w:hAnsi="Arial" w:cs="Arial"/>
                <w:color w:val="000000" w:themeColor="text1"/>
                <w:sz w:val="20"/>
                <w:szCs w:val="20"/>
                <w:lang w:val="fr-CA"/>
              </w:rPr>
              <w:t>Outil de prévisions salariales</w:t>
            </w:r>
          </w:p>
        </w:tc>
      </w:tr>
      <w:tr w:rsidR="00807E0F" w:rsidRPr="003006E5" w:rsidDel="00941BA7" w:rsidTr="00C96B78">
        <w:tc>
          <w:tcPr>
            <w:tcW w:w="1791" w:type="dxa"/>
            <w:shd w:val="clear" w:color="auto" w:fill="auto"/>
          </w:tcPr>
          <w:p w:rsidR="00807E0F" w:rsidRPr="007B301F" w:rsidDel="00941BA7" w:rsidRDefault="00807E0F" w:rsidP="00C96B78">
            <w:pPr>
              <w:rPr>
                <w:rFonts w:ascii="Arial" w:hAnsi="Arial" w:cs="Arial"/>
                <w:color w:val="000000" w:themeColor="text1"/>
                <w:sz w:val="20"/>
                <w:szCs w:val="20"/>
                <w:lang w:val="fr-CA"/>
              </w:rPr>
            </w:pPr>
            <w:r>
              <w:rPr>
                <w:rFonts w:ascii="Arial" w:hAnsi="Arial" w:cs="Arial"/>
                <w:color w:val="000000" w:themeColor="text1"/>
                <w:sz w:val="20"/>
                <w:szCs w:val="20"/>
                <w:lang w:val="fr-CA"/>
              </w:rPr>
              <w:t>PE</w:t>
            </w:r>
          </w:p>
        </w:tc>
        <w:tc>
          <w:tcPr>
            <w:tcW w:w="8397" w:type="dxa"/>
            <w:shd w:val="clear" w:color="auto" w:fill="auto"/>
          </w:tcPr>
          <w:p w:rsidR="00807E0F" w:rsidRPr="007B301F" w:rsidDel="00941BA7" w:rsidRDefault="00807E0F" w:rsidP="00C96B78">
            <w:pPr>
              <w:rPr>
                <w:rFonts w:ascii="Arial" w:hAnsi="Arial" w:cs="Arial"/>
                <w:color w:val="000000" w:themeColor="text1"/>
                <w:sz w:val="20"/>
                <w:szCs w:val="20"/>
                <w:lang w:val="fr-CA"/>
              </w:rPr>
            </w:pPr>
            <w:r>
              <w:rPr>
                <w:rFonts w:ascii="Arial" w:hAnsi="Arial" w:cs="Arial"/>
                <w:color w:val="000000" w:themeColor="text1"/>
                <w:sz w:val="20"/>
                <w:szCs w:val="20"/>
                <w:lang w:val="fr-CA"/>
              </w:rPr>
              <w:t>Protocole d’entente</w:t>
            </w:r>
          </w:p>
        </w:tc>
      </w:tr>
      <w:tr w:rsidR="00807E0F" w:rsidRPr="00B934B9" w:rsidTr="00C96B78">
        <w:tc>
          <w:tcPr>
            <w:tcW w:w="1791" w:type="dxa"/>
            <w:shd w:val="clear" w:color="auto" w:fill="auto"/>
          </w:tcPr>
          <w:p w:rsidR="00807E0F" w:rsidRPr="007B301F" w:rsidRDefault="00807E0F" w:rsidP="00C96B78">
            <w:pPr>
              <w:rPr>
                <w:rFonts w:ascii="Arial" w:hAnsi="Arial" w:cs="Arial"/>
                <w:color w:val="000000" w:themeColor="text1"/>
                <w:sz w:val="20"/>
                <w:szCs w:val="20"/>
                <w:lang w:val="fr-CA"/>
              </w:rPr>
            </w:pPr>
            <w:r w:rsidRPr="007B301F">
              <w:rPr>
                <w:rFonts w:ascii="Arial" w:hAnsi="Arial" w:cs="Arial"/>
                <w:color w:val="000000" w:themeColor="text1"/>
                <w:sz w:val="20"/>
                <w:szCs w:val="20"/>
                <w:lang w:val="fr-CA"/>
              </w:rPr>
              <w:t>PGD</w:t>
            </w:r>
          </w:p>
        </w:tc>
        <w:tc>
          <w:tcPr>
            <w:tcW w:w="8397" w:type="dxa"/>
            <w:shd w:val="clear" w:color="auto" w:fill="auto"/>
          </w:tcPr>
          <w:p w:rsidR="00807E0F" w:rsidRPr="007B301F" w:rsidRDefault="00807E0F" w:rsidP="00C96B78">
            <w:pPr>
              <w:rPr>
                <w:rFonts w:ascii="Arial" w:hAnsi="Arial" w:cs="Arial"/>
                <w:color w:val="000000" w:themeColor="text1"/>
                <w:sz w:val="20"/>
                <w:szCs w:val="20"/>
                <w:lang w:val="fr-CA"/>
              </w:rPr>
            </w:pPr>
            <w:r w:rsidRPr="007B301F">
              <w:rPr>
                <w:rFonts w:ascii="Arial" w:hAnsi="Arial" w:cs="Arial"/>
                <w:color w:val="000000" w:themeColor="text1"/>
                <w:sz w:val="20"/>
                <w:szCs w:val="20"/>
                <w:lang w:val="fr-CA"/>
              </w:rPr>
              <w:t>Planification et gestion des dépenses</w:t>
            </w:r>
          </w:p>
        </w:tc>
      </w:tr>
      <w:tr w:rsidR="00807E0F" w:rsidRPr="00B934B9" w:rsidTr="00C96B78">
        <w:tc>
          <w:tcPr>
            <w:tcW w:w="1791" w:type="dxa"/>
            <w:shd w:val="clear" w:color="auto" w:fill="auto"/>
          </w:tcPr>
          <w:p w:rsidR="00807E0F" w:rsidRPr="007B301F" w:rsidRDefault="00807E0F" w:rsidP="00C96B78">
            <w:pPr>
              <w:rPr>
                <w:rFonts w:ascii="Arial" w:hAnsi="Arial" w:cs="Arial"/>
                <w:color w:val="000000" w:themeColor="text1"/>
                <w:sz w:val="20"/>
                <w:szCs w:val="20"/>
                <w:lang w:val="fr-CA"/>
              </w:rPr>
            </w:pPr>
            <w:r w:rsidRPr="007B301F">
              <w:rPr>
                <w:rFonts w:ascii="Arial" w:hAnsi="Arial" w:cs="Arial"/>
                <w:color w:val="000000" w:themeColor="text1"/>
                <w:sz w:val="20"/>
                <w:szCs w:val="20"/>
                <w:lang w:val="fr-CA"/>
              </w:rPr>
              <w:t>PMTDS</w:t>
            </w:r>
          </w:p>
        </w:tc>
        <w:tc>
          <w:tcPr>
            <w:tcW w:w="8397" w:type="dxa"/>
            <w:shd w:val="clear" w:color="auto" w:fill="auto"/>
          </w:tcPr>
          <w:p w:rsidR="00807E0F" w:rsidRPr="007B301F" w:rsidRDefault="00807E0F" w:rsidP="00C96B78">
            <w:pPr>
              <w:rPr>
                <w:rFonts w:ascii="Arial" w:hAnsi="Arial" w:cs="Arial"/>
                <w:color w:val="000000" w:themeColor="text1"/>
                <w:sz w:val="20"/>
                <w:szCs w:val="20"/>
                <w:lang w:val="fr-CA"/>
              </w:rPr>
            </w:pPr>
            <w:r w:rsidRPr="007B301F">
              <w:rPr>
                <w:rFonts w:ascii="Arial" w:hAnsi="Arial" w:cs="Arial"/>
                <w:color w:val="000000" w:themeColor="text1"/>
                <w:sz w:val="20"/>
                <w:szCs w:val="20"/>
                <w:lang w:val="fr-CA"/>
              </w:rPr>
              <w:t>Programme du marché du travail et de développement social</w:t>
            </w:r>
          </w:p>
        </w:tc>
      </w:tr>
      <w:tr w:rsidR="00807E0F" w:rsidRPr="00B934B9" w:rsidTr="00C96B78">
        <w:tc>
          <w:tcPr>
            <w:tcW w:w="1791" w:type="dxa"/>
            <w:shd w:val="clear" w:color="auto" w:fill="auto"/>
          </w:tcPr>
          <w:p w:rsidR="00807E0F" w:rsidRPr="007B301F" w:rsidRDefault="00807E0F" w:rsidP="00C96B78">
            <w:pPr>
              <w:rPr>
                <w:rFonts w:ascii="Arial" w:hAnsi="Arial" w:cs="Arial"/>
                <w:color w:val="000000" w:themeColor="text1"/>
                <w:sz w:val="20"/>
                <w:szCs w:val="20"/>
                <w:lang w:val="fr-CA"/>
              </w:rPr>
            </w:pPr>
            <w:r>
              <w:rPr>
                <w:rFonts w:ascii="Arial" w:hAnsi="Arial" w:cs="Arial"/>
                <w:color w:val="000000" w:themeColor="text1"/>
                <w:sz w:val="20"/>
                <w:szCs w:val="20"/>
                <w:lang w:val="fr-CA"/>
              </w:rPr>
              <w:t>PUGE</w:t>
            </w:r>
          </w:p>
        </w:tc>
        <w:tc>
          <w:tcPr>
            <w:tcW w:w="8397" w:type="dxa"/>
            <w:shd w:val="clear" w:color="auto" w:fill="auto"/>
          </w:tcPr>
          <w:p w:rsidR="00807E0F" w:rsidRPr="007B301F" w:rsidRDefault="00807E0F" w:rsidP="00C96B78">
            <w:pPr>
              <w:rPr>
                <w:rFonts w:ascii="Arial" w:hAnsi="Arial" w:cs="Arial"/>
                <w:color w:val="000000" w:themeColor="text1"/>
                <w:sz w:val="20"/>
                <w:szCs w:val="20"/>
                <w:lang w:val="fr-CA"/>
              </w:rPr>
            </w:pPr>
            <w:r>
              <w:rPr>
                <w:rFonts w:ascii="Arial" w:hAnsi="Arial" w:cs="Arial"/>
                <w:color w:val="000000" w:themeColor="text1"/>
                <w:sz w:val="20"/>
                <w:szCs w:val="20"/>
                <w:lang w:val="fr-CA"/>
              </w:rPr>
              <w:t>Prestation universelle pour la garde d’enfants</w:t>
            </w:r>
          </w:p>
        </w:tc>
      </w:tr>
      <w:tr w:rsidR="00807E0F" w:rsidRPr="00B934B9" w:rsidTr="00C96B78">
        <w:tc>
          <w:tcPr>
            <w:tcW w:w="1791" w:type="dxa"/>
            <w:shd w:val="clear" w:color="auto" w:fill="auto"/>
          </w:tcPr>
          <w:p w:rsidR="00807E0F" w:rsidRPr="007B301F" w:rsidRDefault="00807E0F" w:rsidP="00C96B78">
            <w:pPr>
              <w:rPr>
                <w:rFonts w:ascii="Arial" w:hAnsi="Arial" w:cs="Arial"/>
                <w:color w:val="000000" w:themeColor="text1"/>
                <w:sz w:val="20"/>
                <w:szCs w:val="20"/>
                <w:lang w:val="fr-CA"/>
              </w:rPr>
            </w:pPr>
            <w:r w:rsidRPr="007B301F">
              <w:rPr>
                <w:rFonts w:ascii="Arial" w:hAnsi="Arial" w:cs="Arial"/>
                <w:color w:val="000000" w:themeColor="text1"/>
                <w:sz w:val="20"/>
                <w:szCs w:val="20"/>
                <w:lang w:val="fr-CA"/>
              </w:rPr>
              <w:lastRenderedPageBreak/>
              <w:t>RASE</w:t>
            </w:r>
          </w:p>
        </w:tc>
        <w:tc>
          <w:tcPr>
            <w:tcW w:w="8397" w:type="dxa"/>
            <w:shd w:val="clear" w:color="auto" w:fill="auto"/>
          </w:tcPr>
          <w:p w:rsidR="00807E0F" w:rsidRPr="007B301F" w:rsidRDefault="00807E0F" w:rsidP="00C96B78">
            <w:pPr>
              <w:rPr>
                <w:rFonts w:ascii="Arial" w:hAnsi="Arial" w:cs="Arial"/>
                <w:color w:val="000000" w:themeColor="text1"/>
                <w:sz w:val="20"/>
                <w:szCs w:val="20"/>
                <w:lang w:val="fr-CA"/>
              </w:rPr>
            </w:pPr>
            <w:r w:rsidRPr="007B301F">
              <w:rPr>
                <w:rFonts w:ascii="Arial" w:hAnsi="Arial" w:cs="Arial"/>
                <w:color w:val="000000" w:themeColor="text1"/>
                <w:sz w:val="20"/>
                <w:szCs w:val="20"/>
                <w:lang w:val="fr-CA"/>
              </w:rPr>
              <w:t>Régime d’avantages sociaux des employés</w:t>
            </w:r>
          </w:p>
        </w:tc>
      </w:tr>
      <w:tr w:rsidR="00807E0F" w:rsidRPr="00001E0D" w:rsidTr="00C96B78">
        <w:tc>
          <w:tcPr>
            <w:tcW w:w="1791" w:type="dxa"/>
            <w:shd w:val="clear" w:color="auto" w:fill="auto"/>
          </w:tcPr>
          <w:p w:rsidR="00807E0F" w:rsidRPr="007B301F" w:rsidRDefault="00807E0F" w:rsidP="00C96B78">
            <w:pPr>
              <w:rPr>
                <w:rFonts w:ascii="Arial" w:hAnsi="Arial" w:cs="Arial"/>
                <w:color w:val="000000" w:themeColor="text1"/>
                <w:sz w:val="20"/>
                <w:szCs w:val="20"/>
                <w:lang w:val="fr-CA"/>
              </w:rPr>
            </w:pPr>
            <w:r>
              <w:rPr>
                <w:rFonts w:ascii="Arial" w:hAnsi="Arial" w:cs="Arial"/>
                <w:color w:val="000000" w:themeColor="text1"/>
                <w:sz w:val="20"/>
                <w:szCs w:val="20"/>
                <w:lang w:val="fr-CA"/>
              </w:rPr>
              <w:t>RFA</w:t>
            </w:r>
          </w:p>
        </w:tc>
        <w:tc>
          <w:tcPr>
            <w:tcW w:w="8397" w:type="dxa"/>
            <w:shd w:val="clear" w:color="auto" w:fill="auto"/>
          </w:tcPr>
          <w:p w:rsidR="00807E0F" w:rsidRPr="007B301F" w:rsidRDefault="00807E0F" w:rsidP="00C96B78">
            <w:pPr>
              <w:rPr>
                <w:rFonts w:ascii="Arial" w:hAnsi="Arial" w:cs="Arial"/>
                <w:color w:val="000000" w:themeColor="text1"/>
                <w:sz w:val="20"/>
                <w:szCs w:val="20"/>
                <w:lang w:val="fr-CA"/>
              </w:rPr>
            </w:pPr>
            <w:r>
              <w:rPr>
                <w:rFonts w:ascii="Arial" w:hAnsi="Arial" w:cs="Arial"/>
                <w:color w:val="000000" w:themeColor="text1"/>
                <w:sz w:val="20"/>
                <w:szCs w:val="20"/>
                <w:lang w:val="fr-CA"/>
              </w:rPr>
              <w:t>Rapport financier des affectations</w:t>
            </w:r>
          </w:p>
        </w:tc>
      </w:tr>
      <w:tr w:rsidR="00807E0F" w:rsidRPr="00001E0D" w:rsidTr="00C96B78">
        <w:tc>
          <w:tcPr>
            <w:tcW w:w="1791" w:type="dxa"/>
            <w:shd w:val="clear" w:color="auto" w:fill="auto"/>
          </w:tcPr>
          <w:p w:rsidR="00807E0F" w:rsidRPr="007B301F" w:rsidRDefault="00807E0F" w:rsidP="00C96B78">
            <w:pPr>
              <w:rPr>
                <w:rFonts w:ascii="Arial" w:hAnsi="Arial" w:cs="Arial"/>
                <w:color w:val="000000" w:themeColor="text1"/>
                <w:sz w:val="20"/>
                <w:szCs w:val="20"/>
                <w:lang w:val="fr-CA"/>
              </w:rPr>
            </w:pPr>
            <w:r w:rsidRPr="007B301F">
              <w:rPr>
                <w:rFonts w:ascii="Arial" w:hAnsi="Arial" w:cs="Arial"/>
                <w:color w:val="000000" w:themeColor="text1"/>
                <w:sz w:val="20"/>
                <w:szCs w:val="20"/>
                <w:lang w:val="fr-CA"/>
              </w:rPr>
              <w:t>RFM</w:t>
            </w:r>
          </w:p>
        </w:tc>
        <w:tc>
          <w:tcPr>
            <w:tcW w:w="8397" w:type="dxa"/>
            <w:shd w:val="clear" w:color="auto" w:fill="auto"/>
          </w:tcPr>
          <w:p w:rsidR="00807E0F" w:rsidRPr="007B301F" w:rsidRDefault="00807E0F" w:rsidP="00C96B78">
            <w:pPr>
              <w:rPr>
                <w:rFonts w:ascii="Arial" w:hAnsi="Arial" w:cs="Arial"/>
                <w:color w:val="000000" w:themeColor="text1"/>
                <w:sz w:val="20"/>
                <w:szCs w:val="20"/>
                <w:lang w:val="fr-CA"/>
              </w:rPr>
            </w:pPr>
            <w:r w:rsidRPr="007B301F">
              <w:rPr>
                <w:rFonts w:ascii="Arial" w:hAnsi="Arial" w:cs="Arial"/>
                <w:color w:val="000000" w:themeColor="text1"/>
                <w:sz w:val="20"/>
                <w:szCs w:val="20"/>
                <w:lang w:val="fr-CA"/>
              </w:rPr>
              <w:t>Rapport financier ministériel</w:t>
            </w:r>
          </w:p>
        </w:tc>
      </w:tr>
      <w:tr w:rsidR="00807E0F" w:rsidRPr="00001E0D" w:rsidTr="00C96B78">
        <w:tc>
          <w:tcPr>
            <w:tcW w:w="1791" w:type="dxa"/>
            <w:shd w:val="clear" w:color="auto" w:fill="auto"/>
          </w:tcPr>
          <w:p w:rsidR="00807E0F" w:rsidRPr="007B301F" w:rsidRDefault="00807E0F" w:rsidP="00C96B78">
            <w:pPr>
              <w:rPr>
                <w:rFonts w:ascii="Arial" w:hAnsi="Arial" w:cs="Arial"/>
                <w:color w:val="000000" w:themeColor="text1"/>
                <w:sz w:val="20"/>
                <w:szCs w:val="20"/>
                <w:lang w:val="fr-CA"/>
              </w:rPr>
            </w:pPr>
            <w:r w:rsidRPr="007B301F">
              <w:rPr>
                <w:rFonts w:ascii="Arial" w:hAnsi="Arial" w:cs="Arial"/>
                <w:color w:val="000000" w:themeColor="text1"/>
                <w:sz w:val="20"/>
                <w:szCs w:val="20"/>
                <w:lang w:val="fr-CA"/>
              </w:rPr>
              <w:t>RH</w:t>
            </w:r>
          </w:p>
        </w:tc>
        <w:tc>
          <w:tcPr>
            <w:tcW w:w="8397" w:type="dxa"/>
            <w:shd w:val="clear" w:color="auto" w:fill="auto"/>
          </w:tcPr>
          <w:p w:rsidR="00807E0F" w:rsidRPr="007B301F" w:rsidRDefault="00807E0F" w:rsidP="00C96B78">
            <w:pPr>
              <w:rPr>
                <w:rFonts w:ascii="Arial" w:hAnsi="Arial" w:cs="Arial"/>
                <w:color w:val="000000" w:themeColor="text1"/>
                <w:sz w:val="20"/>
                <w:szCs w:val="20"/>
                <w:lang w:val="fr-CA"/>
              </w:rPr>
            </w:pPr>
            <w:r w:rsidRPr="007B301F">
              <w:rPr>
                <w:rFonts w:ascii="Arial" w:hAnsi="Arial" w:cs="Arial"/>
                <w:color w:val="000000" w:themeColor="text1"/>
                <w:sz w:val="20"/>
                <w:szCs w:val="20"/>
                <w:lang w:val="fr-CA"/>
              </w:rPr>
              <w:t>Ressources humaines</w:t>
            </w:r>
          </w:p>
        </w:tc>
      </w:tr>
      <w:tr w:rsidR="00807E0F" w:rsidRPr="00B934B9" w:rsidTr="00C96B78">
        <w:tc>
          <w:tcPr>
            <w:tcW w:w="1791" w:type="dxa"/>
            <w:shd w:val="clear" w:color="auto" w:fill="auto"/>
          </w:tcPr>
          <w:p w:rsidR="00807E0F" w:rsidRPr="007B301F" w:rsidRDefault="00807E0F" w:rsidP="00C96B78">
            <w:pPr>
              <w:rPr>
                <w:rFonts w:ascii="Arial" w:hAnsi="Arial" w:cs="Arial"/>
                <w:color w:val="000000" w:themeColor="text1"/>
                <w:sz w:val="20"/>
                <w:szCs w:val="20"/>
                <w:lang w:val="fr-CA"/>
              </w:rPr>
            </w:pPr>
            <w:r w:rsidRPr="007B301F">
              <w:rPr>
                <w:rFonts w:ascii="Arial" w:hAnsi="Arial" w:cs="Arial"/>
                <w:color w:val="000000" w:themeColor="text1"/>
                <w:sz w:val="20"/>
                <w:szCs w:val="20"/>
                <w:lang w:val="fr-CA"/>
              </w:rPr>
              <w:t>RMR</w:t>
            </w:r>
          </w:p>
        </w:tc>
        <w:tc>
          <w:tcPr>
            <w:tcW w:w="8397" w:type="dxa"/>
            <w:shd w:val="clear" w:color="auto" w:fill="auto"/>
          </w:tcPr>
          <w:p w:rsidR="00807E0F" w:rsidRPr="007B301F" w:rsidRDefault="00807E0F" w:rsidP="00C96B78">
            <w:pPr>
              <w:rPr>
                <w:rFonts w:ascii="Arial" w:hAnsi="Arial" w:cs="Arial"/>
                <w:color w:val="000000" w:themeColor="text1"/>
                <w:sz w:val="20"/>
                <w:szCs w:val="20"/>
                <w:lang w:val="fr-CA"/>
              </w:rPr>
            </w:pPr>
            <w:r w:rsidRPr="007B301F">
              <w:rPr>
                <w:rFonts w:ascii="Arial" w:hAnsi="Arial" w:cs="Arial"/>
                <w:color w:val="000000" w:themeColor="text1"/>
                <w:sz w:val="20"/>
                <w:szCs w:val="20"/>
                <w:lang w:val="fr-CA"/>
              </w:rPr>
              <w:t>Rapport ministériel sur le rendement</w:t>
            </w:r>
          </w:p>
        </w:tc>
      </w:tr>
      <w:tr w:rsidR="00807E0F" w:rsidRPr="00B934B9" w:rsidTr="00C96B78">
        <w:tc>
          <w:tcPr>
            <w:tcW w:w="1791" w:type="dxa"/>
            <w:shd w:val="clear" w:color="auto" w:fill="auto"/>
          </w:tcPr>
          <w:p w:rsidR="00807E0F" w:rsidRPr="007B301F" w:rsidRDefault="00807E0F" w:rsidP="00C96B78">
            <w:pPr>
              <w:rPr>
                <w:rFonts w:ascii="Arial" w:hAnsi="Arial" w:cs="Arial"/>
                <w:color w:val="000000" w:themeColor="text1"/>
                <w:sz w:val="20"/>
                <w:szCs w:val="20"/>
                <w:lang w:val="fr-CA"/>
              </w:rPr>
            </w:pPr>
            <w:r w:rsidRPr="007B301F">
              <w:rPr>
                <w:rFonts w:ascii="Arial" w:hAnsi="Arial" w:cs="Arial"/>
                <w:color w:val="000000" w:themeColor="text1"/>
                <w:sz w:val="20"/>
                <w:szCs w:val="20"/>
                <w:lang w:val="fr-CA"/>
              </w:rPr>
              <w:t>RPC</w:t>
            </w:r>
          </w:p>
        </w:tc>
        <w:tc>
          <w:tcPr>
            <w:tcW w:w="8397" w:type="dxa"/>
            <w:shd w:val="clear" w:color="auto" w:fill="auto"/>
          </w:tcPr>
          <w:p w:rsidR="00807E0F" w:rsidRPr="007B301F" w:rsidRDefault="00807E0F" w:rsidP="00C96B78">
            <w:pPr>
              <w:rPr>
                <w:rFonts w:ascii="Arial" w:hAnsi="Arial" w:cs="Arial"/>
                <w:color w:val="000000" w:themeColor="text1"/>
                <w:sz w:val="20"/>
                <w:szCs w:val="20"/>
                <w:lang w:val="fr-CA"/>
              </w:rPr>
            </w:pPr>
            <w:r w:rsidRPr="007B301F">
              <w:rPr>
                <w:rFonts w:ascii="Arial" w:hAnsi="Arial" w:cs="Arial"/>
                <w:color w:val="000000" w:themeColor="text1"/>
                <w:sz w:val="20"/>
                <w:szCs w:val="20"/>
                <w:lang w:val="fr-CA"/>
              </w:rPr>
              <w:t>Régime de pensions du Canada</w:t>
            </w:r>
          </w:p>
        </w:tc>
      </w:tr>
      <w:tr w:rsidR="00807E0F" w:rsidRPr="00B934B9" w:rsidTr="00C96B78">
        <w:tc>
          <w:tcPr>
            <w:tcW w:w="1791" w:type="dxa"/>
            <w:shd w:val="clear" w:color="auto" w:fill="auto"/>
          </w:tcPr>
          <w:p w:rsidR="00807E0F" w:rsidRPr="007B301F" w:rsidRDefault="00807E0F" w:rsidP="00C96B78">
            <w:pPr>
              <w:rPr>
                <w:rFonts w:ascii="Arial" w:hAnsi="Arial" w:cs="Arial"/>
                <w:color w:val="000000" w:themeColor="text1"/>
                <w:sz w:val="20"/>
                <w:szCs w:val="20"/>
                <w:lang w:val="fr-CA"/>
              </w:rPr>
            </w:pPr>
            <w:r w:rsidRPr="007B301F">
              <w:rPr>
                <w:rFonts w:ascii="Arial" w:hAnsi="Arial" w:cs="Arial"/>
                <w:color w:val="000000" w:themeColor="text1"/>
                <w:sz w:val="20"/>
                <w:szCs w:val="20"/>
                <w:lang w:val="fr-CA"/>
              </w:rPr>
              <w:t>RPP</w:t>
            </w:r>
          </w:p>
        </w:tc>
        <w:tc>
          <w:tcPr>
            <w:tcW w:w="8397" w:type="dxa"/>
            <w:shd w:val="clear" w:color="auto" w:fill="auto"/>
          </w:tcPr>
          <w:p w:rsidR="00807E0F" w:rsidRPr="007B301F" w:rsidRDefault="00807E0F" w:rsidP="00C96B78">
            <w:pPr>
              <w:rPr>
                <w:rFonts w:ascii="Arial" w:hAnsi="Arial" w:cs="Arial"/>
                <w:color w:val="000000" w:themeColor="text1"/>
                <w:sz w:val="20"/>
                <w:szCs w:val="20"/>
                <w:lang w:val="fr-CA"/>
              </w:rPr>
            </w:pPr>
            <w:r w:rsidRPr="007B301F">
              <w:rPr>
                <w:rFonts w:ascii="Arial" w:hAnsi="Arial" w:cs="Arial"/>
                <w:color w:val="000000" w:themeColor="text1"/>
                <w:sz w:val="20"/>
                <w:szCs w:val="20"/>
                <w:lang w:val="fr-CA"/>
              </w:rPr>
              <w:t>Rapport sur les plans et les priorités</w:t>
            </w:r>
          </w:p>
        </w:tc>
      </w:tr>
      <w:tr w:rsidR="00807E0F" w:rsidRPr="00001E0D" w:rsidTr="00C96B78">
        <w:tc>
          <w:tcPr>
            <w:tcW w:w="1791" w:type="dxa"/>
            <w:shd w:val="clear" w:color="auto" w:fill="auto"/>
          </w:tcPr>
          <w:p w:rsidR="00807E0F" w:rsidRPr="007B301F" w:rsidRDefault="00807E0F" w:rsidP="00C96B78">
            <w:pPr>
              <w:rPr>
                <w:rFonts w:ascii="Arial" w:hAnsi="Arial" w:cs="Arial"/>
                <w:color w:val="000000" w:themeColor="text1"/>
                <w:sz w:val="20"/>
                <w:szCs w:val="20"/>
                <w:lang w:val="fr-CA"/>
              </w:rPr>
            </w:pPr>
            <w:r w:rsidRPr="007B301F">
              <w:rPr>
                <w:rFonts w:ascii="Arial" w:hAnsi="Arial" w:cs="Arial"/>
                <w:color w:val="000000" w:themeColor="text1"/>
                <w:sz w:val="20"/>
                <w:szCs w:val="20"/>
                <w:lang w:val="fr-CA"/>
              </w:rPr>
              <w:t>S et C</w:t>
            </w:r>
          </w:p>
        </w:tc>
        <w:tc>
          <w:tcPr>
            <w:tcW w:w="8397" w:type="dxa"/>
            <w:shd w:val="clear" w:color="auto" w:fill="auto"/>
          </w:tcPr>
          <w:p w:rsidR="00807E0F" w:rsidRPr="007B301F" w:rsidRDefault="00807E0F" w:rsidP="00C96B78">
            <w:pPr>
              <w:rPr>
                <w:rFonts w:ascii="Arial" w:hAnsi="Arial" w:cs="Arial"/>
                <w:color w:val="000000" w:themeColor="text1"/>
                <w:sz w:val="20"/>
                <w:szCs w:val="20"/>
                <w:lang w:val="fr-CA"/>
              </w:rPr>
            </w:pPr>
            <w:r w:rsidRPr="007B301F">
              <w:rPr>
                <w:rFonts w:ascii="Arial" w:hAnsi="Arial" w:cs="Arial"/>
                <w:color w:val="000000" w:themeColor="text1"/>
                <w:sz w:val="20"/>
                <w:szCs w:val="20"/>
                <w:lang w:val="fr-CA"/>
              </w:rPr>
              <w:t>Subventions et contributions</w:t>
            </w:r>
          </w:p>
        </w:tc>
      </w:tr>
      <w:tr w:rsidR="00807E0F" w:rsidRPr="00B934B9" w:rsidTr="00C96B78">
        <w:tc>
          <w:tcPr>
            <w:tcW w:w="1791" w:type="dxa"/>
            <w:shd w:val="clear" w:color="auto" w:fill="auto"/>
          </w:tcPr>
          <w:p w:rsidR="00807E0F" w:rsidRPr="007B301F" w:rsidRDefault="00807E0F" w:rsidP="00C96B78">
            <w:pPr>
              <w:rPr>
                <w:rFonts w:ascii="Arial" w:hAnsi="Arial" w:cs="Arial"/>
                <w:color w:val="000000" w:themeColor="text1"/>
                <w:sz w:val="20"/>
                <w:szCs w:val="20"/>
                <w:lang w:val="fr-CA"/>
              </w:rPr>
            </w:pPr>
            <w:r w:rsidRPr="007B301F">
              <w:rPr>
                <w:rFonts w:ascii="Arial" w:hAnsi="Arial" w:cs="Arial"/>
                <w:color w:val="000000" w:themeColor="text1"/>
                <w:sz w:val="20"/>
                <w:szCs w:val="20"/>
                <w:lang w:val="fr-CA"/>
              </w:rPr>
              <w:t>SCSC</w:t>
            </w:r>
          </w:p>
        </w:tc>
        <w:tc>
          <w:tcPr>
            <w:tcW w:w="8397" w:type="dxa"/>
            <w:shd w:val="clear" w:color="auto" w:fill="auto"/>
          </w:tcPr>
          <w:p w:rsidR="00807E0F" w:rsidRPr="007B301F" w:rsidRDefault="00807E0F" w:rsidP="00C96B78">
            <w:pPr>
              <w:rPr>
                <w:rFonts w:ascii="Arial" w:hAnsi="Arial" w:cs="Arial"/>
                <w:b/>
                <w:color w:val="000000" w:themeColor="text1"/>
                <w:sz w:val="20"/>
                <w:szCs w:val="20"/>
                <w:lang w:val="fr-CA"/>
              </w:rPr>
            </w:pPr>
            <w:r w:rsidRPr="007B301F">
              <w:rPr>
                <w:rFonts w:ascii="Arial" w:hAnsi="Arial" w:cs="Arial"/>
                <w:color w:val="000000" w:themeColor="text1"/>
                <w:sz w:val="20"/>
                <w:szCs w:val="20"/>
                <w:lang w:val="fr-CA"/>
              </w:rPr>
              <w:t>Système commun pour les subventions et les contributions</w:t>
            </w:r>
          </w:p>
        </w:tc>
      </w:tr>
      <w:tr w:rsidR="00807E0F" w:rsidRPr="00B934B9" w:rsidTr="00C96B78">
        <w:tc>
          <w:tcPr>
            <w:tcW w:w="1791" w:type="dxa"/>
            <w:shd w:val="clear" w:color="auto" w:fill="auto"/>
          </w:tcPr>
          <w:p w:rsidR="00807E0F" w:rsidRPr="007B301F" w:rsidRDefault="00807E0F" w:rsidP="00C96B78">
            <w:pPr>
              <w:rPr>
                <w:rFonts w:ascii="Arial" w:hAnsi="Arial" w:cs="Arial"/>
                <w:color w:val="000000" w:themeColor="text1"/>
                <w:sz w:val="20"/>
                <w:szCs w:val="20"/>
                <w:lang w:val="fr-CA"/>
              </w:rPr>
            </w:pPr>
            <w:r w:rsidRPr="007B301F">
              <w:rPr>
                <w:rFonts w:ascii="Arial" w:hAnsi="Arial" w:cs="Arial"/>
                <w:color w:val="000000" w:themeColor="text1"/>
                <w:sz w:val="20"/>
                <w:szCs w:val="20"/>
                <w:lang w:val="fr-CA"/>
              </w:rPr>
              <w:t>SCT</w:t>
            </w:r>
          </w:p>
        </w:tc>
        <w:tc>
          <w:tcPr>
            <w:tcW w:w="8397" w:type="dxa"/>
            <w:shd w:val="clear" w:color="auto" w:fill="auto"/>
          </w:tcPr>
          <w:p w:rsidR="00807E0F" w:rsidRPr="007B301F" w:rsidRDefault="00807E0F" w:rsidP="00C96B78">
            <w:pPr>
              <w:rPr>
                <w:rFonts w:ascii="Arial" w:hAnsi="Arial" w:cs="Arial"/>
                <w:color w:val="000000" w:themeColor="text1"/>
                <w:sz w:val="20"/>
                <w:szCs w:val="20"/>
                <w:lang w:val="fr-CA"/>
              </w:rPr>
            </w:pPr>
            <w:r w:rsidRPr="007B301F">
              <w:rPr>
                <w:rFonts w:ascii="Arial" w:hAnsi="Arial" w:cs="Arial"/>
                <w:color w:val="000000" w:themeColor="text1"/>
                <w:sz w:val="20"/>
                <w:szCs w:val="20"/>
                <w:lang w:val="fr-CA"/>
              </w:rPr>
              <w:t>Secrétariat du Conseil du Trésor</w:t>
            </w:r>
          </w:p>
        </w:tc>
      </w:tr>
      <w:tr w:rsidR="00807E0F" w:rsidRPr="00A4252A" w:rsidTr="00C96B78">
        <w:tc>
          <w:tcPr>
            <w:tcW w:w="1791" w:type="dxa"/>
            <w:shd w:val="clear" w:color="auto" w:fill="auto"/>
          </w:tcPr>
          <w:p w:rsidR="00807E0F" w:rsidRPr="007B301F" w:rsidRDefault="00807E0F" w:rsidP="00C96B78">
            <w:pPr>
              <w:rPr>
                <w:rFonts w:ascii="Arial" w:hAnsi="Arial" w:cs="Arial"/>
                <w:color w:val="000000" w:themeColor="text1"/>
                <w:sz w:val="20"/>
                <w:szCs w:val="20"/>
                <w:u w:val="single"/>
                <w:lang w:val="fr-CA"/>
              </w:rPr>
            </w:pPr>
            <w:r w:rsidRPr="007B301F">
              <w:rPr>
                <w:rFonts w:ascii="Arial" w:hAnsi="Arial" w:cs="Arial"/>
                <w:color w:val="000000" w:themeColor="text1"/>
                <w:sz w:val="20"/>
                <w:szCs w:val="20"/>
                <w:u w:val="single"/>
                <w:lang w:val="fr-CA"/>
              </w:rPr>
              <w:t>SIF</w:t>
            </w:r>
          </w:p>
        </w:tc>
        <w:tc>
          <w:tcPr>
            <w:tcW w:w="8397" w:type="dxa"/>
            <w:shd w:val="clear" w:color="auto" w:fill="auto"/>
          </w:tcPr>
          <w:p w:rsidR="00807E0F" w:rsidRPr="007B301F" w:rsidRDefault="00807E0F" w:rsidP="00C96B78">
            <w:pPr>
              <w:rPr>
                <w:rFonts w:ascii="Arial" w:hAnsi="Arial" w:cs="Arial"/>
                <w:color w:val="000000" w:themeColor="text1"/>
                <w:sz w:val="20"/>
                <w:szCs w:val="20"/>
                <w:lang w:val="fr-CA"/>
              </w:rPr>
            </w:pPr>
            <w:r w:rsidRPr="007B301F">
              <w:rPr>
                <w:rFonts w:ascii="Arial" w:hAnsi="Arial" w:cs="Arial"/>
                <w:color w:val="000000" w:themeColor="text1"/>
                <w:sz w:val="20"/>
                <w:szCs w:val="20"/>
                <w:lang w:val="fr-CA"/>
              </w:rPr>
              <w:t>Stratégie d’information financière</w:t>
            </w:r>
          </w:p>
        </w:tc>
      </w:tr>
      <w:tr w:rsidR="00807E0F" w:rsidRPr="00B934B9" w:rsidTr="00C96B78">
        <w:tc>
          <w:tcPr>
            <w:tcW w:w="1791" w:type="dxa"/>
            <w:shd w:val="clear" w:color="auto" w:fill="auto"/>
          </w:tcPr>
          <w:p w:rsidR="00807E0F" w:rsidRPr="007B301F" w:rsidRDefault="00807E0F" w:rsidP="00C96B78">
            <w:pPr>
              <w:rPr>
                <w:rFonts w:ascii="Arial" w:hAnsi="Arial" w:cs="Arial"/>
                <w:color w:val="000000" w:themeColor="text1"/>
                <w:sz w:val="20"/>
                <w:szCs w:val="20"/>
                <w:lang w:val="fr-CA"/>
              </w:rPr>
            </w:pPr>
            <w:r w:rsidRPr="007B301F">
              <w:rPr>
                <w:rFonts w:ascii="Arial" w:hAnsi="Arial" w:cs="Arial"/>
                <w:color w:val="000000" w:themeColor="text1"/>
                <w:sz w:val="20"/>
                <w:szCs w:val="20"/>
                <w:lang w:val="fr-CA"/>
              </w:rPr>
              <w:t>SGD</w:t>
            </w:r>
          </w:p>
        </w:tc>
        <w:tc>
          <w:tcPr>
            <w:tcW w:w="8397" w:type="dxa"/>
            <w:shd w:val="clear" w:color="auto" w:fill="auto"/>
          </w:tcPr>
          <w:p w:rsidR="00807E0F" w:rsidRPr="007B301F" w:rsidRDefault="00807E0F" w:rsidP="00C96B78">
            <w:pPr>
              <w:rPr>
                <w:rFonts w:ascii="Arial" w:hAnsi="Arial" w:cs="Arial"/>
                <w:color w:val="000000" w:themeColor="text1"/>
                <w:sz w:val="20"/>
                <w:szCs w:val="20"/>
                <w:lang w:val="fr-CA"/>
              </w:rPr>
            </w:pPr>
            <w:r w:rsidRPr="007B301F">
              <w:rPr>
                <w:rFonts w:ascii="Arial" w:hAnsi="Arial" w:cs="Arial"/>
                <w:color w:val="000000" w:themeColor="text1"/>
                <w:sz w:val="20"/>
                <w:szCs w:val="20"/>
                <w:lang w:val="fr-CA"/>
              </w:rPr>
              <w:t>Système de gestion des dépenses</w:t>
            </w:r>
          </w:p>
        </w:tc>
      </w:tr>
      <w:tr w:rsidR="00807E0F" w:rsidRPr="00B934B9" w:rsidTr="00C96B78">
        <w:tc>
          <w:tcPr>
            <w:tcW w:w="1791" w:type="dxa"/>
            <w:shd w:val="clear" w:color="auto" w:fill="auto"/>
          </w:tcPr>
          <w:p w:rsidR="00807E0F" w:rsidRPr="007B301F" w:rsidRDefault="00807E0F" w:rsidP="00C96B78">
            <w:pPr>
              <w:rPr>
                <w:rFonts w:ascii="Arial" w:hAnsi="Arial" w:cs="Arial"/>
                <w:color w:val="000000" w:themeColor="text1"/>
                <w:sz w:val="20"/>
                <w:szCs w:val="20"/>
                <w:lang w:val="fr-CA"/>
              </w:rPr>
            </w:pPr>
            <w:r w:rsidRPr="007B301F">
              <w:rPr>
                <w:rFonts w:ascii="Arial" w:hAnsi="Arial" w:cs="Arial"/>
                <w:color w:val="000000" w:themeColor="text1"/>
                <w:sz w:val="20"/>
                <w:szCs w:val="20"/>
                <w:lang w:val="fr-CA"/>
              </w:rPr>
              <w:t>SGDG</w:t>
            </w:r>
          </w:p>
        </w:tc>
        <w:tc>
          <w:tcPr>
            <w:tcW w:w="8397" w:type="dxa"/>
            <w:shd w:val="clear" w:color="auto" w:fill="auto"/>
          </w:tcPr>
          <w:p w:rsidR="00807E0F" w:rsidRPr="007B301F" w:rsidRDefault="00807E0F" w:rsidP="00C96B78">
            <w:pPr>
              <w:rPr>
                <w:rFonts w:ascii="Arial" w:hAnsi="Arial" w:cs="Arial"/>
                <w:color w:val="000000" w:themeColor="text1"/>
                <w:sz w:val="20"/>
                <w:szCs w:val="20"/>
                <w:lang w:val="fr-CA"/>
              </w:rPr>
            </w:pPr>
            <w:r w:rsidRPr="007B301F">
              <w:rPr>
                <w:rFonts w:ascii="Arial" w:hAnsi="Arial" w:cs="Arial"/>
                <w:color w:val="000000" w:themeColor="text1"/>
                <w:sz w:val="20"/>
                <w:szCs w:val="20"/>
                <w:lang w:val="fr-CA"/>
              </w:rPr>
              <w:t>Services de gestion de la Direction générale</w:t>
            </w:r>
          </w:p>
        </w:tc>
      </w:tr>
      <w:tr w:rsidR="00807E0F" w:rsidRPr="00B934B9" w:rsidTr="00C96B78">
        <w:tc>
          <w:tcPr>
            <w:tcW w:w="1791" w:type="dxa"/>
            <w:shd w:val="clear" w:color="auto" w:fill="auto"/>
          </w:tcPr>
          <w:p w:rsidR="00807E0F" w:rsidRPr="007B301F" w:rsidRDefault="00807E0F" w:rsidP="00C96B78">
            <w:pPr>
              <w:rPr>
                <w:rFonts w:ascii="Arial" w:hAnsi="Arial" w:cs="Arial"/>
                <w:color w:val="000000" w:themeColor="text1"/>
                <w:sz w:val="20"/>
                <w:szCs w:val="20"/>
                <w:lang w:val="fr-CA"/>
              </w:rPr>
            </w:pPr>
            <w:r w:rsidRPr="007B301F">
              <w:rPr>
                <w:rFonts w:ascii="Arial" w:hAnsi="Arial" w:cs="Arial"/>
                <w:color w:val="000000" w:themeColor="text1"/>
                <w:sz w:val="20"/>
                <w:szCs w:val="20"/>
                <w:lang w:val="fr-CA"/>
              </w:rPr>
              <w:t>SGRR</w:t>
            </w:r>
          </w:p>
        </w:tc>
        <w:tc>
          <w:tcPr>
            <w:tcW w:w="8397" w:type="dxa"/>
            <w:shd w:val="clear" w:color="auto" w:fill="auto"/>
          </w:tcPr>
          <w:p w:rsidR="00807E0F" w:rsidRPr="007B301F" w:rsidRDefault="00807E0F" w:rsidP="00C96B78">
            <w:pPr>
              <w:rPr>
                <w:rFonts w:ascii="Arial" w:hAnsi="Arial" w:cs="Arial"/>
                <w:color w:val="000000" w:themeColor="text1"/>
                <w:sz w:val="20"/>
                <w:szCs w:val="20"/>
                <w:lang w:val="fr-CA"/>
              </w:rPr>
            </w:pPr>
            <w:r w:rsidRPr="007B301F">
              <w:rPr>
                <w:rFonts w:ascii="Arial" w:hAnsi="Arial" w:cs="Arial"/>
                <w:color w:val="000000" w:themeColor="text1"/>
                <w:sz w:val="20"/>
                <w:szCs w:val="20"/>
                <w:lang w:val="fr-CA"/>
              </w:rPr>
              <w:t>Structure de gestion des ressources et des résultats</w:t>
            </w:r>
          </w:p>
        </w:tc>
      </w:tr>
      <w:tr w:rsidR="00807E0F" w:rsidRPr="00001E0D" w:rsidTr="00C96B78">
        <w:tc>
          <w:tcPr>
            <w:tcW w:w="1791" w:type="dxa"/>
            <w:shd w:val="clear" w:color="auto" w:fill="auto"/>
          </w:tcPr>
          <w:p w:rsidR="00807E0F" w:rsidRPr="007B301F" w:rsidRDefault="00807E0F" w:rsidP="00C96B78">
            <w:pPr>
              <w:rPr>
                <w:rFonts w:ascii="Arial" w:hAnsi="Arial" w:cs="Arial"/>
                <w:color w:val="000000" w:themeColor="text1"/>
                <w:sz w:val="20"/>
                <w:szCs w:val="20"/>
                <w:lang w:val="fr-CA"/>
              </w:rPr>
            </w:pPr>
            <w:r w:rsidRPr="007B301F">
              <w:rPr>
                <w:rFonts w:ascii="Arial" w:hAnsi="Arial" w:cs="Arial"/>
                <w:color w:val="000000" w:themeColor="text1"/>
                <w:sz w:val="20"/>
                <w:szCs w:val="20"/>
                <w:lang w:val="fr-CA"/>
              </w:rPr>
              <w:t>SMA</w:t>
            </w:r>
          </w:p>
        </w:tc>
        <w:tc>
          <w:tcPr>
            <w:tcW w:w="8397" w:type="dxa"/>
            <w:shd w:val="clear" w:color="auto" w:fill="auto"/>
          </w:tcPr>
          <w:p w:rsidR="00807E0F" w:rsidRPr="007B301F" w:rsidRDefault="00807E0F" w:rsidP="00C96B78">
            <w:pPr>
              <w:rPr>
                <w:rFonts w:ascii="Arial" w:hAnsi="Arial" w:cs="Arial"/>
                <w:color w:val="000000" w:themeColor="text1"/>
                <w:sz w:val="20"/>
                <w:szCs w:val="20"/>
                <w:lang w:val="fr-CA"/>
              </w:rPr>
            </w:pPr>
            <w:r w:rsidRPr="007B301F">
              <w:rPr>
                <w:rFonts w:ascii="Arial" w:hAnsi="Arial" w:cs="Arial"/>
                <w:color w:val="000000" w:themeColor="text1"/>
                <w:sz w:val="20"/>
                <w:szCs w:val="20"/>
                <w:lang w:val="fr-CA"/>
              </w:rPr>
              <w:t>Sous-ministre adjoint</w:t>
            </w:r>
          </w:p>
        </w:tc>
      </w:tr>
      <w:tr w:rsidR="00807E0F" w:rsidRPr="00001E0D" w:rsidTr="00C96B78">
        <w:tc>
          <w:tcPr>
            <w:tcW w:w="1791" w:type="dxa"/>
            <w:shd w:val="clear" w:color="auto" w:fill="auto"/>
          </w:tcPr>
          <w:p w:rsidR="00807E0F" w:rsidRPr="007B301F" w:rsidRDefault="00807E0F" w:rsidP="00C96B78">
            <w:pPr>
              <w:rPr>
                <w:rFonts w:ascii="Arial" w:hAnsi="Arial" w:cs="Arial"/>
                <w:color w:val="000000" w:themeColor="text1"/>
                <w:sz w:val="20"/>
                <w:szCs w:val="20"/>
                <w:lang w:val="fr-CA"/>
              </w:rPr>
            </w:pPr>
            <w:r>
              <w:rPr>
                <w:rFonts w:ascii="Arial" w:hAnsi="Arial" w:cs="Arial"/>
                <w:color w:val="000000" w:themeColor="text1"/>
                <w:sz w:val="20"/>
                <w:szCs w:val="20"/>
                <w:lang w:val="fr-CA"/>
              </w:rPr>
              <w:t>SMAR</w:t>
            </w:r>
          </w:p>
        </w:tc>
        <w:tc>
          <w:tcPr>
            <w:tcW w:w="8397" w:type="dxa"/>
            <w:shd w:val="clear" w:color="auto" w:fill="auto"/>
          </w:tcPr>
          <w:p w:rsidR="00807E0F" w:rsidRPr="007B301F" w:rsidRDefault="00807E0F" w:rsidP="00C96B78">
            <w:pPr>
              <w:rPr>
                <w:rFonts w:ascii="Arial" w:hAnsi="Arial" w:cs="Arial"/>
                <w:color w:val="000000" w:themeColor="text1"/>
                <w:sz w:val="20"/>
                <w:szCs w:val="20"/>
                <w:lang w:val="fr-CA"/>
              </w:rPr>
            </w:pPr>
            <w:r>
              <w:rPr>
                <w:rFonts w:ascii="Arial" w:hAnsi="Arial" w:cs="Arial"/>
                <w:color w:val="000000" w:themeColor="text1"/>
                <w:sz w:val="20"/>
                <w:szCs w:val="20"/>
                <w:lang w:val="fr-CA"/>
              </w:rPr>
              <w:t>Sous-ministre adjoint régional</w:t>
            </w:r>
          </w:p>
        </w:tc>
      </w:tr>
      <w:tr w:rsidR="00807E0F" w:rsidRPr="00001E0D" w:rsidTr="00C96B78">
        <w:tc>
          <w:tcPr>
            <w:tcW w:w="1791" w:type="dxa"/>
            <w:shd w:val="clear" w:color="auto" w:fill="auto"/>
          </w:tcPr>
          <w:p w:rsidR="00807E0F" w:rsidRPr="007B301F" w:rsidRDefault="00807E0F" w:rsidP="00C96B78">
            <w:pPr>
              <w:rPr>
                <w:rFonts w:ascii="Arial" w:hAnsi="Arial" w:cs="Arial"/>
                <w:color w:val="000000" w:themeColor="text1"/>
                <w:sz w:val="20"/>
                <w:szCs w:val="20"/>
                <w:lang w:val="fr-CA"/>
              </w:rPr>
            </w:pPr>
            <w:r w:rsidRPr="007B301F">
              <w:rPr>
                <w:rFonts w:ascii="Arial" w:hAnsi="Arial" w:cs="Arial"/>
                <w:color w:val="000000" w:themeColor="text1"/>
                <w:sz w:val="20"/>
                <w:szCs w:val="20"/>
                <w:lang w:val="fr-CA"/>
              </w:rPr>
              <w:t>SV</w:t>
            </w:r>
          </w:p>
        </w:tc>
        <w:tc>
          <w:tcPr>
            <w:tcW w:w="8397" w:type="dxa"/>
            <w:shd w:val="clear" w:color="auto" w:fill="auto"/>
          </w:tcPr>
          <w:p w:rsidR="00807E0F" w:rsidRPr="007B301F" w:rsidRDefault="00807E0F" w:rsidP="00C96B78">
            <w:pPr>
              <w:rPr>
                <w:rFonts w:ascii="Arial" w:hAnsi="Arial" w:cs="Arial"/>
                <w:color w:val="000000" w:themeColor="text1"/>
                <w:sz w:val="20"/>
                <w:szCs w:val="20"/>
                <w:lang w:val="fr-CA"/>
              </w:rPr>
            </w:pPr>
            <w:r w:rsidRPr="007B301F">
              <w:rPr>
                <w:rFonts w:ascii="Arial" w:hAnsi="Arial" w:cs="Arial"/>
                <w:color w:val="000000" w:themeColor="text1"/>
                <w:sz w:val="20"/>
                <w:szCs w:val="20"/>
                <w:lang w:val="fr-CA"/>
              </w:rPr>
              <w:t>Sécurité de la vieillesse</w:t>
            </w:r>
          </w:p>
        </w:tc>
      </w:tr>
      <w:tr w:rsidR="00807E0F" w:rsidRPr="00B934B9" w:rsidTr="00C96B78">
        <w:tc>
          <w:tcPr>
            <w:tcW w:w="1791" w:type="dxa"/>
            <w:shd w:val="clear" w:color="auto" w:fill="auto"/>
          </w:tcPr>
          <w:p w:rsidR="00807E0F" w:rsidRPr="007B301F" w:rsidRDefault="00807E0F" w:rsidP="00C96B78">
            <w:pPr>
              <w:rPr>
                <w:rFonts w:ascii="Arial" w:hAnsi="Arial" w:cs="Arial"/>
                <w:color w:val="000000" w:themeColor="text1"/>
                <w:sz w:val="20"/>
                <w:szCs w:val="20"/>
                <w:lang w:val="fr-CA"/>
              </w:rPr>
            </w:pPr>
            <w:r>
              <w:rPr>
                <w:rFonts w:ascii="Arial" w:hAnsi="Arial" w:cs="Arial"/>
                <w:color w:val="000000" w:themeColor="text1"/>
                <w:sz w:val="20"/>
                <w:szCs w:val="20"/>
                <w:lang w:val="fr-CA"/>
              </w:rPr>
              <w:t>TPSGC</w:t>
            </w:r>
          </w:p>
        </w:tc>
        <w:tc>
          <w:tcPr>
            <w:tcW w:w="8397" w:type="dxa"/>
            <w:shd w:val="clear" w:color="auto" w:fill="auto"/>
          </w:tcPr>
          <w:p w:rsidR="00807E0F" w:rsidRPr="007B301F" w:rsidRDefault="00807E0F" w:rsidP="00C96B78">
            <w:pPr>
              <w:rPr>
                <w:rFonts w:ascii="Arial" w:hAnsi="Arial" w:cs="Arial"/>
                <w:color w:val="000000" w:themeColor="text1"/>
                <w:sz w:val="20"/>
                <w:szCs w:val="20"/>
                <w:lang w:val="fr-CA"/>
              </w:rPr>
            </w:pPr>
            <w:r>
              <w:rPr>
                <w:rFonts w:ascii="Arial" w:hAnsi="Arial" w:cs="Arial"/>
                <w:color w:val="000000" w:themeColor="text1"/>
                <w:sz w:val="20"/>
                <w:szCs w:val="20"/>
                <w:lang w:val="fr-CA"/>
              </w:rPr>
              <w:t>Travaux publics et Services gouvernementaux Canada</w:t>
            </w:r>
          </w:p>
        </w:tc>
      </w:tr>
    </w:tbl>
    <w:p w:rsidR="00807E0F" w:rsidRPr="00001E0D" w:rsidRDefault="00807E0F" w:rsidP="000055DA">
      <w:pPr>
        <w:rPr>
          <w:rFonts w:ascii="Arial" w:hAnsi="Arial" w:cs="Arial"/>
          <w:sz w:val="20"/>
          <w:szCs w:val="20"/>
          <w:lang w:val="fr-CA"/>
        </w:rPr>
      </w:pPr>
    </w:p>
    <w:sectPr w:rsidR="00807E0F" w:rsidRPr="00001E0D" w:rsidSect="002D46DA">
      <w:headerReference w:type="default" r:id="rId61"/>
      <w:footerReference w:type="default" r:id="rId62"/>
      <w:headerReference w:type="first" r:id="rId63"/>
      <w:footerReference w:type="first" r:id="rId64"/>
      <w:pgSz w:w="12240" w:h="15840"/>
      <w:pgMar w:top="1418" w:right="810" w:bottom="1440" w:left="851" w:header="540" w:footer="4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16D" w:rsidRDefault="0041316D" w:rsidP="005B1A6F">
      <w:r>
        <w:separator/>
      </w:r>
    </w:p>
  </w:endnote>
  <w:endnote w:type="continuationSeparator" w:id="0">
    <w:p w:rsidR="0041316D" w:rsidRDefault="0041316D" w:rsidP="005B1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0"/>
        <w:szCs w:val="20"/>
      </w:rPr>
      <w:id w:val="-145589621"/>
      <w:docPartObj>
        <w:docPartGallery w:val="Page Numbers (Bottom of Page)"/>
        <w:docPartUnique/>
      </w:docPartObj>
    </w:sdtPr>
    <w:sdtEndPr/>
    <w:sdtContent>
      <w:sdt>
        <w:sdtPr>
          <w:rPr>
            <w:rFonts w:asciiTheme="majorHAnsi" w:hAnsiTheme="majorHAnsi"/>
            <w:sz w:val="20"/>
            <w:szCs w:val="20"/>
          </w:rPr>
          <w:id w:val="860082579"/>
          <w:docPartObj>
            <w:docPartGallery w:val="Page Numbers (Top of Page)"/>
            <w:docPartUnique/>
          </w:docPartObj>
        </w:sdtPr>
        <w:sdtEndPr/>
        <w:sdtContent>
          <w:p w:rsidR="00C96B78" w:rsidRPr="00D74E36" w:rsidRDefault="00C96B78">
            <w:pPr>
              <w:pStyle w:val="Footer"/>
              <w:jc w:val="right"/>
              <w:rPr>
                <w:rFonts w:asciiTheme="majorHAnsi" w:hAnsiTheme="majorHAnsi"/>
                <w:sz w:val="20"/>
                <w:szCs w:val="20"/>
              </w:rPr>
            </w:pPr>
            <w:r w:rsidRPr="00D74E36">
              <w:rPr>
                <w:rFonts w:asciiTheme="majorHAnsi" w:hAnsiTheme="majorHAnsi"/>
                <w:sz w:val="20"/>
                <w:szCs w:val="20"/>
              </w:rPr>
              <w:t xml:space="preserve">Page </w:t>
            </w:r>
            <w:r w:rsidRPr="00D74E36">
              <w:rPr>
                <w:rFonts w:asciiTheme="majorHAnsi" w:hAnsiTheme="majorHAnsi"/>
                <w:bCs/>
                <w:sz w:val="20"/>
                <w:szCs w:val="20"/>
              </w:rPr>
              <w:fldChar w:fldCharType="begin"/>
            </w:r>
            <w:r w:rsidRPr="00D74E36">
              <w:rPr>
                <w:rFonts w:asciiTheme="majorHAnsi" w:hAnsiTheme="majorHAnsi"/>
                <w:bCs/>
                <w:sz w:val="20"/>
                <w:szCs w:val="20"/>
              </w:rPr>
              <w:instrText xml:space="preserve"> PAGE </w:instrText>
            </w:r>
            <w:r w:rsidRPr="00D74E36">
              <w:rPr>
                <w:rFonts w:asciiTheme="majorHAnsi" w:hAnsiTheme="majorHAnsi"/>
                <w:bCs/>
                <w:sz w:val="20"/>
                <w:szCs w:val="20"/>
              </w:rPr>
              <w:fldChar w:fldCharType="separate"/>
            </w:r>
            <w:r w:rsidR="00B907DE">
              <w:rPr>
                <w:rFonts w:asciiTheme="majorHAnsi" w:hAnsiTheme="majorHAnsi"/>
                <w:bCs/>
                <w:noProof/>
                <w:sz w:val="20"/>
                <w:szCs w:val="20"/>
              </w:rPr>
              <w:t>40</w:t>
            </w:r>
            <w:r w:rsidRPr="00D74E36">
              <w:rPr>
                <w:rFonts w:asciiTheme="majorHAnsi" w:hAnsiTheme="majorHAnsi"/>
                <w:bCs/>
                <w:sz w:val="20"/>
                <w:szCs w:val="20"/>
              </w:rPr>
              <w:fldChar w:fldCharType="end"/>
            </w:r>
            <w:r>
              <w:rPr>
                <w:rFonts w:asciiTheme="majorHAnsi" w:hAnsiTheme="majorHAnsi"/>
                <w:sz w:val="20"/>
                <w:szCs w:val="20"/>
              </w:rPr>
              <w:t xml:space="preserve"> de</w:t>
            </w:r>
            <w:r w:rsidRPr="00D74E36">
              <w:rPr>
                <w:rFonts w:asciiTheme="majorHAnsi" w:hAnsiTheme="majorHAnsi"/>
                <w:sz w:val="20"/>
                <w:szCs w:val="20"/>
              </w:rPr>
              <w:t xml:space="preserve"> </w:t>
            </w:r>
            <w:r w:rsidRPr="00D74E36">
              <w:rPr>
                <w:rFonts w:asciiTheme="majorHAnsi" w:hAnsiTheme="majorHAnsi"/>
                <w:bCs/>
                <w:sz w:val="20"/>
                <w:szCs w:val="20"/>
              </w:rPr>
              <w:fldChar w:fldCharType="begin"/>
            </w:r>
            <w:r w:rsidRPr="00D74E36">
              <w:rPr>
                <w:rFonts w:asciiTheme="majorHAnsi" w:hAnsiTheme="majorHAnsi"/>
                <w:bCs/>
                <w:sz w:val="20"/>
                <w:szCs w:val="20"/>
              </w:rPr>
              <w:instrText xml:space="preserve"> NUMPAGES  </w:instrText>
            </w:r>
            <w:r w:rsidRPr="00D74E36">
              <w:rPr>
                <w:rFonts w:asciiTheme="majorHAnsi" w:hAnsiTheme="majorHAnsi"/>
                <w:bCs/>
                <w:sz w:val="20"/>
                <w:szCs w:val="20"/>
              </w:rPr>
              <w:fldChar w:fldCharType="separate"/>
            </w:r>
            <w:r w:rsidR="00B907DE">
              <w:rPr>
                <w:rFonts w:asciiTheme="majorHAnsi" w:hAnsiTheme="majorHAnsi"/>
                <w:bCs/>
                <w:noProof/>
                <w:sz w:val="20"/>
                <w:szCs w:val="20"/>
              </w:rPr>
              <w:t>40</w:t>
            </w:r>
            <w:r w:rsidRPr="00D74E36">
              <w:rPr>
                <w:rFonts w:asciiTheme="majorHAnsi" w:hAnsiTheme="majorHAnsi"/>
                <w:bCs/>
                <w:sz w:val="20"/>
                <w:szCs w:val="20"/>
              </w:rPr>
              <w:fldChar w:fldCharType="end"/>
            </w:r>
          </w:p>
        </w:sdtContent>
      </w:sdt>
    </w:sdtContent>
  </w:sdt>
  <w:p w:rsidR="00C96B78" w:rsidRDefault="00C96B78" w:rsidP="005A7731">
    <w:pPr>
      <w:pStyle w:val="Footer"/>
      <w:ind w:left="-1260"/>
    </w:pPr>
    <w:r>
      <w:rPr>
        <w:noProof/>
        <w:lang w:val="en-CA" w:eastAsia="en-CA"/>
      </w:rPr>
      <w:drawing>
        <wp:anchor distT="0" distB="0" distL="114300" distR="114300" simplePos="0" relativeHeight="251664384" behindDoc="1" locked="0" layoutInCell="1" allowOverlap="1" wp14:anchorId="653734E2" wp14:editId="11F4A29D">
          <wp:simplePos x="0" y="0"/>
          <wp:positionH relativeFrom="column">
            <wp:posOffset>-161797</wp:posOffset>
          </wp:positionH>
          <wp:positionV relativeFrom="paragraph">
            <wp:posOffset>-333818</wp:posOffset>
          </wp:positionV>
          <wp:extent cx="6943344" cy="1219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gne mauve.jpg"/>
                  <pic:cNvPicPr/>
                </pic:nvPicPr>
                <pic:blipFill>
                  <a:blip r:embed="rId1">
                    <a:extLst>
                      <a:ext uri="{28A0092B-C50C-407E-A947-70E740481C1C}">
                        <a14:useLocalDpi xmlns:a14="http://schemas.microsoft.com/office/drawing/2010/main" val="0"/>
                      </a:ext>
                    </a:extLst>
                  </a:blip>
                  <a:stretch>
                    <a:fillRect/>
                  </a:stretch>
                </pic:blipFill>
                <pic:spPr>
                  <a:xfrm flipV="1">
                    <a:off x="0" y="0"/>
                    <a:ext cx="6943344" cy="1219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B78" w:rsidRDefault="00C96B78">
    <w:pPr>
      <w:pStyle w:val="Footer"/>
    </w:pPr>
    <w:r>
      <w:rPr>
        <w:noProof/>
        <w:lang w:val="en-CA" w:eastAsia="en-CA"/>
      </w:rPr>
      <w:drawing>
        <wp:anchor distT="0" distB="0" distL="114300" distR="114300" simplePos="0" relativeHeight="251660288" behindDoc="1" locked="0" layoutInCell="1" allowOverlap="1" wp14:anchorId="42F37181" wp14:editId="10563509">
          <wp:simplePos x="0" y="0"/>
          <wp:positionH relativeFrom="column">
            <wp:posOffset>-56625</wp:posOffset>
          </wp:positionH>
          <wp:positionV relativeFrom="paragraph">
            <wp:posOffset>-418465</wp:posOffset>
          </wp:positionV>
          <wp:extent cx="7065264" cy="819912"/>
          <wp:effectExtent l="0" t="0" r="254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mark-01.jpg"/>
                  <pic:cNvPicPr/>
                </pic:nvPicPr>
                <pic:blipFill>
                  <a:blip r:embed="rId1">
                    <a:extLst>
                      <a:ext uri="{28A0092B-C50C-407E-A947-70E740481C1C}">
                        <a14:useLocalDpi xmlns:a14="http://schemas.microsoft.com/office/drawing/2010/main" val="0"/>
                      </a:ext>
                    </a:extLst>
                  </a:blip>
                  <a:stretch>
                    <a:fillRect/>
                  </a:stretch>
                </pic:blipFill>
                <pic:spPr>
                  <a:xfrm>
                    <a:off x="0" y="0"/>
                    <a:ext cx="7065264" cy="819912"/>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16D" w:rsidRDefault="0041316D" w:rsidP="005B1A6F">
      <w:r>
        <w:separator/>
      </w:r>
    </w:p>
  </w:footnote>
  <w:footnote w:type="continuationSeparator" w:id="0">
    <w:p w:rsidR="0041316D" w:rsidRDefault="0041316D" w:rsidP="005B1A6F">
      <w:r>
        <w:continuationSeparator/>
      </w:r>
    </w:p>
  </w:footnote>
  <w:footnote w:id="1">
    <w:p w:rsidR="004D6DB3" w:rsidRPr="004D6DB3" w:rsidRDefault="004D6DB3" w:rsidP="004D6DB3">
      <w:pPr>
        <w:rPr>
          <w:rFonts w:ascii="Arial" w:hAnsi="Arial" w:cs="Arial"/>
          <w:sz w:val="16"/>
          <w:szCs w:val="16"/>
          <w:lang w:val="fr-CA"/>
        </w:rPr>
      </w:pPr>
      <w:r w:rsidRPr="004D6DB3">
        <w:rPr>
          <w:rStyle w:val="FootnoteReference"/>
          <w:sz w:val="16"/>
          <w:szCs w:val="16"/>
        </w:rPr>
        <w:footnoteRef/>
      </w:r>
      <w:r w:rsidRPr="004D6DB3">
        <w:rPr>
          <w:sz w:val="16"/>
          <w:szCs w:val="16"/>
          <w:lang w:val="fr-CA"/>
        </w:rPr>
        <w:t xml:space="preserve"> </w:t>
      </w:r>
      <w:r w:rsidRPr="004D6DB3">
        <w:rPr>
          <w:rFonts w:ascii="Arial" w:hAnsi="Arial" w:cs="Arial"/>
          <w:sz w:val="16"/>
          <w:szCs w:val="16"/>
          <w:lang w:val="fr-CA"/>
        </w:rPr>
        <w:t>Alors que la directive révisée sur les dépenses de voyages, d’accueil, de conférence et d’événement est entrée en vigueur le 1</w:t>
      </w:r>
      <w:r w:rsidRPr="004D6DB3">
        <w:rPr>
          <w:rFonts w:ascii="Arial" w:hAnsi="Arial" w:cs="Arial"/>
          <w:sz w:val="16"/>
          <w:szCs w:val="16"/>
          <w:vertAlign w:val="superscript"/>
          <w:lang w:val="fr-CA"/>
        </w:rPr>
        <w:t>er</w:t>
      </w:r>
      <w:r w:rsidRPr="004D6DB3">
        <w:rPr>
          <w:rFonts w:ascii="Arial" w:hAnsi="Arial" w:cs="Arial"/>
          <w:sz w:val="16"/>
          <w:szCs w:val="16"/>
          <w:lang w:val="fr-CA"/>
        </w:rPr>
        <w:t xml:space="preserve"> avril 2017, le ministère la mettra en œuvre à l’automne 2017 une fois que les étapes requises seront en place pour mettre en œuvre les nouvelles exigences.</w:t>
      </w:r>
    </w:p>
    <w:p w:rsidR="004D6DB3" w:rsidRPr="004D6DB3" w:rsidRDefault="004D6DB3">
      <w:pPr>
        <w:pStyle w:val="FootnoteText"/>
        <w:rPr>
          <w:lang w:val="fr-CA"/>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B78" w:rsidRDefault="00C96B78" w:rsidP="001A3C46">
    <w:pPr>
      <w:pStyle w:val="Header"/>
      <w:ind w:left="-1440"/>
    </w:pPr>
    <w:r>
      <w:rPr>
        <w:noProof/>
        <w:lang w:val="en-CA" w:eastAsia="en-CA"/>
      </w:rPr>
      <w:drawing>
        <wp:anchor distT="0" distB="0" distL="114300" distR="114300" simplePos="0" relativeHeight="251662336" behindDoc="1" locked="0" layoutInCell="1" allowOverlap="1" wp14:anchorId="159A15A4" wp14:editId="533CF95D">
          <wp:simplePos x="0" y="0"/>
          <wp:positionH relativeFrom="column">
            <wp:posOffset>-61129</wp:posOffset>
          </wp:positionH>
          <wp:positionV relativeFrom="paragraph">
            <wp:posOffset>154997</wp:posOffset>
          </wp:positionV>
          <wp:extent cx="6943344" cy="12192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gne mauve.jpg"/>
                  <pic:cNvPicPr/>
                </pic:nvPicPr>
                <pic:blipFill>
                  <a:blip r:embed="rId1">
                    <a:extLst>
                      <a:ext uri="{28A0092B-C50C-407E-A947-70E740481C1C}">
                        <a14:useLocalDpi xmlns:a14="http://schemas.microsoft.com/office/drawing/2010/main" val="0"/>
                      </a:ext>
                    </a:extLst>
                  </a:blip>
                  <a:stretch>
                    <a:fillRect/>
                  </a:stretch>
                </pic:blipFill>
                <pic:spPr>
                  <a:xfrm flipV="1">
                    <a:off x="0" y="0"/>
                    <a:ext cx="6943344" cy="1219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B78" w:rsidRDefault="00C96B78">
    <w:pPr>
      <w:pStyle w:val="Header"/>
    </w:pPr>
    <w:r>
      <w:rPr>
        <w:noProof/>
        <w:lang w:val="en-CA" w:eastAsia="en-CA"/>
      </w:rPr>
      <w:drawing>
        <wp:anchor distT="0" distB="0" distL="114300" distR="114300" simplePos="0" relativeHeight="251658240" behindDoc="1" locked="0" layoutInCell="1" allowOverlap="1" wp14:anchorId="710F12B6" wp14:editId="6A4DBA5D">
          <wp:simplePos x="0" y="0"/>
          <wp:positionH relativeFrom="column">
            <wp:posOffset>-165683</wp:posOffset>
          </wp:positionH>
          <wp:positionV relativeFrom="paragraph">
            <wp:posOffset>0</wp:posOffset>
          </wp:positionV>
          <wp:extent cx="7001256" cy="1033272"/>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DC_F-01-01.jpg"/>
                  <pic:cNvPicPr/>
                </pic:nvPicPr>
                <pic:blipFill>
                  <a:blip r:embed="rId1">
                    <a:extLst>
                      <a:ext uri="{28A0092B-C50C-407E-A947-70E740481C1C}">
                        <a14:useLocalDpi xmlns:a14="http://schemas.microsoft.com/office/drawing/2010/main" val="0"/>
                      </a:ext>
                    </a:extLst>
                  </a:blip>
                  <a:stretch>
                    <a:fillRect/>
                  </a:stretch>
                </pic:blipFill>
                <pic:spPr>
                  <a:xfrm>
                    <a:off x="0" y="0"/>
                    <a:ext cx="7001256" cy="1033272"/>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03E0"/>
    <w:multiLevelType w:val="hybridMultilevel"/>
    <w:tmpl w:val="C5027B8E"/>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7351F22"/>
    <w:multiLevelType w:val="hybridMultilevel"/>
    <w:tmpl w:val="3B6AA086"/>
    <w:lvl w:ilvl="0" w:tplc="1009000D">
      <w:start w:val="1"/>
      <w:numFmt w:val="bullet"/>
      <w:lvlText w:val=""/>
      <w:lvlJc w:val="left"/>
      <w:pPr>
        <w:tabs>
          <w:tab w:val="num" w:pos="644"/>
        </w:tabs>
        <w:ind w:left="644" w:hanging="360"/>
      </w:pPr>
      <w:rPr>
        <w:rFonts w:ascii="Wingdings" w:hAnsi="Wingdings" w:hint="default"/>
      </w:rPr>
    </w:lvl>
    <w:lvl w:ilvl="1" w:tplc="10090003" w:tentative="1">
      <w:start w:val="1"/>
      <w:numFmt w:val="bullet"/>
      <w:lvlText w:val="o"/>
      <w:lvlJc w:val="left"/>
      <w:pPr>
        <w:tabs>
          <w:tab w:val="num" w:pos="1364"/>
        </w:tabs>
        <w:ind w:left="1364" w:hanging="360"/>
      </w:pPr>
      <w:rPr>
        <w:rFonts w:ascii="Courier New" w:hAnsi="Courier New" w:cs="Courier New" w:hint="default"/>
      </w:rPr>
    </w:lvl>
    <w:lvl w:ilvl="2" w:tplc="10090005" w:tentative="1">
      <w:start w:val="1"/>
      <w:numFmt w:val="bullet"/>
      <w:lvlText w:val=""/>
      <w:lvlJc w:val="left"/>
      <w:pPr>
        <w:tabs>
          <w:tab w:val="num" w:pos="2084"/>
        </w:tabs>
        <w:ind w:left="2084" w:hanging="360"/>
      </w:pPr>
      <w:rPr>
        <w:rFonts w:ascii="Wingdings" w:hAnsi="Wingdings" w:hint="default"/>
      </w:rPr>
    </w:lvl>
    <w:lvl w:ilvl="3" w:tplc="10090001" w:tentative="1">
      <w:start w:val="1"/>
      <w:numFmt w:val="bullet"/>
      <w:lvlText w:val=""/>
      <w:lvlJc w:val="left"/>
      <w:pPr>
        <w:tabs>
          <w:tab w:val="num" w:pos="2804"/>
        </w:tabs>
        <w:ind w:left="2804" w:hanging="360"/>
      </w:pPr>
      <w:rPr>
        <w:rFonts w:ascii="Symbol" w:hAnsi="Symbol" w:hint="default"/>
      </w:rPr>
    </w:lvl>
    <w:lvl w:ilvl="4" w:tplc="10090003" w:tentative="1">
      <w:start w:val="1"/>
      <w:numFmt w:val="bullet"/>
      <w:lvlText w:val="o"/>
      <w:lvlJc w:val="left"/>
      <w:pPr>
        <w:tabs>
          <w:tab w:val="num" w:pos="3524"/>
        </w:tabs>
        <w:ind w:left="3524" w:hanging="360"/>
      </w:pPr>
      <w:rPr>
        <w:rFonts w:ascii="Courier New" w:hAnsi="Courier New" w:cs="Courier New" w:hint="default"/>
      </w:rPr>
    </w:lvl>
    <w:lvl w:ilvl="5" w:tplc="10090005" w:tentative="1">
      <w:start w:val="1"/>
      <w:numFmt w:val="bullet"/>
      <w:lvlText w:val=""/>
      <w:lvlJc w:val="left"/>
      <w:pPr>
        <w:tabs>
          <w:tab w:val="num" w:pos="4244"/>
        </w:tabs>
        <w:ind w:left="4244" w:hanging="360"/>
      </w:pPr>
      <w:rPr>
        <w:rFonts w:ascii="Wingdings" w:hAnsi="Wingdings" w:hint="default"/>
      </w:rPr>
    </w:lvl>
    <w:lvl w:ilvl="6" w:tplc="10090001" w:tentative="1">
      <w:start w:val="1"/>
      <w:numFmt w:val="bullet"/>
      <w:lvlText w:val=""/>
      <w:lvlJc w:val="left"/>
      <w:pPr>
        <w:tabs>
          <w:tab w:val="num" w:pos="4964"/>
        </w:tabs>
        <w:ind w:left="4964" w:hanging="360"/>
      </w:pPr>
      <w:rPr>
        <w:rFonts w:ascii="Symbol" w:hAnsi="Symbol" w:hint="default"/>
      </w:rPr>
    </w:lvl>
    <w:lvl w:ilvl="7" w:tplc="10090003" w:tentative="1">
      <w:start w:val="1"/>
      <w:numFmt w:val="bullet"/>
      <w:lvlText w:val="o"/>
      <w:lvlJc w:val="left"/>
      <w:pPr>
        <w:tabs>
          <w:tab w:val="num" w:pos="5684"/>
        </w:tabs>
        <w:ind w:left="5684" w:hanging="360"/>
      </w:pPr>
      <w:rPr>
        <w:rFonts w:ascii="Courier New" w:hAnsi="Courier New" w:cs="Courier New" w:hint="default"/>
      </w:rPr>
    </w:lvl>
    <w:lvl w:ilvl="8" w:tplc="10090005" w:tentative="1">
      <w:start w:val="1"/>
      <w:numFmt w:val="bullet"/>
      <w:lvlText w:val=""/>
      <w:lvlJc w:val="left"/>
      <w:pPr>
        <w:tabs>
          <w:tab w:val="num" w:pos="6404"/>
        </w:tabs>
        <w:ind w:left="6404" w:hanging="360"/>
      </w:pPr>
      <w:rPr>
        <w:rFonts w:ascii="Wingdings" w:hAnsi="Wingdings" w:hint="default"/>
      </w:rPr>
    </w:lvl>
  </w:abstractNum>
  <w:abstractNum w:abstractNumId="2">
    <w:nsid w:val="092C1EE0"/>
    <w:multiLevelType w:val="hybridMultilevel"/>
    <w:tmpl w:val="57E0B09C"/>
    <w:lvl w:ilvl="0" w:tplc="9CC48A3A">
      <w:start w:val="1"/>
      <w:numFmt w:val="bullet"/>
      <w:lvlText w:val=""/>
      <w:lvlJc w:val="left"/>
      <w:pPr>
        <w:tabs>
          <w:tab w:val="num" w:pos="454"/>
        </w:tabs>
        <w:ind w:left="454" w:hanging="284"/>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0B23794C"/>
    <w:multiLevelType w:val="hybridMultilevel"/>
    <w:tmpl w:val="3B14DF06"/>
    <w:lvl w:ilvl="0" w:tplc="9CC48A3A">
      <w:start w:val="1"/>
      <w:numFmt w:val="bullet"/>
      <w:lvlText w:val=""/>
      <w:lvlJc w:val="left"/>
      <w:pPr>
        <w:tabs>
          <w:tab w:val="num" w:pos="454"/>
        </w:tabs>
        <w:ind w:left="454" w:hanging="284"/>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0D094271"/>
    <w:multiLevelType w:val="hybridMultilevel"/>
    <w:tmpl w:val="41F82358"/>
    <w:lvl w:ilvl="0" w:tplc="9CC48A3A">
      <w:start w:val="1"/>
      <w:numFmt w:val="bullet"/>
      <w:lvlText w:val=""/>
      <w:lvlJc w:val="left"/>
      <w:pPr>
        <w:tabs>
          <w:tab w:val="num" w:pos="454"/>
        </w:tabs>
        <w:ind w:left="454" w:hanging="284"/>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10221CFC"/>
    <w:multiLevelType w:val="hybridMultilevel"/>
    <w:tmpl w:val="2B4431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0BA53D8"/>
    <w:multiLevelType w:val="hybridMultilevel"/>
    <w:tmpl w:val="8AB251F0"/>
    <w:lvl w:ilvl="0" w:tplc="9CC48A3A">
      <w:start w:val="1"/>
      <w:numFmt w:val="bullet"/>
      <w:lvlText w:val=""/>
      <w:lvlJc w:val="left"/>
      <w:pPr>
        <w:tabs>
          <w:tab w:val="num" w:pos="454"/>
        </w:tabs>
        <w:ind w:left="454" w:hanging="284"/>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18DC5E68"/>
    <w:multiLevelType w:val="hybridMultilevel"/>
    <w:tmpl w:val="20DC1680"/>
    <w:lvl w:ilvl="0" w:tplc="1AB84E8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48A0495"/>
    <w:multiLevelType w:val="hybridMultilevel"/>
    <w:tmpl w:val="DD7EC6CC"/>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9">
    <w:nsid w:val="2BD11F62"/>
    <w:multiLevelType w:val="hybridMultilevel"/>
    <w:tmpl w:val="3A288D84"/>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2CD407DD"/>
    <w:multiLevelType w:val="multilevel"/>
    <w:tmpl w:val="CD5CD746"/>
    <w:lvl w:ilvl="0">
      <w:start w:val="1"/>
      <w:numFmt w:val="decimal"/>
      <w:lvlText w:val="%1."/>
      <w:lvlJc w:val="left"/>
      <w:pPr>
        <w:tabs>
          <w:tab w:val="num" w:pos="720"/>
        </w:tabs>
        <w:ind w:left="720" w:hanging="360"/>
      </w:pPr>
    </w:lvl>
    <w:lvl w:ilvl="1">
      <w:start w:val="1"/>
      <w:numFmt w:val="decimal"/>
      <w:isLgl/>
      <w:lvlText w:val="%1.%2"/>
      <w:lvlJc w:val="left"/>
      <w:pPr>
        <w:ind w:left="1032" w:hanging="672"/>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32220FE2"/>
    <w:multiLevelType w:val="hybridMultilevel"/>
    <w:tmpl w:val="E6D03C4C"/>
    <w:lvl w:ilvl="0" w:tplc="1009000D">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335218EE"/>
    <w:multiLevelType w:val="hybridMultilevel"/>
    <w:tmpl w:val="2F34590A"/>
    <w:lvl w:ilvl="0" w:tplc="10090001">
      <w:start w:val="1"/>
      <w:numFmt w:val="bullet"/>
      <w:lvlText w:val=""/>
      <w:lvlJc w:val="left"/>
      <w:pPr>
        <w:ind w:left="1350" w:hanging="360"/>
      </w:pPr>
      <w:rPr>
        <w:rFonts w:ascii="Symbol" w:hAnsi="Symbol" w:hint="default"/>
      </w:rPr>
    </w:lvl>
    <w:lvl w:ilvl="1" w:tplc="10090003" w:tentative="1">
      <w:start w:val="1"/>
      <w:numFmt w:val="bullet"/>
      <w:lvlText w:val="o"/>
      <w:lvlJc w:val="left"/>
      <w:pPr>
        <w:ind w:left="2070" w:hanging="360"/>
      </w:pPr>
      <w:rPr>
        <w:rFonts w:ascii="Courier New" w:hAnsi="Courier New" w:cs="Courier New" w:hint="default"/>
      </w:rPr>
    </w:lvl>
    <w:lvl w:ilvl="2" w:tplc="10090005" w:tentative="1">
      <w:start w:val="1"/>
      <w:numFmt w:val="bullet"/>
      <w:lvlText w:val=""/>
      <w:lvlJc w:val="left"/>
      <w:pPr>
        <w:ind w:left="2790" w:hanging="360"/>
      </w:pPr>
      <w:rPr>
        <w:rFonts w:ascii="Wingdings" w:hAnsi="Wingdings" w:hint="default"/>
      </w:rPr>
    </w:lvl>
    <w:lvl w:ilvl="3" w:tplc="10090001" w:tentative="1">
      <w:start w:val="1"/>
      <w:numFmt w:val="bullet"/>
      <w:lvlText w:val=""/>
      <w:lvlJc w:val="left"/>
      <w:pPr>
        <w:ind w:left="3510" w:hanging="360"/>
      </w:pPr>
      <w:rPr>
        <w:rFonts w:ascii="Symbol" w:hAnsi="Symbol" w:hint="default"/>
      </w:rPr>
    </w:lvl>
    <w:lvl w:ilvl="4" w:tplc="10090003" w:tentative="1">
      <w:start w:val="1"/>
      <w:numFmt w:val="bullet"/>
      <w:lvlText w:val="o"/>
      <w:lvlJc w:val="left"/>
      <w:pPr>
        <w:ind w:left="4230" w:hanging="360"/>
      </w:pPr>
      <w:rPr>
        <w:rFonts w:ascii="Courier New" w:hAnsi="Courier New" w:cs="Courier New" w:hint="default"/>
      </w:rPr>
    </w:lvl>
    <w:lvl w:ilvl="5" w:tplc="10090005" w:tentative="1">
      <w:start w:val="1"/>
      <w:numFmt w:val="bullet"/>
      <w:lvlText w:val=""/>
      <w:lvlJc w:val="left"/>
      <w:pPr>
        <w:ind w:left="4950" w:hanging="360"/>
      </w:pPr>
      <w:rPr>
        <w:rFonts w:ascii="Wingdings" w:hAnsi="Wingdings" w:hint="default"/>
      </w:rPr>
    </w:lvl>
    <w:lvl w:ilvl="6" w:tplc="10090001" w:tentative="1">
      <w:start w:val="1"/>
      <w:numFmt w:val="bullet"/>
      <w:lvlText w:val=""/>
      <w:lvlJc w:val="left"/>
      <w:pPr>
        <w:ind w:left="5670" w:hanging="360"/>
      </w:pPr>
      <w:rPr>
        <w:rFonts w:ascii="Symbol" w:hAnsi="Symbol" w:hint="default"/>
      </w:rPr>
    </w:lvl>
    <w:lvl w:ilvl="7" w:tplc="10090003" w:tentative="1">
      <w:start w:val="1"/>
      <w:numFmt w:val="bullet"/>
      <w:lvlText w:val="o"/>
      <w:lvlJc w:val="left"/>
      <w:pPr>
        <w:ind w:left="6390" w:hanging="360"/>
      </w:pPr>
      <w:rPr>
        <w:rFonts w:ascii="Courier New" w:hAnsi="Courier New" w:cs="Courier New" w:hint="default"/>
      </w:rPr>
    </w:lvl>
    <w:lvl w:ilvl="8" w:tplc="10090005" w:tentative="1">
      <w:start w:val="1"/>
      <w:numFmt w:val="bullet"/>
      <w:lvlText w:val=""/>
      <w:lvlJc w:val="left"/>
      <w:pPr>
        <w:ind w:left="7110" w:hanging="360"/>
      </w:pPr>
      <w:rPr>
        <w:rFonts w:ascii="Wingdings" w:hAnsi="Wingdings" w:hint="default"/>
      </w:rPr>
    </w:lvl>
  </w:abstractNum>
  <w:abstractNum w:abstractNumId="13">
    <w:nsid w:val="37BF6206"/>
    <w:multiLevelType w:val="hybridMultilevel"/>
    <w:tmpl w:val="26BC3D30"/>
    <w:lvl w:ilvl="0" w:tplc="BECAD740">
      <w:start w:val="1"/>
      <w:numFmt w:val="bullet"/>
      <w:lvlText w:val=""/>
      <w:lvlJc w:val="left"/>
      <w:pPr>
        <w:tabs>
          <w:tab w:val="num" w:pos="1219"/>
        </w:tabs>
        <w:ind w:left="1219" w:hanging="284"/>
      </w:pPr>
      <w:rPr>
        <w:rFonts w:ascii="Symbol" w:hAnsi="Symbol" w:hint="default"/>
        <w:dstrike w:val="0"/>
      </w:rPr>
    </w:lvl>
    <w:lvl w:ilvl="1" w:tplc="10090003" w:tentative="1">
      <w:start w:val="1"/>
      <w:numFmt w:val="bullet"/>
      <w:lvlText w:val="o"/>
      <w:lvlJc w:val="left"/>
      <w:pPr>
        <w:tabs>
          <w:tab w:val="num" w:pos="2780"/>
        </w:tabs>
        <w:ind w:left="2780" w:hanging="360"/>
      </w:pPr>
      <w:rPr>
        <w:rFonts w:ascii="Courier New" w:hAnsi="Courier New" w:cs="Courier New" w:hint="default"/>
      </w:rPr>
    </w:lvl>
    <w:lvl w:ilvl="2" w:tplc="10090005" w:tentative="1">
      <w:start w:val="1"/>
      <w:numFmt w:val="bullet"/>
      <w:lvlText w:val=""/>
      <w:lvlJc w:val="left"/>
      <w:pPr>
        <w:tabs>
          <w:tab w:val="num" w:pos="3500"/>
        </w:tabs>
        <w:ind w:left="3500" w:hanging="360"/>
      </w:pPr>
      <w:rPr>
        <w:rFonts w:ascii="Wingdings" w:hAnsi="Wingdings" w:hint="default"/>
      </w:rPr>
    </w:lvl>
    <w:lvl w:ilvl="3" w:tplc="10090001" w:tentative="1">
      <w:start w:val="1"/>
      <w:numFmt w:val="bullet"/>
      <w:lvlText w:val=""/>
      <w:lvlJc w:val="left"/>
      <w:pPr>
        <w:tabs>
          <w:tab w:val="num" w:pos="4220"/>
        </w:tabs>
        <w:ind w:left="4220" w:hanging="360"/>
      </w:pPr>
      <w:rPr>
        <w:rFonts w:ascii="Symbol" w:hAnsi="Symbol" w:hint="default"/>
      </w:rPr>
    </w:lvl>
    <w:lvl w:ilvl="4" w:tplc="10090003" w:tentative="1">
      <w:start w:val="1"/>
      <w:numFmt w:val="bullet"/>
      <w:lvlText w:val="o"/>
      <w:lvlJc w:val="left"/>
      <w:pPr>
        <w:tabs>
          <w:tab w:val="num" w:pos="4940"/>
        </w:tabs>
        <w:ind w:left="4940" w:hanging="360"/>
      </w:pPr>
      <w:rPr>
        <w:rFonts w:ascii="Courier New" w:hAnsi="Courier New" w:cs="Courier New" w:hint="default"/>
      </w:rPr>
    </w:lvl>
    <w:lvl w:ilvl="5" w:tplc="10090005" w:tentative="1">
      <w:start w:val="1"/>
      <w:numFmt w:val="bullet"/>
      <w:lvlText w:val=""/>
      <w:lvlJc w:val="left"/>
      <w:pPr>
        <w:tabs>
          <w:tab w:val="num" w:pos="5660"/>
        </w:tabs>
        <w:ind w:left="5660" w:hanging="360"/>
      </w:pPr>
      <w:rPr>
        <w:rFonts w:ascii="Wingdings" w:hAnsi="Wingdings" w:hint="default"/>
      </w:rPr>
    </w:lvl>
    <w:lvl w:ilvl="6" w:tplc="10090001" w:tentative="1">
      <w:start w:val="1"/>
      <w:numFmt w:val="bullet"/>
      <w:lvlText w:val=""/>
      <w:lvlJc w:val="left"/>
      <w:pPr>
        <w:tabs>
          <w:tab w:val="num" w:pos="6380"/>
        </w:tabs>
        <w:ind w:left="6380" w:hanging="360"/>
      </w:pPr>
      <w:rPr>
        <w:rFonts w:ascii="Symbol" w:hAnsi="Symbol" w:hint="default"/>
      </w:rPr>
    </w:lvl>
    <w:lvl w:ilvl="7" w:tplc="10090003" w:tentative="1">
      <w:start w:val="1"/>
      <w:numFmt w:val="bullet"/>
      <w:lvlText w:val="o"/>
      <w:lvlJc w:val="left"/>
      <w:pPr>
        <w:tabs>
          <w:tab w:val="num" w:pos="7100"/>
        </w:tabs>
        <w:ind w:left="7100" w:hanging="360"/>
      </w:pPr>
      <w:rPr>
        <w:rFonts w:ascii="Courier New" w:hAnsi="Courier New" w:cs="Courier New" w:hint="default"/>
      </w:rPr>
    </w:lvl>
    <w:lvl w:ilvl="8" w:tplc="10090005" w:tentative="1">
      <w:start w:val="1"/>
      <w:numFmt w:val="bullet"/>
      <w:lvlText w:val=""/>
      <w:lvlJc w:val="left"/>
      <w:pPr>
        <w:tabs>
          <w:tab w:val="num" w:pos="7820"/>
        </w:tabs>
        <w:ind w:left="7820" w:hanging="360"/>
      </w:pPr>
      <w:rPr>
        <w:rFonts w:ascii="Wingdings" w:hAnsi="Wingdings" w:hint="default"/>
      </w:rPr>
    </w:lvl>
  </w:abstractNum>
  <w:abstractNum w:abstractNumId="14">
    <w:nsid w:val="3E8D69B2"/>
    <w:multiLevelType w:val="hybridMultilevel"/>
    <w:tmpl w:val="4AE0E814"/>
    <w:lvl w:ilvl="0" w:tplc="093A3BDA">
      <w:start w:val="1"/>
      <w:numFmt w:val="bullet"/>
      <w:lvlText w:val=""/>
      <w:lvlJc w:val="left"/>
      <w:pPr>
        <w:ind w:left="720" w:hanging="360"/>
      </w:pPr>
      <w:rPr>
        <w:rFonts w:ascii="Wingdings" w:hAnsi="Wingdings" w:hint="default"/>
        <w:lang w:val="fr-CA"/>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46322E07"/>
    <w:multiLevelType w:val="hybridMultilevel"/>
    <w:tmpl w:val="DEDAF6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4FAD53DA"/>
    <w:multiLevelType w:val="hybridMultilevel"/>
    <w:tmpl w:val="957C55FC"/>
    <w:lvl w:ilvl="0" w:tplc="093A3BDA">
      <w:start w:val="1"/>
      <w:numFmt w:val="bullet"/>
      <w:lvlText w:val=""/>
      <w:lvlJc w:val="left"/>
      <w:pPr>
        <w:ind w:left="720" w:hanging="360"/>
      </w:pPr>
      <w:rPr>
        <w:rFonts w:ascii="Wingdings" w:hAnsi="Wingdings" w:hint="default"/>
        <w:lang w:val="fr-CA"/>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588407DB"/>
    <w:multiLevelType w:val="hybridMultilevel"/>
    <w:tmpl w:val="28DA8150"/>
    <w:lvl w:ilvl="0" w:tplc="1009000F">
      <w:start w:val="1"/>
      <w:numFmt w:val="decimal"/>
      <w:lvlText w:val="%1."/>
      <w:lvlJc w:val="left"/>
      <w:pPr>
        <w:tabs>
          <w:tab w:val="num" w:pos="664"/>
        </w:tabs>
        <w:ind w:left="664" w:hanging="360"/>
      </w:pPr>
    </w:lvl>
    <w:lvl w:ilvl="1" w:tplc="10090019" w:tentative="1">
      <w:start w:val="1"/>
      <w:numFmt w:val="lowerLetter"/>
      <w:lvlText w:val="%2."/>
      <w:lvlJc w:val="left"/>
      <w:pPr>
        <w:tabs>
          <w:tab w:val="num" w:pos="1384"/>
        </w:tabs>
        <w:ind w:left="1384" w:hanging="360"/>
      </w:pPr>
    </w:lvl>
    <w:lvl w:ilvl="2" w:tplc="1009001B" w:tentative="1">
      <w:start w:val="1"/>
      <w:numFmt w:val="lowerRoman"/>
      <w:lvlText w:val="%3."/>
      <w:lvlJc w:val="right"/>
      <w:pPr>
        <w:tabs>
          <w:tab w:val="num" w:pos="2104"/>
        </w:tabs>
        <w:ind w:left="2104" w:hanging="180"/>
      </w:pPr>
    </w:lvl>
    <w:lvl w:ilvl="3" w:tplc="1009000F" w:tentative="1">
      <w:start w:val="1"/>
      <w:numFmt w:val="decimal"/>
      <w:lvlText w:val="%4."/>
      <w:lvlJc w:val="left"/>
      <w:pPr>
        <w:tabs>
          <w:tab w:val="num" w:pos="2824"/>
        </w:tabs>
        <w:ind w:left="2824" w:hanging="360"/>
      </w:pPr>
    </w:lvl>
    <w:lvl w:ilvl="4" w:tplc="10090019" w:tentative="1">
      <w:start w:val="1"/>
      <w:numFmt w:val="lowerLetter"/>
      <w:lvlText w:val="%5."/>
      <w:lvlJc w:val="left"/>
      <w:pPr>
        <w:tabs>
          <w:tab w:val="num" w:pos="3544"/>
        </w:tabs>
        <w:ind w:left="3544" w:hanging="360"/>
      </w:pPr>
    </w:lvl>
    <w:lvl w:ilvl="5" w:tplc="1009001B" w:tentative="1">
      <w:start w:val="1"/>
      <w:numFmt w:val="lowerRoman"/>
      <w:lvlText w:val="%6."/>
      <w:lvlJc w:val="right"/>
      <w:pPr>
        <w:tabs>
          <w:tab w:val="num" w:pos="4264"/>
        </w:tabs>
        <w:ind w:left="4264" w:hanging="180"/>
      </w:pPr>
    </w:lvl>
    <w:lvl w:ilvl="6" w:tplc="1009000F" w:tentative="1">
      <w:start w:val="1"/>
      <w:numFmt w:val="decimal"/>
      <w:lvlText w:val="%7."/>
      <w:lvlJc w:val="left"/>
      <w:pPr>
        <w:tabs>
          <w:tab w:val="num" w:pos="4984"/>
        </w:tabs>
        <w:ind w:left="4984" w:hanging="360"/>
      </w:pPr>
    </w:lvl>
    <w:lvl w:ilvl="7" w:tplc="10090019" w:tentative="1">
      <w:start w:val="1"/>
      <w:numFmt w:val="lowerLetter"/>
      <w:lvlText w:val="%8."/>
      <w:lvlJc w:val="left"/>
      <w:pPr>
        <w:tabs>
          <w:tab w:val="num" w:pos="5704"/>
        </w:tabs>
        <w:ind w:left="5704" w:hanging="360"/>
      </w:pPr>
    </w:lvl>
    <w:lvl w:ilvl="8" w:tplc="1009001B" w:tentative="1">
      <w:start w:val="1"/>
      <w:numFmt w:val="lowerRoman"/>
      <w:lvlText w:val="%9."/>
      <w:lvlJc w:val="right"/>
      <w:pPr>
        <w:tabs>
          <w:tab w:val="num" w:pos="6424"/>
        </w:tabs>
        <w:ind w:left="6424" w:hanging="180"/>
      </w:pPr>
    </w:lvl>
  </w:abstractNum>
  <w:abstractNum w:abstractNumId="18">
    <w:nsid w:val="5C3478C1"/>
    <w:multiLevelType w:val="hybridMultilevel"/>
    <w:tmpl w:val="C80AB5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5D8E50CD"/>
    <w:multiLevelType w:val="hybridMultilevel"/>
    <w:tmpl w:val="195E9C0E"/>
    <w:lvl w:ilvl="0" w:tplc="1009000D">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5E220CDE"/>
    <w:multiLevelType w:val="hybridMultilevel"/>
    <w:tmpl w:val="BFCA5AD8"/>
    <w:lvl w:ilvl="0" w:tplc="9CC48A3A">
      <w:start w:val="1"/>
      <w:numFmt w:val="bullet"/>
      <w:lvlText w:val=""/>
      <w:lvlJc w:val="left"/>
      <w:pPr>
        <w:tabs>
          <w:tab w:val="num" w:pos="454"/>
        </w:tabs>
        <w:ind w:left="454" w:hanging="284"/>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nsid w:val="6B4459BE"/>
    <w:multiLevelType w:val="hybridMultilevel"/>
    <w:tmpl w:val="0E5A0330"/>
    <w:lvl w:ilvl="0" w:tplc="9CC48A3A">
      <w:start w:val="1"/>
      <w:numFmt w:val="bullet"/>
      <w:lvlText w:val=""/>
      <w:lvlJc w:val="left"/>
      <w:pPr>
        <w:tabs>
          <w:tab w:val="num" w:pos="1202"/>
        </w:tabs>
        <w:ind w:left="1202" w:hanging="284"/>
      </w:pPr>
      <w:rPr>
        <w:rFonts w:ascii="Symbol" w:hAnsi="Symbol" w:hint="default"/>
      </w:rPr>
    </w:lvl>
    <w:lvl w:ilvl="1" w:tplc="10090003" w:tentative="1">
      <w:start w:val="1"/>
      <w:numFmt w:val="bullet"/>
      <w:lvlText w:val="o"/>
      <w:lvlJc w:val="left"/>
      <w:pPr>
        <w:tabs>
          <w:tab w:val="num" w:pos="2188"/>
        </w:tabs>
        <w:ind w:left="2188" w:hanging="360"/>
      </w:pPr>
      <w:rPr>
        <w:rFonts w:ascii="Courier New" w:hAnsi="Courier New" w:cs="Courier New" w:hint="default"/>
      </w:rPr>
    </w:lvl>
    <w:lvl w:ilvl="2" w:tplc="10090005" w:tentative="1">
      <w:start w:val="1"/>
      <w:numFmt w:val="bullet"/>
      <w:lvlText w:val=""/>
      <w:lvlJc w:val="left"/>
      <w:pPr>
        <w:tabs>
          <w:tab w:val="num" w:pos="2908"/>
        </w:tabs>
        <w:ind w:left="2908" w:hanging="360"/>
      </w:pPr>
      <w:rPr>
        <w:rFonts w:ascii="Wingdings" w:hAnsi="Wingdings" w:hint="default"/>
      </w:rPr>
    </w:lvl>
    <w:lvl w:ilvl="3" w:tplc="10090001" w:tentative="1">
      <w:start w:val="1"/>
      <w:numFmt w:val="bullet"/>
      <w:lvlText w:val=""/>
      <w:lvlJc w:val="left"/>
      <w:pPr>
        <w:tabs>
          <w:tab w:val="num" w:pos="3628"/>
        </w:tabs>
        <w:ind w:left="3628" w:hanging="360"/>
      </w:pPr>
      <w:rPr>
        <w:rFonts w:ascii="Symbol" w:hAnsi="Symbol" w:hint="default"/>
      </w:rPr>
    </w:lvl>
    <w:lvl w:ilvl="4" w:tplc="10090003" w:tentative="1">
      <w:start w:val="1"/>
      <w:numFmt w:val="bullet"/>
      <w:lvlText w:val="o"/>
      <w:lvlJc w:val="left"/>
      <w:pPr>
        <w:tabs>
          <w:tab w:val="num" w:pos="4348"/>
        </w:tabs>
        <w:ind w:left="4348" w:hanging="360"/>
      </w:pPr>
      <w:rPr>
        <w:rFonts w:ascii="Courier New" w:hAnsi="Courier New" w:cs="Courier New" w:hint="default"/>
      </w:rPr>
    </w:lvl>
    <w:lvl w:ilvl="5" w:tplc="10090005" w:tentative="1">
      <w:start w:val="1"/>
      <w:numFmt w:val="bullet"/>
      <w:lvlText w:val=""/>
      <w:lvlJc w:val="left"/>
      <w:pPr>
        <w:tabs>
          <w:tab w:val="num" w:pos="5068"/>
        </w:tabs>
        <w:ind w:left="5068" w:hanging="360"/>
      </w:pPr>
      <w:rPr>
        <w:rFonts w:ascii="Wingdings" w:hAnsi="Wingdings" w:hint="default"/>
      </w:rPr>
    </w:lvl>
    <w:lvl w:ilvl="6" w:tplc="10090001" w:tentative="1">
      <w:start w:val="1"/>
      <w:numFmt w:val="bullet"/>
      <w:lvlText w:val=""/>
      <w:lvlJc w:val="left"/>
      <w:pPr>
        <w:tabs>
          <w:tab w:val="num" w:pos="5788"/>
        </w:tabs>
        <w:ind w:left="5788" w:hanging="360"/>
      </w:pPr>
      <w:rPr>
        <w:rFonts w:ascii="Symbol" w:hAnsi="Symbol" w:hint="default"/>
      </w:rPr>
    </w:lvl>
    <w:lvl w:ilvl="7" w:tplc="10090003" w:tentative="1">
      <w:start w:val="1"/>
      <w:numFmt w:val="bullet"/>
      <w:lvlText w:val="o"/>
      <w:lvlJc w:val="left"/>
      <w:pPr>
        <w:tabs>
          <w:tab w:val="num" w:pos="6508"/>
        </w:tabs>
        <w:ind w:left="6508" w:hanging="360"/>
      </w:pPr>
      <w:rPr>
        <w:rFonts w:ascii="Courier New" w:hAnsi="Courier New" w:cs="Courier New" w:hint="default"/>
      </w:rPr>
    </w:lvl>
    <w:lvl w:ilvl="8" w:tplc="10090005" w:tentative="1">
      <w:start w:val="1"/>
      <w:numFmt w:val="bullet"/>
      <w:lvlText w:val=""/>
      <w:lvlJc w:val="left"/>
      <w:pPr>
        <w:tabs>
          <w:tab w:val="num" w:pos="7228"/>
        </w:tabs>
        <w:ind w:left="7228" w:hanging="360"/>
      </w:pPr>
      <w:rPr>
        <w:rFonts w:ascii="Wingdings" w:hAnsi="Wingdings" w:hint="default"/>
      </w:rPr>
    </w:lvl>
  </w:abstractNum>
  <w:abstractNum w:abstractNumId="22">
    <w:nsid w:val="6D245E1B"/>
    <w:multiLevelType w:val="hybridMultilevel"/>
    <w:tmpl w:val="DB8643D0"/>
    <w:lvl w:ilvl="0" w:tplc="9CC48A3A">
      <w:start w:val="1"/>
      <w:numFmt w:val="bullet"/>
      <w:lvlText w:val=""/>
      <w:lvlJc w:val="left"/>
      <w:pPr>
        <w:tabs>
          <w:tab w:val="num" w:pos="454"/>
        </w:tabs>
        <w:ind w:left="454" w:hanging="284"/>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nsid w:val="738C14D8"/>
    <w:multiLevelType w:val="hybridMultilevel"/>
    <w:tmpl w:val="B7C2345E"/>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75213B0C"/>
    <w:multiLevelType w:val="hybridMultilevel"/>
    <w:tmpl w:val="F67A5C08"/>
    <w:lvl w:ilvl="0" w:tplc="9CC48A3A">
      <w:start w:val="1"/>
      <w:numFmt w:val="bullet"/>
      <w:lvlText w:val=""/>
      <w:lvlJc w:val="left"/>
      <w:pPr>
        <w:tabs>
          <w:tab w:val="num" w:pos="454"/>
        </w:tabs>
        <w:ind w:left="454" w:hanging="284"/>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5">
    <w:nsid w:val="7ABE295E"/>
    <w:multiLevelType w:val="hybridMultilevel"/>
    <w:tmpl w:val="4E1026EE"/>
    <w:lvl w:ilvl="0" w:tplc="1AB84E8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7BDA2456"/>
    <w:multiLevelType w:val="hybridMultilevel"/>
    <w:tmpl w:val="6F22F7C0"/>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7E6C4A6D"/>
    <w:multiLevelType w:val="hybridMultilevel"/>
    <w:tmpl w:val="D4E03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20"/>
  </w:num>
  <w:num w:numId="4">
    <w:abstractNumId w:val="26"/>
  </w:num>
  <w:num w:numId="5">
    <w:abstractNumId w:val="12"/>
  </w:num>
  <w:num w:numId="6">
    <w:abstractNumId w:val="3"/>
  </w:num>
  <w:num w:numId="7">
    <w:abstractNumId w:val="17"/>
  </w:num>
  <w:num w:numId="8">
    <w:abstractNumId w:val="24"/>
  </w:num>
  <w:num w:numId="9">
    <w:abstractNumId w:val="13"/>
  </w:num>
  <w:num w:numId="10">
    <w:abstractNumId w:val="25"/>
  </w:num>
  <w:num w:numId="11">
    <w:abstractNumId w:val="7"/>
  </w:num>
  <w:num w:numId="12">
    <w:abstractNumId w:val="0"/>
  </w:num>
  <w:num w:numId="13">
    <w:abstractNumId w:val="8"/>
  </w:num>
  <w:num w:numId="14">
    <w:abstractNumId w:val="4"/>
  </w:num>
  <w:num w:numId="15">
    <w:abstractNumId w:val="22"/>
  </w:num>
  <w:num w:numId="16">
    <w:abstractNumId w:val="2"/>
  </w:num>
  <w:num w:numId="17">
    <w:abstractNumId w:val="21"/>
  </w:num>
  <w:num w:numId="18">
    <w:abstractNumId w:val="11"/>
  </w:num>
  <w:num w:numId="19">
    <w:abstractNumId w:val="19"/>
  </w:num>
  <w:num w:numId="20">
    <w:abstractNumId w:val="1"/>
  </w:num>
  <w:num w:numId="21">
    <w:abstractNumId w:val="9"/>
  </w:num>
  <w:num w:numId="22">
    <w:abstractNumId w:val="16"/>
  </w:num>
  <w:num w:numId="23">
    <w:abstractNumId w:val="14"/>
  </w:num>
  <w:num w:numId="24">
    <w:abstractNumId w:val="23"/>
  </w:num>
  <w:num w:numId="25">
    <w:abstractNumId w:val="18"/>
  </w:num>
  <w:num w:numId="26">
    <w:abstractNumId w:val="5"/>
  </w:num>
  <w:num w:numId="27">
    <w:abstractNumId w:val="27"/>
  </w:num>
  <w:num w:numId="28">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A6F"/>
    <w:rsid w:val="000055DA"/>
    <w:rsid w:val="00033314"/>
    <w:rsid w:val="00064E5D"/>
    <w:rsid w:val="00195E23"/>
    <w:rsid w:val="001A3C46"/>
    <w:rsid w:val="001E1971"/>
    <w:rsid w:val="00252F52"/>
    <w:rsid w:val="002D46DA"/>
    <w:rsid w:val="002E2CA0"/>
    <w:rsid w:val="0035306F"/>
    <w:rsid w:val="00362EC8"/>
    <w:rsid w:val="003765A0"/>
    <w:rsid w:val="00391092"/>
    <w:rsid w:val="00394E42"/>
    <w:rsid w:val="003D5C02"/>
    <w:rsid w:val="003F07D5"/>
    <w:rsid w:val="0041316D"/>
    <w:rsid w:val="004C2994"/>
    <w:rsid w:val="004C4053"/>
    <w:rsid w:val="004D6DB3"/>
    <w:rsid w:val="005209AA"/>
    <w:rsid w:val="005A7731"/>
    <w:rsid w:val="005B1A6F"/>
    <w:rsid w:val="005B21A3"/>
    <w:rsid w:val="005D0319"/>
    <w:rsid w:val="005D3A5E"/>
    <w:rsid w:val="005E080F"/>
    <w:rsid w:val="0064682B"/>
    <w:rsid w:val="00680122"/>
    <w:rsid w:val="006953C1"/>
    <w:rsid w:val="006C44A0"/>
    <w:rsid w:val="00711C36"/>
    <w:rsid w:val="007A17B3"/>
    <w:rsid w:val="00807E0F"/>
    <w:rsid w:val="00840D88"/>
    <w:rsid w:val="00856C87"/>
    <w:rsid w:val="00885293"/>
    <w:rsid w:val="00971D37"/>
    <w:rsid w:val="00A65707"/>
    <w:rsid w:val="00A906D3"/>
    <w:rsid w:val="00AA51C3"/>
    <w:rsid w:val="00AB730D"/>
    <w:rsid w:val="00B56F1A"/>
    <w:rsid w:val="00B907DE"/>
    <w:rsid w:val="00B9516F"/>
    <w:rsid w:val="00C96B78"/>
    <w:rsid w:val="00CB3CF4"/>
    <w:rsid w:val="00D74E36"/>
    <w:rsid w:val="00D75EDF"/>
    <w:rsid w:val="00E1415F"/>
    <w:rsid w:val="00E2559F"/>
    <w:rsid w:val="00E44CDA"/>
    <w:rsid w:val="00ED212F"/>
    <w:rsid w:val="00EE4243"/>
    <w:rsid w:val="00FD4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D46DA"/>
    <w:pPr>
      <w:outlineLvl w:val="0"/>
    </w:pPr>
    <w:rPr>
      <w:rFonts w:ascii="Arial" w:eastAsia="Times New Roman" w:hAnsi="Arial" w:cs="Arial"/>
      <w:b/>
      <w:szCs w:val="22"/>
      <w:lang w:val="en-CA" w:eastAsia="en-CA"/>
    </w:rPr>
  </w:style>
  <w:style w:type="paragraph" w:styleId="Heading2">
    <w:name w:val="heading 2"/>
    <w:basedOn w:val="Normal"/>
    <w:next w:val="Normal"/>
    <w:link w:val="Heading2Char"/>
    <w:unhideWhenUsed/>
    <w:qFormat/>
    <w:rsid w:val="003D5C02"/>
    <w:pPr>
      <w:keepNext/>
      <w:keepLines/>
      <w:spacing w:before="20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unhideWhenUsed/>
    <w:qFormat/>
    <w:rsid w:val="003D5C02"/>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nhideWhenUsed/>
    <w:qFormat/>
    <w:rsid w:val="005B21A3"/>
    <w:pPr>
      <w:keepNext/>
      <w:keepLines/>
      <w:spacing w:before="200"/>
      <w:outlineLvl w:val="3"/>
    </w:pPr>
    <w:rPr>
      <w:rFonts w:asciiTheme="majorHAnsi" w:eastAsiaTheme="majorEastAsia" w:hAnsiTheme="majorHAnsi" w:cstheme="majorBidi"/>
      <w:b/>
      <w:bCs/>
      <w:iCs/>
      <w:color w:val="000000" w:themeColor="text1"/>
      <w:sz w:val="22"/>
    </w:rPr>
  </w:style>
  <w:style w:type="paragraph" w:styleId="Heading9">
    <w:name w:val="heading 9"/>
    <w:basedOn w:val="Normal"/>
    <w:next w:val="Normal"/>
    <w:link w:val="Heading9Char"/>
    <w:qFormat/>
    <w:rsid w:val="00807E0F"/>
    <w:pPr>
      <w:spacing w:before="240" w:after="60"/>
      <w:outlineLvl w:val="8"/>
    </w:pPr>
    <w:rPr>
      <w:rFonts w:ascii="Arial" w:eastAsia="Times New Roman" w:hAnsi="Arial" w:cs="Arial"/>
      <w:sz w:val="22"/>
      <w:szCs w:val="22"/>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1A6F"/>
    <w:pPr>
      <w:tabs>
        <w:tab w:val="center" w:pos="4320"/>
        <w:tab w:val="right" w:pos="8640"/>
      </w:tabs>
    </w:pPr>
  </w:style>
  <w:style w:type="character" w:customStyle="1" w:styleId="HeaderChar">
    <w:name w:val="Header Char"/>
    <w:basedOn w:val="DefaultParagraphFont"/>
    <w:link w:val="Header"/>
    <w:uiPriority w:val="99"/>
    <w:rsid w:val="005B1A6F"/>
  </w:style>
  <w:style w:type="paragraph" w:styleId="Footer">
    <w:name w:val="footer"/>
    <w:basedOn w:val="Normal"/>
    <w:link w:val="FooterChar"/>
    <w:unhideWhenUsed/>
    <w:rsid w:val="005B1A6F"/>
    <w:pPr>
      <w:tabs>
        <w:tab w:val="center" w:pos="4320"/>
        <w:tab w:val="right" w:pos="8640"/>
      </w:tabs>
    </w:pPr>
  </w:style>
  <w:style w:type="character" w:customStyle="1" w:styleId="FooterChar">
    <w:name w:val="Footer Char"/>
    <w:basedOn w:val="DefaultParagraphFont"/>
    <w:link w:val="Footer"/>
    <w:uiPriority w:val="99"/>
    <w:rsid w:val="005B1A6F"/>
  </w:style>
  <w:style w:type="paragraph" w:styleId="BalloonText">
    <w:name w:val="Balloon Text"/>
    <w:basedOn w:val="Normal"/>
    <w:link w:val="BalloonTextChar"/>
    <w:semiHidden/>
    <w:unhideWhenUsed/>
    <w:rsid w:val="005B1A6F"/>
    <w:rPr>
      <w:rFonts w:ascii="Lucida Grande" w:hAnsi="Lucida Grande"/>
      <w:sz w:val="18"/>
      <w:szCs w:val="18"/>
    </w:rPr>
  </w:style>
  <w:style w:type="character" w:customStyle="1" w:styleId="BalloonTextChar">
    <w:name w:val="Balloon Text Char"/>
    <w:basedOn w:val="DefaultParagraphFont"/>
    <w:link w:val="BalloonText"/>
    <w:uiPriority w:val="99"/>
    <w:semiHidden/>
    <w:rsid w:val="005B1A6F"/>
    <w:rPr>
      <w:rFonts w:ascii="Lucida Grande" w:hAnsi="Lucida Grande"/>
      <w:sz w:val="18"/>
      <w:szCs w:val="18"/>
    </w:rPr>
  </w:style>
  <w:style w:type="character" w:styleId="Hyperlink">
    <w:name w:val="Hyperlink"/>
    <w:uiPriority w:val="99"/>
    <w:rsid w:val="002D46DA"/>
    <w:rPr>
      <w:color w:val="0000A7"/>
      <w:u w:val="single"/>
    </w:rPr>
  </w:style>
  <w:style w:type="paragraph" w:styleId="TOC1">
    <w:name w:val="toc 1"/>
    <w:basedOn w:val="Normal"/>
    <w:next w:val="Normal"/>
    <w:autoRedefine/>
    <w:uiPriority w:val="39"/>
    <w:rsid w:val="002D46DA"/>
    <w:rPr>
      <w:rFonts w:ascii="Arial" w:eastAsia="Times New Roman" w:hAnsi="Arial" w:cs="Times New Roman"/>
      <w:lang w:val="en-CA" w:eastAsia="en-CA"/>
    </w:rPr>
  </w:style>
  <w:style w:type="paragraph" w:styleId="TOC2">
    <w:name w:val="toc 2"/>
    <w:basedOn w:val="Normal"/>
    <w:next w:val="Normal"/>
    <w:autoRedefine/>
    <w:uiPriority w:val="39"/>
    <w:rsid w:val="002D46DA"/>
    <w:pPr>
      <w:tabs>
        <w:tab w:val="right" w:leader="dot" w:pos="9962"/>
      </w:tabs>
    </w:pPr>
    <w:rPr>
      <w:rFonts w:ascii="Arial" w:eastAsia="Times New Roman" w:hAnsi="Arial" w:cs="Times New Roman"/>
      <w:sz w:val="22"/>
      <w:lang w:val="en-CA" w:eastAsia="en-CA"/>
    </w:rPr>
  </w:style>
  <w:style w:type="paragraph" w:styleId="TOC3">
    <w:name w:val="toc 3"/>
    <w:basedOn w:val="Normal"/>
    <w:next w:val="Normal"/>
    <w:autoRedefine/>
    <w:uiPriority w:val="39"/>
    <w:rsid w:val="002D46DA"/>
    <w:pPr>
      <w:ind w:left="720"/>
    </w:pPr>
    <w:rPr>
      <w:rFonts w:ascii="Arial" w:eastAsia="Times New Roman" w:hAnsi="Arial" w:cs="Times New Roman"/>
      <w:sz w:val="20"/>
      <w:lang w:val="en-CA" w:eastAsia="en-CA"/>
    </w:rPr>
  </w:style>
  <w:style w:type="paragraph" w:styleId="TOC4">
    <w:name w:val="toc 4"/>
    <w:basedOn w:val="Normal"/>
    <w:next w:val="Normal"/>
    <w:autoRedefine/>
    <w:uiPriority w:val="39"/>
    <w:rsid w:val="002D46DA"/>
    <w:pPr>
      <w:ind w:left="1440"/>
    </w:pPr>
    <w:rPr>
      <w:rFonts w:ascii="Arial" w:eastAsia="Times New Roman" w:hAnsi="Arial" w:cs="Times New Roman"/>
      <w:sz w:val="20"/>
      <w:lang w:val="en-CA" w:eastAsia="en-CA"/>
    </w:rPr>
  </w:style>
  <w:style w:type="character" w:customStyle="1" w:styleId="Heading1Char">
    <w:name w:val="Heading 1 Char"/>
    <w:basedOn w:val="DefaultParagraphFont"/>
    <w:link w:val="Heading1"/>
    <w:rsid w:val="002D46DA"/>
    <w:rPr>
      <w:rFonts w:ascii="Arial" w:eastAsia="Times New Roman" w:hAnsi="Arial" w:cs="Arial"/>
      <w:b/>
      <w:szCs w:val="22"/>
      <w:lang w:val="en-CA" w:eastAsia="en-CA"/>
    </w:rPr>
  </w:style>
  <w:style w:type="character" w:customStyle="1" w:styleId="Heading2Char">
    <w:name w:val="Heading 2 Char"/>
    <w:basedOn w:val="DefaultParagraphFont"/>
    <w:link w:val="Heading2"/>
    <w:rsid w:val="003D5C02"/>
    <w:rPr>
      <w:rFonts w:asciiTheme="majorHAnsi" w:eastAsiaTheme="majorEastAsia" w:hAnsiTheme="majorHAnsi" w:cstheme="majorBidi"/>
      <w:b/>
      <w:bCs/>
      <w:color w:val="000000" w:themeColor="text1"/>
      <w:sz w:val="26"/>
      <w:szCs w:val="26"/>
    </w:rPr>
  </w:style>
  <w:style w:type="character" w:customStyle="1" w:styleId="Heading3Char">
    <w:name w:val="Heading 3 Char"/>
    <w:basedOn w:val="DefaultParagraphFont"/>
    <w:link w:val="Heading3"/>
    <w:rsid w:val="003D5C02"/>
    <w:rPr>
      <w:rFonts w:asciiTheme="majorHAnsi" w:eastAsiaTheme="majorEastAsia" w:hAnsiTheme="majorHAnsi" w:cstheme="majorBidi"/>
      <w:b/>
      <w:bCs/>
    </w:rPr>
  </w:style>
  <w:style w:type="character" w:customStyle="1" w:styleId="Heading4Char">
    <w:name w:val="Heading 4 Char"/>
    <w:basedOn w:val="DefaultParagraphFont"/>
    <w:link w:val="Heading4"/>
    <w:rsid w:val="005B21A3"/>
    <w:rPr>
      <w:rFonts w:asciiTheme="majorHAnsi" w:eastAsiaTheme="majorEastAsia" w:hAnsiTheme="majorHAnsi" w:cstheme="majorBidi"/>
      <w:b/>
      <w:bCs/>
      <w:iCs/>
      <w:color w:val="000000" w:themeColor="text1"/>
      <w:sz w:val="22"/>
    </w:rPr>
  </w:style>
  <w:style w:type="paragraph" w:styleId="ListParagraph">
    <w:name w:val="List Paragraph"/>
    <w:basedOn w:val="Normal"/>
    <w:uiPriority w:val="34"/>
    <w:qFormat/>
    <w:rsid w:val="00362EC8"/>
    <w:pPr>
      <w:ind w:left="720"/>
    </w:pPr>
    <w:rPr>
      <w:rFonts w:ascii="Times New Roman" w:eastAsia="Times New Roman" w:hAnsi="Times New Roman" w:cs="Times New Roman"/>
      <w:lang w:val="en-CA" w:eastAsia="en-CA"/>
    </w:rPr>
  </w:style>
  <w:style w:type="paragraph" w:customStyle="1" w:styleId="BodyText">
    <w:name w:val="BodyText"/>
    <w:link w:val="BodyTextChar"/>
    <w:qFormat/>
    <w:rsid w:val="00362EC8"/>
    <w:pPr>
      <w:keepLines/>
      <w:tabs>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overflowPunct w:val="0"/>
      <w:autoSpaceDE w:val="0"/>
      <w:autoSpaceDN w:val="0"/>
      <w:adjustRightInd w:val="0"/>
      <w:spacing w:before="120" w:after="120"/>
      <w:ind w:left="360"/>
      <w:textAlignment w:val="baseline"/>
    </w:pPr>
    <w:rPr>
      <w:rFonts w:ascii="Times New Roman" w:eastAsia="Times New Roman" w:hAnsi="Times New Roman" w:cs="Times New Roman"/>
      <w:kern w:val="28"/>
      <w:sz w:val="22"/>
      <w:szCs w:val="20"/>
      <w:lang w:val="en-CA"/>
    </w:rPr>
  </w:style>
  <w:style w:type="character" w:customStyle="1" w:styleId="BodyTextChar">
    <w:name w:val="BodyText Char"/>
    <w:link w:val="BodyText"/>
    <w:rsid w:val="00362EC8"/>
    <w:rPr>
      <w:rFonts w:ascii="Times New Roman" w:eastAsia="Times New Roman" w:hAnsi="Times New Roman" w:cs="Times New Roman"/>
      <w:kern w:val="28"/>
      <w:sz w:val="22"/>
      <w:szCs w:val="20"/>
      <w:lang w:val="en-CA"/>
    </w:rPr>
  </w:style>
  <w:style w:type="table" w:styleId="TableGrid">
    <w:name w:val="Table Grid"/>
    <w:basedOn w:val="TableNormal"/>
    <w:rsid w:val="00362EC8"/>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10 pt,Left:  1.32 cm"/>
    <w:basedOn w:val="Normal"/>
    <w:rsid w:val="00362EC8"/>
    <w:pPr>
      <w:ind w:left="748"/>
    </w:pPr>
    <w:rPr>
      <w:rFonts w:ascii="Times New Roman" w:eastAsia="Times New Roman" w:hAnsi="Times New Roman" w:cs="Times New Roman"/>
      <w:lang w:val="en-CA" w:eastAsia="en-CA"/>
    </w:rPr>
  </w:style>
  <w:style w:type="character" w:customStyle="1" w:styleId="Heading9Char">
    <w:name w:val="Heading 9 Char"/>
    <w:basedOn w:val="DefaultParagraphFont"/>
    <w:link w:val="Heading9"/>
    <w:rsid w:val="00807E0F"/>
    <w:rPr>
      <w:rFonts w:ascii="Arial" w:eastAsia="Times New Roman" w:hAnsi="Arial" w:cs="Arial"/>
      <w:sz w:val="22"/>
      <w:szCs w:val="22"/>
      <w:lang w:val="en-CA" w:eastAsia="en-CA"/>
    </w:rPr>
  </w:style>
  <w:style w:type="character" w:styleId="Strong">
    <w:name w:val="Strong"/>
    <w:qFormat/>
    <w:rsid w:val="00807E0F"/>
    <w:rPr>
      <w:rFonts w:ascii="Arial" w:hAnsi="Arial" w:cs="Arial" w:hint="default"/>
      <w:b/>
      <w:bCs/>
      <w:sz w:val="20"/>
      <w:szCs w:val="20"/>
    </w:rPr>
  </w:style>
  <w:style w:type="paragraph" w:styleId="NormalWeb">
    <w:name w:val="Normal (Web)"/>
    <w:basedOn w:val="Normal"/>
    <w:rsid w:val="00807E0F"/>
    <w:pPr>
      <w:spacing w:before="100" w:beforeAutospacing="1" w:after="100" w:afterAutospacing="1"/>
    </w:pPr>
    <w:rPr>
      <w:rFonts w:ascii="Arial" w:eastAsia="Times New Roman" w:hAnsi="Arial" w:cs="Arial"/>
      <w:color w:val="000000"/>
      <w:sz w:val="20"/>
      <w:szCs w:val="20"/>
      <w:lang w:val="en-CA" w:eastAsia="en-CA"/>
    </w:rPr>
  </w:style>
  <w:style w:type="character" w:styleId="Emphasis">
    <w:name w:val="Emphasis"/>
    <w:qFormat/>
    <w:rsid w:val="00807E0F"/>
    <w:rPr>
      <w:i/>
      <w:iCs/>
    </w:rPr>
  </w:style>
  <w:style w:type="paragraph" w:styleId="BodyText0">
    <w:name w:val="Body Text"/>
    <w:basedOn w:val="Normal"/>
    <w:link w:val="BodyTextChar0"/>
    <w:rsid w:val="00807E0F"/>
    <w:pPr>
      <w:widowControl w:val="0"/>
      <w:tabs>
        <w:tab w:val="left" w:pos="-1080"/>
        <w:tab w:val="left" w:pos="-720"/>
        <w:tab w:val="left" w:pos="0"/>
      </w:tabs>
      <w:autoSpaceDE w:val="0"/>
      <w:autoSpaceDN w:val="0"/>
      <w:adjustRightInd w:val="0"/>
    </w:pPr>
    <w:rPr>
      <w:rFonts w:ascii="Arial" w:eastAsia="Times New Roman" w:hAnsi="Arial" w:cs="Arial"/>
      <w:color w:val="000000"/>
      <w:lang w:val="en-GB"/>
    </w:rPr>
  </w:style>
  <w:style w:type="character" w:customStyle="1" w:styleId="BodyTextChar0">
    <w:name w:val="Body Text Char"/>
    <w:basedOn w:val="DefaultParagraphFont"/>
    <w:link w:val="BodyText0"/>
    <w:rsid w:val="00807E0F"/>
    <w:rPr>
      <w:rFonts w:ascii="Arial" w:eastAsia="Times New Roman" w:hAnsi="Arial" w:cs="Arial"/>
      <w:color w:val="000000"/>
      <w:lang w:val="en-GB"/>
    </w:rPr>
  </w:style>
  <w:style w:type="character" w:styleId="PageNumber">
    <w:name w:val="page number"/>
    <w:basedOn w:val="DefaultParagraphFont"/>
    <w:rsid w:val="00807E0F"/>
  </w:style>
  <w:style w:type="character" w:styleId="FollowedHyperlink">
    <w:name w:val="FollowedHyperlink"/>
    <w:rsid w:val="00807E0F"/>
    <w:rPr>
      <w:color w:val="800080"/>
      <w:u w:val="single"/>
    </w:rPr>
  </w:style>
  <w:style w:type="character" w:customStyle="1" w:styleId="Hyperlink13">
    <w:name w:val="Hyperlink13"/>
    <w:rsid w:val="00807E0F"/>
    <w:rPr>
      <w:color w:val="003399"/>
      <w:u w:val="single"/>
    </w:rPr>
  </w:style>
  <w:style w:type="character" w:styleId="CommentReference">
    <w:name w:val="annotation reference"/>
    <w:semiHidden/>
    <w:rsid w:val="00807E0F"/>
    <w:rPr>
      <w:sz w:val="16"/>
      <w:szCs w:val="16"/>
    </w:rPr>
  </w:style>
  <w:style w:type="paragraph" w:styleId="CommentText">
    <w:name w:val="annotation text"/>
    <w:basedOn w:val="Normal"/>
    <w:link w:val="CommentTextChar"/>
    <w:semiHidden/>
    <w:rsid w:val="00807E0F"/>
    <w:rPr>
      <w:rFonts w:ascii="Times New Roman" w:eastAsia="Times New Roman" w:hAnsi="Times New Roman" w:cs="Times New Roman"/>
      <w:sz w:val="20"/>
      <w:szCs w:val="20"/>
      <w:lang w:val="en-CA" w:eastAsia="en-CA"/>
    </w:rPr>
  </w:style>
  <w:style w:type="character" w:customStyle="1" w:styleId="CommentTextChar">
    <w:name w:val="Comment Text Char"/>
    <w:basedOn w:val="DefaultParagraphFont"/>
    <w:link w:val="CommentText"/>
    <w:semiHidden/>
    <w:rsid w:val="00807E0F"/>
    <w:rPr>
      <w:rFonts w:ascii="Times New Roman" w:eastAsia="Times New Roman" w:hAnsi="Times New Roman" w:cs="Times New Roman"/>
      <w:sz w:val="20"/>
      <w:szCs w:val="20"/>
      <w:lang w:val="en-CA" w:eastAsia="en-CA"/>
    </w:rPr>
  </w:style>
  <w:style w:type="paragraph" w:styleId="CommentSubject">
    <w:name w:val="annotation subject"/>
    <w:basedOn w:val="CommentText"/>
    <w:next w:val="CommentText"/>
    <w:link w:val="CommentSubjectChar"/>
    <w:semiHidden/>
    <w:rsid w:val="00807E0F"/>
    <w:rPr>
      <w:b/>
      <w:bCs/>
    </w:rPr>
  </w:style>
  <w:style w:type="character" w:customStyle="1" w:styleId="CommentSubjectChar">
    <w:name w:val="Comment Subject Char"/>
    <w:basedOn w:val="CommentTextChar"/>
    <w:link w:val="CommentSubject"/>
    <w:semiHidden/>
    <w:rsid w:val="00807E0F"/>
    <w:rPr>
      <w:rFonts w:ascii="Times New Roman" w:eastAsia="Times New Roman" w:hAnsi="Times New Roman" w:cs="Times New Roman"/>
      <w:b/>
      <w:bCs/>
      <w:sz w:val="20"/>
      <w:szCs w:val="20"/>
      <w:lang w:val="en-CA" w:eastAsia="en-CA"/>
    </w:rPr>
  </w:style>
  <w:style w:type="paragraph" w:styleId="FootnoteText">
    <w:name w:val="footnote text"/>
    <w:basedOn w:val="Normal"/>
    <w:link w:val="FootnoteTextChar"/>
    <w:semiHidden/>
    <w:rsid w:val="00807E0F"/>
    <w:rPr>
      <w:rFonts w:ascii="Times New Roman" w:eastAsia="Times New Roman" w:hAnsi="Times New Roman" w:cs="Times New Roman"/>
      <w:sz w:val="20"/>
      <w:szCs w:val="20"/>
      <w:lang w:val="en-CA" w:eastAsia="en-CA"/>
    </w:rPr>
  </w:style>
  <w:style w:type="character" w:customStyle="1" w:styleId="FootnoteTextChar">
    <w:name w:val="Footnote Text Char"/>
    <w:basedOn w:val="DefaultParagraphFont"/>
    <w:link w:val="FootnoteText"/>
    <w:semiHidden/>
    <w:rsid w:val="00807E0F"/>
    <w:rPr>
      <w:rFonts w:ascii="Times New Roman" w:eastAsia="Times New Roman" w:hAnsi="Times New Roman" w:cs="Times New Roman"/>
      <w:sz w:val="20"/>
      <w:szCs w:val="20"/>
      <w:lang w:val="en-CA" w:eastAsia="en-CA"/>
    </w:rPr>
  </w:style>
  <w:style w:type="character" w:styleId="FootnoteReference">
    <w:name w:val="footnote reference"/>
    <w:semiHidden/>
    <w:rsid w:val="00807E0F"/>
    <w:rPr>
      <w:vertAlign w:val="superscript"/>
    </w:rPr>
  </w:style>
  <w:style w:type="paragraph" w:customStyle="1" w:styleId="CharChar1Char">
    <w:name w:val="Char Char1 Char"/>
    <w:basedOn w:val="Normal"/>
    <w:rsid w:val="00807E0F"/>
    <w:pPr>
      <w:spacing w:after="160" w:line="240" w:lineRule="exact"/>
    </w:pPr>
    <w:rPr>
      <w:rFonts w:ascii="Verdana" w:eastAsia="Times New Roman" w:hAnsi="Verdana" w:cs="Times New Roman"/>
      <w:sz w:val="20"/>
      <w:szCs w:val="20"/>
      <w:lang w:val="en-CA"/>
    </w:rPr>
  </w:style>
  <w:style w:type="character" w:customStyle="1" w:styleId="Hyperlink15">
    <w:name w:val="Hyperlink15"/>
    <w:rsid w:val="00807E0F"/>
    <w:rPr>
      <w:color w:val="444444"/>
      <w:u w:val="single"/>
    </w:rPr>
  </w:style>
  <w:style w:type="paragraph" w:styleId="DocumentMap">
    <w:name w:val="Document Map"/>
    <w:basedOn w:val="Normal"/>
    <w:link w:val="DocumentMapChar"/>
    <w:semiHidden/>
    <w:rsid w:val="00807E0F"/>
    <w:pPr>
      <w:shd w:val="clear" w:color="auto" w:fill="000080"/>
    </w:pPr>
    <w:rPr>
      <w:rFonts w:ascii="Tahoma" w:eastAsia="Times New Roman" w:hAnsi="Tahoma" w:cs="Tahoma"/>
      <w:lang w:val="en-CA" w:eastAsia="en-CA"/>
    </w:rPr>
  </w:style>
  <w:style w:type="character" w:customStyle="1" w:styleId="DocumentMapChar">
    <w:name w:val="Document Map Char"/>
    <w:basedOn w:val="DefaultParagraphFont"/>
    <w:link w:val="DocumentMap"/>
    <w:semiHidden/>
    <w:rsid w:val="00807E0F"/>
    <w:rPr>
      <w:rFonts w:ascii="Tahoma" w:eastAsia="Times New Roman" w:hAnsi="Tahoma" w:cs="Tahoma"/>
      <w:shd w:val="clear" w:color="auto" w:fill="000080"/>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D46DA"/>
    <w:pPr>
      <w:outlineLvl w:val="0"/>
    </w:pPr>
    <w:rPr>
      <w:rFonts w:ascii="Arial" w:eastAsia="Times New Roman" w:hAnsi="Arial" w:cs="Arial"/>
      <w:b/>
      <w:szCs w:val="22"/>
      <w:lang w:val="en-CA" w:eastAsia="en-CA"/>
    </w:rPr>
  </w:style>
  <w:style w:type="paragraph" w:styleId="Heading2">
    <w:name w:val="heading 2"/>
    <w:basedOn w:val="Normal"/>
    <w:next w:val="Normal"/>
    <w:link w:val="Heading2Char"/>
    <w:unhideWhenUsed/>
    <w:qFormat/>
    <w:rsid w:val="003D5C02"/>
    <w:pPr>
      <w:keepNext/>
      <w:keepLines/>
      <w:spacing w:before="20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unhideWhenUsed/>
    <w:qFormat/>
    <w:rsid w:val="003D5C02"/>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nhideWhenUsed/>
    <w:qFormat/>
    <w:rsid w:val="005B21A3"/>
    <w:pPr>
      <w:keepNext/>
      <w:keepLines/>
      <w:spacing w:before="200"/>
      <w:outlineLvl w:val="3"/>
    </w:pPr>
    <w:rPr>
      <w:rFonts w:asciiTheme="majorHAnsi" w:eastAsiaTheme="majorEastAsia" w:hAnsiTheme="majorHAnsi" w:cstheme="majorBidi"/>
      <w:b/>
      <w:bCs/>
      <w:iCs/>
      <w:color w:val="000000" w:themeColor="text1"/>
      <w:sz w:val="22"/>
    </w:rPr>
  </w:style>
  <w:style w:type="paragraph" w:styleId="Heading9">
    <w:name w:val="heading 9"/>
    <w:basedOn w:val="Normal"/>
    <w:next w:val="Normal"/>
    <w:link w:val="Heading9Char"/>
    <w:qFormat/>
    <w:rsid w:val="00807E0F"/>
    <w:pPr>
      <w:spacing w:before="240" w:after="60"/>
      <w:outlineLvl w:val="8"/>
    </w:pPr>
    <w:rPr>
      <w:rFonts w:ascii="Arial" w:eastAsia="Times New Roman" w:hAnsi="Arial" w:cs="Arial"/>
      <w:sz w:val="22"/>
      <w:szCs w:val="22"/>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1A6F"/>
    <w:pPr>
      <w:tabs>
        <w:tab w:val="center" w:pos="4320"/>
        <w:tab w:val="right" w:pos="8640"/>
      </w:tabs>
    </w:pPr>
  </w:style>
  <w:style w:type="character" w:customStyle="1" w:styleId="HeaderChar">
    <w:name w:val="Header Char"/>
    <w:basedOn w:val="DefaultParagraphFont"/>
    <w:link w:val="Header"/>
    <w:uiPriority w:val="99"/>
    <w:rsid w:val="005B1A6F"/>
  </w:style>
  <w:style w:type="paragraph" w:styleId="Footer">
    <w:name w:val="footer"/>
    <w:basedOn w:val="Normal"/>
    <w:link w:val="FooterChar"/>
    <w:unhideWhenUsed/>
    <w:rsid w:val="005B1A6F"/>
    <w:pPr>
      <w:tabs>
        <w:tab w:val="center" w:pos="4320"/>
        <w:tab w:val="right" w:pos="8640"/>
      </w:tabs>
    </w:pPr>
  </w:style>
  <w:style w:type="character" w:customStyle="1" w:styleId="FooterChar">
    <w:name w:val="Footer Char"/>
    <w:basedOn w:val="DefaultParagraphFont"/>
    <w:link w:val="Footer"/>
    <w:uiPriority w:val="99"/>
    <w:rsid w:val="005B1A6F"/>
  </w:style>
  <w:style w:type="paragraph" w:styleId="BalloonText">
    <w:name w:val="Balloon Text"/>
    <w:basedOn w:val="Normal"/>
    <w:link w:val="BalloonTextChar"/>
    <w:semiHidden/>
    <w:unhideWhenUsed/>
    <w:rsid w:val="005B1A6F"/>
    <w:rPr>
      <w:rFonts w:ascii="Lucida Grande" w:hAnsi="Lucida Grande"/>
      <w:sz w:val="18"/>
      <w:szCs w:val="18"/>
    </w:rPr>
  </w:style>
  <w:style w:type="character" w:customStyle="1" w:styleId="BalloonTextChar">
    <w:name w:val="Balloon Text Char"/>
    <w:basedOn w:val="DefaultParagraphFont"/>
    <w:link w:val="BalloonText"/>
    <w:uiPriority w:val="99"/>
    <w:semiHidden/>
    <w:rsid w:val="005B1A6F"/>
    <w:rPr>
      <w:rFonts w:ascii="Lucida Grande" w:hAnsi="Lucida Grande"/>
      <w:sz w:val="18"/>
      <w:szCs w:val="18"/>
    </w:rPr>
  </w:style>
  <w:style w:type="character" w:styleId="Hyperlink">
    <w:name w:val="Hyperlink"/>
    <w:uiPriority w:val="99"/>
    <w:rsid w:val="002D46DA"/>
    <w:rPr>
      <w:color w:val="0000A7"/>
      <w:u w:val="single"/>
    </w:rPr>
  </w:style>
  <w:style w:type="paragraph" w:styleId="TOC1">
    <w:name w:val="toc 1"/>
    <w:basedOn w:val="Normal"/>
    <w:next w:val="Normal"/>
    <w:autoRedefine/>
    <w:uiPriority w:val="39"/>
    <w:rsid w:val="002D46DA"/>
    <w:rPr>
      <w:rFonts w:ascii="Arial" w:eastAsia="Times New Roman" w:hAnsi="Arial" w:cs="Times New Roman"/>
      <w:lang w:val="en-CA" w:eastAsia="en-CA"/>
    </w:rPr>
  </w:style>
  <w:style w:type="paragraph" w:styleId="TOC2">
    <w:name w:val="toc 2"/>
    <w:basedOn w:val="Normal"/>
    <w:next w:val="Normal"/>
    <w:autoRedefine/>
    <w:uiPriority w:val="39"/>
    <w:rsid w:val="002D46DA"/>
    <w:pPr>
      <w:tabs>
        <w:tab w:val="right" w:leader="dot" w:pos="9962"/>
      </w:tabs>
    </w:pPr>
    <w:rPr>
      <w:rFonts w:ascii="Arial" w:eastAsia="Times New Roman" w:hAnsi="Arial" w:cs="Times New Roman"/>
      <w:sz w:val="22"/>
      <w:lang w:val="en-CA" w:eastAsia="en-CA"/>
    </w:rPr>
  </w:style>
  <w:style w:type="paragraph" w:styleId="TOC3">
    <w:name w:val="toc 3"/>
    <w:basedOn w:val="Normal"/>
    <w:next w:val="Normal"/>
    <w:autoRedefine/>
    <w:uiPriority w:val="39"/>
    <w:rsid w:val="002D46DA"/>
    <w:pPr>
      <w:ind w:left="720"/>
    </w:pPr>
    <w:rPr>
      <w:rFonts w:ascii="Arial" w:eastAsia="Times New Roman" w:hAnsi="Arial" w:cs="Times New Roman"/>
      <w:sz w:val="20"/>
      <w:lang w:val="en-CA" w:eastAsia="en-CA"/>
    </w:rPr>
  </w:style>
  <w:style w:type="paragraph" w:styleId="TOC4">
    <w:name w:val="toc 4"/>
    <w:basedOn w:val="Normal"/>
    <w:next w:val="Normal"/>
    <w:autoRedefine/>
    <w:uiPriority w:val="39"/>
    <w:rsid w:val="002D46DA"/>
    <w:pPr>
      <w:ind w:left="1440"/>
    </w:pPr>
    <w:rPr>
      <w:rFonts w:ascii="Arial" w:eastAsia="Times New Roman" w:hAnsi="Arial" w:cs="Times New Roman"/>
      <w:sz w:val="20"/>
      <w:lang w:val="en-CA" w:eastAsia="en-CA"/>
    </w:rPr>
  </w:style>
  <w:style w:type="character" w:customStyle="1" w:styleId="Heading1Char">
    <w:name w:val="Heading 1 Char"/>
    <w:basedOn w:val="DefaultParagraphFont"/>
    <w:link w:val="Heading1"/>
    <w:rsid w:val="002D46DA"/>
    <w:rPr>
      <w:rFonts w:ascii="Arial" w:eastAsia="Times New Roman" w:hAnsi="Arial" w:cs="Arial"/>
      <w:b/>
      <w:szCs w:val="22"/>
      <w:lang w:val="en-CA" w:eastAsia="en-CA"/>
    </w:rPr>
  </w:style>
  <w:style w:type="character" w:customStyle="1" w:styleId="Heading2Char">
    <w:name w:val="Heading 2 Char"/>
    <w:basedOn w:val="DefaultParagraphFont"/>
    <w:link w:val="Heading2"/>
    <w:rsid w:val="003D5C02"/>
    <w:rPr>
      <w:rFonts w:asciiTheme="majorHAnsi" w:eastAsiaTheme="majorEastAsia" w:hAnsiTheme="majorHAnsi" w:cstheme="majorBidi"/>
      <w:b/>
      <w:bCs/>
      <w:color w:val="000000" w:themeColor="text1"/>
      <w:sz w:val="26"/>
      <w:szCs w:val="26"/>
    </w:rPr>
  </w:style>
  <w:style w:type="character" w:customStyle="1" w:styleId="Heading3Char">
    <w:name w:val="Heading 3 Char"/>
    <w:basedOn w:val="DefaultParagraphFont"/>
    <w:link w:val="Heading3"/>
    <w:rsid w:val="003D5C02"/>
    <w:rPr>
      <w:rFonts w:asciiTheme="majorHAnsi" w:eastAsiaTheme="majorEastAsia" w:hAnsiTheme="majorHAnsi" w:cstheme="majorBidi"/>
      <w:b/>
      <w:bCs/>
    </w:rPr>
  </w:style>
  <w:style w:type="character" w:customStyle="1" w:styleId="Heading4Char">
    <w:name w:val="Heading 4 Char"/>
    <w:basedOn w:val="DefaultParagraphFont"/>
    <w:link w:val="Heading4"/>
    <w:rsid w:val="005B21A3"/>
    <w:rPr>
      <w:rFonts w:asciiTheme="majorHAnsi" w:eastAsiaTheme="majorEastAsia" w:hAnsiTheme="majorHAnsi" w:cstheme="majorBidi"/>
      <w:b/>
      <w:bCs/>
      <w:iCs/>
      <w:color w:val="000000" w:themeColor="text1"/>
      <w:sz w:val="22"/>
    </w:rPr>
  </w:style>
  <w:style w:type="paragraph" w:styleId="ListParagraph">
    <w:name w:val="List Paragraph"/>
    <w:basedOn w:val="Normal"/>
    <w:uiPriority w:val="34"/>
    <w:qFormat/>
    <w:rsid w:val="00362EC8"/>
    <w:pPr>
      <w:ind w:left="720"/>
    </w:pPr>
    <w:rPr>
      <w:rFonts w:ascii="Times New Roman" w:eastAsia="Times New Roman" w:hAnsi="Times New Roman" w:cs="Times New Roman"/>
      <w:lang w:val="en-CA" w:eastAsia="en-CA"/>
    </w:rPr>
  </w:style>
  <w:style w:type="paragraph" w:customStyle="1" w:styleId="BodyText">
    <w:name w:val="BodyText"/>
    <w:link w:val="BodyTextChar"/>
    <w:qFormat/>
    <w:rsid w:val="00362EC8"/>
    <w:pPr>
      <w:keepLines/>
      <w:tabs>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overflowPunct w:val="0"/>
      <w:autoSpaceDE w:val="0"/>
      <w:autoSpaceDN w:val="0"/>
      <w:adjustRightInd w:val="0"/>
      <w:spacing w:before="120" w:after="120"/>
      <w:ind w:left="360"/>
      <w:textAlignment w:val="baseline"/>
    </w:pPr>
    <w:rPr>
      <w:rFonts w:ascii="Times New Roman" w:eastAsia="Times New Roman" w:hAnsi="Times New Roman" w:cs="Times New Roman"/>
      <w:kern w:val="28"/>
      <w:sz w:val="22"/>
      <w:szCs w:val="20"/>
      <w:lang w:val="en-CA"/>
    </w:rPr>
  </w:style>
  <w:style w:type="character" w:customStyle="1" w:styleId="BodyTextChar">
    <w:name w:val="BodyText Char"/>
    <w:link w:val="BodyText"/>
    <w:rsid w:val="00362EC8"/>
    <w:rPr>
      <w:rFonts w:ascii="Times New Roman" w:eastAsia="Times New Roman" w:hAnsi="Times New Roman" w:cs="Times New Roman"/>
      <w:kern w:val="28"/>
      <w:sz w:val="22"/>
      <w:szCs w:val="20"/>
      <w:lang w:val="en-CA"/>
    </w:rPr>
  </w:style>
  <w:style w:type="table" w:styleId="TableGrid">
    <w:name w:val="Table Grid"/>
    <w:basedOn w:val="TableNormal"/>
    <w:rsid w:val="00362EC8"/>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10 pt,Left:  1.32 cm"/>
    <w:basedOn w:val="Normal"/>
    <w:rsid w:val="00362EC8"/>
    <w:pPr>
      <w:ind w:left="748"/>
    </w:pPr>
    <w:rPr>
      <w:rFonts w:ascii="Times New Roman" w:eastAsia="Times New Roman" w:hAnsi="Times New Roman" w:cs="Times New Roman"/>
      <w:lang w:val="en-CA" w:eastAsia="en-CA"/>
    </w:rPr>
  </w:style>
  <w:style w:type="character" w:customStyle="1" w:styleId="Heading9Char">
    <w:name w:val="Heading 9 Char"/>
    <w:basedOn w:val="DefaultParagraphFont"/>
    <w:link w:val="Heading9"/>
    <w:rsid w:val="00807E0F"/>
    <w:rPr>
      <w:rFonts w:ascii="Arial" w:eastAsia="Times New Roman" w:hAnsi="Arial" w:cs="Arial"/>
      <w:sz w:val="22"/>
      <w:szCs w:val="22"/>
      <w:lang w:val="en-CA" w:eastAsia="en-CA"/>
    </w:rPr>
  </w:style>
  <w:style w:type="character" w:styleId="Strong">
    <w:name w:val="Strong"/>
    <w:qFormat/>
    <w:rsid w:val="00807E0F"/>
    <w:rPr>
      <w:rFonts w:ascii="Arial" w:hAnsi="Arial" w:cs="Arial" w:hint="default"/>
      <w:b/>
      <w:bCs/>
      <w:sz w:val="20"/>
      <w:szCs w:val="20"/>
    </w:rPr>
  </w:style>
  <w:style w:type="paragraph" w:styleId="NormalWeb">
    <w:name w:val="Normal (Web)"/>
    <w:basedOn w:val="Normal"/>
    <w:rsid w:val="00807E0F"/>
    <w:pPr>
      <w:spacing w:before="100" w:beforeAutospacing="1" w:after="100" w:afterAutospacing="1"/>
    </w:pPr>
    <w:rPr>
      <w:rFonts w:ascii="Arial" w:eastAsia="Times New Roman" w:hAnsi="Arial" w:cs="Arial"/>
      <w:color w:val="000000"/>
      <w:sz w:val="20"/>
      <w:szCs w:val="20"/>
      <w:lang w:val="en-CA" w:eastAsia="en-CA"/>
    </w:rPr>
  </w:style>
  <w:style w:type="character" w:styleId="Emphasis">
    <w:name w:val="Emphasis"/>
    <w:qFormat/>
    <w:rsid w:val="00807E0F"/>
    <w:rPr>
      <w:i/>
      <w:iCs/>
    </w:rPr>
  </w:style>
  <w:style w:type="paragraph" w:styleId="BodyText0">
    <w:name w:val="Body Text"/>
    <w:basedOn w:val="Normal"/>
    <w:link w:val="BodyTextChar0"/>
    <w:rsid w:val="00807E0F"/>
    <w:pPr>
      <w:widowControl w:val="0"/>
      <w:tabs>
        <w:tab w:val="left" w:pos="-1080"/>
        <w:tab w:val="left" w:pos="-720"/>
        <w:tab w:val="left" w:pos="0"/>
      </w:tabs>
      <w:autoSpaceDE w:val="0"/>
      <w:autoSpaceDN w:val="0"/>
      <w:adjustRightInd w:val="0"/>
    </w:pPr>
    <w:rPr>
      <w:rFonts w:ascii="Arial" w:eastAsia="Times New Roman" w:hAnsi="Arial" w:cs="Arial"/>
      <w:color w:val="000000"/>
      <w:lang w:val="en-GB"/>
    </w:rPr>
  </w:style>
  <w:style w:type="character" w:customStyle="1" w:styleId="BodyTextChar0">
    <w:name w:val="Body Text Char"/>
    <w:basedOn w:val="DefaultParagraphFont"/>
    <w:link w:val="BodyText0"/>
    <w:rsid w:val="00807E0F"/>
    <w:rPr>
      <w:rFonts w:ascii="Arial" w:eastAsia="Times New Roman" w:hAnsi="Arial" w:cs="Arial"/>
      <w:color w:val="000000"/>
      <w:lang w:val="en-GB"/>
    </w:rPr>
  </w:style>
  <w:style w:type="character" w:styleId="PageNumber">
    <w:name w:val="page number"/>
    <w:basedOn w:val="DefaultParagraphFont"/>
    <w:rsid w:val="00807E0F"/>
  </w:style>
  <w:style w:type="character" w:styleId="FollowedHyperlink">
    <w:name w:val="FollowedHyperlink"/>
    <w:rsid w:val="00807E0F"/>
    <w:rPr>
      <w:color w:val="800080"/>
      <w:u w:val="single"/>
    </w:rPr>
  </w:style>
  <w:style w:type="character" w:customStyle="1" w:styleId="Hyperlink13">
    <w:name w:val="Hyperlink13"/>
    <w:rsid w:val="00807E0F"/>
    <w:rPr>
      <w:color w:val="003399"/>
      <w:u w:val="single"/>
    </w:rPr>
  </w:style>
  <w:style w:type="character" w:styleId="CommentReference">
    <w:name w:val="annotation reference"/>
    <w:semiHidden/>
    <w:rsid w:val="00807E0F"/>
    <w:rPr>
      <w:sz w:val="16"/>
      <w:szCs w:val="16"/>
    </w:rPr>
  </w:style>
  <w:style w:type="paragraph" w:styleId="CommentText">
    <w:name w:val="annotation text"/>
    <w:basedOn w:val="Normal"/>
    <w:link w:val="CommentTextChar"/>
    <w:semiHidden/>
    <w:rsid w:val="00807E0F"/>
    <w:rPr>
      <w:rFonts w:ascii="Times New Roman" w:eastAsia="Times New Roman" w:hAnsi="Times New Roman" w:cs="Times New Roman"/>
      <w:sz w:val="20"/>
      <w:szCs w:val="20"/>
      <w:lang w:val="en-CA" w:eastAsia="en-CA"/>
    </w:rPr>
  </w:style>
  <w:style w:type="character" w:customStyle="1" w:styleId="CommentTextChar">
    <w:name w:val="Comment Text Char"/>
    <w:basedOn w:val="DefaultParagraphFont"/>
    <w:link w:val="CommentText"/>
    <w:semiHidden/>
    <w:rsid w:val="00807E0F"/>
    <w:rPr>
      <w:rFonts w:ascii="Times New Roman" w:eastAsia="Times New Roman" w:hAnsi="Times New Roman" w:cs="Times New Roman"/>
      <w:sz w:val="20"/>
      <w:szCs w:val="20"/>
      <w:lang w:val="en-CA" w:eastAsia="en-CA"/>
    </w:rPr>
  </w:style>
  <w:style w:type="paragraph" w:styleId="CommentSubject">
    <w:name w:val="annotation subject"/>
    <w:basedOn w:val="CommentText"/>
    <w:next w:val="CommentText"/>
    <w:link w:val="CommentSubjectChar"/>
    <w:semiHidden/>
    <w:rsid w:val="00807E0F"/>
    <w:rPr>
      <w:b/>
      <w:bCs/>
    </w:rPr>
  </w:style>
  <w:style w:type="character" w:customStyle="1" w:styleId="CommentSubjectChar">
    <w:name w:val="Comment Subject Char"/>
    <w:basedOn w:val="CommentTextChar"/>
    <w:link w:val="CommentSubject"/>
    <w:semiHidden/>
    <w:rsid w:val="00807E0F"/>
    <w:rPr>
      <w:rFonts w:ascii="Times New Roman" w:eastAsia="Times New Roman" w:hAnsi="Times New Roman" w:cs="Times New Roman"/>
      <w:b/>
      <w:bCs/>
      <w:sz w:val="20"/>
      <w:szCs w:val="20"/>
      <w:lang w:val="en-CA" w:eastAsia="en-CA"/>
    </w:rPr>
  </w:style>
  <w:style w:type="paragraph" w:styleId="FootnoteText">
    <w:name w:val="footnote text"/>
    <w:basedOn w:val="Normal"/>
    <w:link w:val="FootnoteTextChar"/>
    <w:semiHidden/>
    <w:rsid w:val="00807E0F"/>
    <w:rPr>
      <w:rFonts w:ascii="Times New Roman" w:eastAsia="Times New Roman" w:hAnsi="Times New Roman" w:cs="Times New Roman"/>
      <w:sz w:val="20"/>
      <w:szCs w:val="20"/>
      <w:lang w:val="en-CA" w:eastAsia="en-CA"/>
    </w:rPr>
  </w:style>
  <w:style w:type="character" w:customStyle="1" w:styleId="FootnoteTextChar">
    <w:name w:val="Footnote Text Char"/>
    <w:basedOn w:val="DefaultParagraphFont"/>
    <w:link w:val="FootnoteText"/>
    <w:semiHidden/>
    <w:rsid w:val="00807E0F"/>
    <w:rPr>
      <w:rFonts w:ascii="Times New Roman" w:eastAsia="Times New Roman" w:hAnsi="Times New Roman" w:cs="Times New Roman"/>
      <w:sz w:val="20"/>
      <w:szCs w:val="20"/>
      <w:lang w:val="en-CA" w:eastAsia="en-CA"/>
    </w:rPr>
  </w:style>
  <w:style w:type="character" w:styleId="FootnoteReference">
    <w:name w:val="footnote reference"/>
    <w:semiHidden/>
    <w:rsid w:val="00807E0F"/>
    <w:rPr>
      <w:vertAlign w:val="superscript"/>
    </w:rPr>
  </w:style>
  <w:style w:type="paragraph" w:customStyle="1" w:styleId="CharChar1Char">
    <w:name w:val="Char Char1 Char"/>
    <w:basedOn w:val="Normal"/>
    <w:rsid w:val="00807E0F"/>
    <w:pPr>
      <w:spacing w:after="160" w:line="240" w:lineRule="exact"/>
    </w:pPr>
    <w:rPr>
      <w:rFonts w:ascii="Verdana" w:eastAsia="Times New Roman" w:hAnsi="Verdana" w:cs="Times New Roman"/>
      <w:sz w:val="20"/>
      <w:szCs w:val="20"/>
      <w:lang w:val="en-CA"/>
    </w:rPr>
  </w:style>
  <w:style w:type="character" w:customStyle="1" w:styleId="Hyperlink15">
    <w:name w:val="Hyperlink15"/>
    <w:rsid w:val="00807E0F"/>
    <w:rPr>
      <w:color w:val="444444"/>
      <w:u w:val="single"/>
    </w:rPr>
  </w:style>
  <w:style w:type="paragraph" w:styleId="DocumentMap">
    <w:name w:val="Document Map"/>
    <w:basedOn w:val="Normal"/>
    <w:link w:val="DocumentMapChar"/>
    <w:semiHidden/>
    <w:rsid w:val="00807E0F"/>
    <w:pPr>
      <w:shd w:val="clear" w:color="auto" w:fill="000080"/>
    </w:pPr>
    <w:rPr>
      <w:rFonts w:ascii="Tahoma" w:eastAsia="Times New Roman" w:hAnsi="Tahoma" w:cs="Tahoma"/>
      <w:lang w:val="en-CA" w:eastAsia="en-CA"/>
    </w:rPr>
  </w:style>
  <w:style w:type="character" w:customStyle="1" w:styleId="DocumentMapChar">
    <w:name w:val="Document Map Char"/>
    <w:basedOn w:val="DefaultParagraphFont"/>
    <w:link w:val="DocumentMap"/>
    <w:semiHidden/>
    <w:rsid w:val="00807E0F"/>
    <w:rPr>
      <w:rFonts w:ascii="Tahoma" w:eastAsia="Times New Roman" w:hAnsi="Tahoma" w:cs="Tahoma"/>
      <w:shd w:val="clear" w:color="auto" w:fill="000080"/>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openxmlformats.org/officeDocument/2006/relationships/hyperlink" Target="http://www.tbs-sct.gc.ca/pol/doc-fra.aspx?id=27256" TargetMode="External"/><Relationship Id="rId26" Type="http://schemas.openxmlformats.org/officeDocument/2006/relationships/hyperlink" Target="http://hrsdc.prv/fra/ministere/pai/index.page?" TargetMode="External"/><Relationship Id="rId39" Type="http://schemas.openxmlformats.org/officeDocument/2006/relationships/hyperlink" Target="https://www.tbs-sct.gc.ca/pol/doc-fra.aspx?id=27228" TargetMode="External"/><Relationship Id="rId21" Type="http://schemas.openxmlformats.org/officeDocument/2006/relationships/hyperlink" Target="https://www.canada.ca/fr/secretariat-conseil-tresor/services/rapports-ministeriels-rendement.html" TargetMode="External"/><Relationship Id="rId34" Type="http://schemas.openxmlformats.org/officeDocument/2006/relationships/hyperlink" Target="https://www.tbs-sct.gc.ca/pol/doc-fra.aspx?id=32499" TargetMode="External"/><Relationship Id="rId42" Type="http://schemas.openxmlformats.org/officeDocument/2006/relationships/hyperlink" Target="http://dialogue/grp/CRM-GRM/SitePages/Home.aspx" TargetMode="External"/><Relationship Id="rId47" Type="http://schemas.openxmlformats.org/officeDocument/2006/relationships/hyperlink" Target="http://publiservice.tbs-sct.gc.ca/maf-crg/index-fra.asp" TargetMode="External"/><Relationship Id="rId50" Type="http://schemas.openxmlformats.org/officeDocument/2006/relationships/hyperlink" Target="http://www.tpsgc-pwgsc.gc.ca/recgen/txt/index-fra.html" TargetMode="External"/><Relationship Id="rId55" Type="http://schemas.openxmlformats.org/officeDocument/2006/relationships/hyperlink" Target="http://rhdcc.prv/fra/sm/comite_index.shtml" TargetMode="External"/><Relationship Id="rId63" Type="http://schemas.openxmlformats.org/officeDocument/2006/relationships/header" Target="header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publiservice.tbs-sct.gc.ca/ems-sgd/esp-pbc/esp-pbc-fra.asp" TargetMode="External"/><Relationship Id="rId20" Type="http://schemas.openxmlformats.org/officeDocument/2006/relationships/hyperlink" Target="https://www.canada.ca/fr/secretariat-conseil-tresor/services/depenses-prevues/rapports-plans-priorites.html" TargetMode="External"/><Relationship Id="rId29" Type="http://schemas.openxmlformats.org/officeDocument/2006/relationships/hyperlink" Target="http://publiservice.tbs-sct.gc.ca/pol/doc-fra.aspx?id=12755" TargetMode="External"/><Relationship Id="rId41" Type="http://schemas.openxmlformats.org/officeDocument/2006/relationships/hyperlink" Target="http://iservice.prv/fra/finance/DELEG/deleg-tdm.shtml" TargetMode="External"/><Relationship Id="rId54" Type="http://schemas.openxmlformats.org/officeDocument/2006/relationships/image" Target="media/image1.png"/><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hyperlink" Target="http://publiservice.tbs-sct.gc.ca/ems-sgd/rc-cr-fra.asp" TargetMode="External"/><Relationship Id="rId32" Type="http://schemas.openxmlformats.org/officeDocument/2006/relationships/hyperlink" Target="http://dialogue/grp/RDM/Generic/2015%20MDR_Guide_&#201;laboration_FR.pdf" TargetMode="External"/><Relationship Id="rId37" Type="http://schemas.openxmlformats.org/officeDocument/2006/relationships/hyperlink" Target="https://www.tbs-sct.gc.ca/pol/doc-fra.aspx?id=32504" TargetMode="External"/><Relationship Id="rId40" Type="http://schemas.openxmlformats.org/officeDocument/2006/relationships/hyperlink" Target="http://iservice.prv/fra/politiques/index.shtml" TargetMode="External"/><Relationship Id="rId45" Type="http://schemas.openxmlformats.org/officeDocument/2006/relationships/hyperlink" Target="javascript:goService('ROLES://portal_content/ca.hrsdc.HRSDC/MSS/Roles/Manager_Self-Service_Forecasting_BI/ManagerSelf-Service/FundsManagement/ca.esdc.kw.page.FR11_Budget_Forecasting');" TargetMode="External"/><Relationship Id="rId53" Type="http://schemas.openxmlformats.org/officeDocument/2006/relationships/hyperlink" Target="https://www.canada.ca/fr/secretariat-conseil-tresor/services/depenses-prevues/system-gestion-depenses/cycle-rapports.html" TargetMode="External"/><Relationship Id="rId58" Type="http://schemas.openxmlformats.org/officeDocument/2006/relationships/hyperlink" Target="http://iservice.prv/fra/catalogue_services/index.shtml" TargetMode="Externa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canada.ca/fr/emploi-developpement-social/ministere/rapports/plan-ministeriel/2018.html" TargetMode="External"/><Relationship Id="rId23" Type="http://schemas.openxmlformats.org/officeDocument/2006/relationships/hyperlink" Target="http://publiservice.tbs-sct.gc.ca/ems-sgd/rc-cr-fra.asp" TargetMode="External"/><Relationship Id="rId28" Type="http://schemas.openxmlformats.org/officeDocument/2006/relationships/hyperlink" Target="http://publiservice.tbs-sct.gc.ca/pol/doc-fra.aspx?id=18229" TargetMode="External"/><Relationship Id="rId36" Type="http://schemas.openxmlformats.org/officeDocument/2006/relationships/hyperlink" Target="https://www.tbs-sct.gc.ca/pol/doc-fra.aspx?id=32503" TargetMode="External"/><Relationship Id="rId49" Type="http://schemas.openxmlformats.org/officeDocument/2006/relationships/hyperlink" Target="http://www.tpsgc-pwgsc.gc.ca/recgen/cpc-pac/index-fra.html" TargetMode="External"/><Relationship Id="rId57" Type="http://schemas.openxmlformats.org/officeDocument/2006/relationships/hyperlink" Target="http://iservice.prv/fra/finance/GCF/index.shtml" TargetMode="External"/><Relationship Id="rId61" Type="http://schemas.openxmlformats.org/officeDocument/2006/relationships/header" Target="header1.xml"/><Relationship Id="rId10" Type="http://schemas.openxmlformats.org/officeDocument/2006/relationships/diagramLayout" Target="diagrams/layout1.xml"/><Relationship Id="rId19" Type="http://schemas.openxmlformats.org/officeDocument/2006/relationships/hyperlink" Target="http://publiservice.tbs-sct.gc.ca/ems-sgd/esp-pbc/esp-pbc-fra.asp" TargetMode="External"/><Relationship Id="rId31" Type="http://schemas.openxmlformats.org/officeDocument/2006/relationships/hyperlink" Target="http://dialogue/grp/Costing-Etablissement-des-couts/Shared%20Documents/2012%20RHDCC%20Politique%20d'&#233;tablissement%20des%20co&#251;ts.pdf" TargetMode="External"/><Relationship Id="rId44" Type="http://schemas.openxmlformats.org/officeDocument/2006/relationships/hyperlink" Target="http://iservice.prv/fra/catalogue_services/index.shtml" TargetMode="External"/><Relationship Id="rId52" Type="http://schemas.openxmlformats.org/officeDocument/2006/relationships/hyperlink" Target="http://publiservice.tbs-sct.gc.ca/dpr-rmr/index-fra.asp" TargetMode="External"/><Relationship Id="rId60" Type="http://schemas.openxmlformats.org/officeDocument/2006/relationships/hyperlink" Target="http://iservice.prv/fra/finance/GCF/index.shtml" TargetMode="Externa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yperlink" Target="http://www.tbs-sct.gc.ca/pol/doc-fra.aspx?id=18218" TargetMode="External"/><Relationship Id="rId22" Type="http://schemas.openxmlformats.org/officeDocument/2006/relationships/hyperlink" Target="http://publiservice.tbs-sct.gc.ca/ems-sgd/esp-pbc/esp-pbc-fra.asp" TargetMode="External"/><Relationship Id="rId27" Type="http://schemas.openxmlformats.org/officeDocument/2006/relationships/hyperlink" Target="http://publiservice.tbs-sct.gc.ca/pol/doc-fra.aspx?id=18225" TargetMode="External"/><Relationship Id="rId30" Type="http://schemas.openxmlformats.org/officeDocument/2006/relationships/hyperlink" Target="https://www.tbs-sct.gc.ca/pol/doc-fra.aspx?id=30375" TargetMode="External"/><Relationship Id="rId35" Type="http://schemas.openxmlformats.org/officeDocument/2006/relationships/hyperlink" Target="https://www.tbs-sct.gc.ca/pol/doc-fra.aspx?id=32502" TargetMode="External"/><Relationship Id="rId43" Type="http://schemas.openxmlformats.org/officeDocument/2006/relationships/hyperlink" Target="http://dialogue/grp/CRM-GRM/201415%20Forecasting%20Process/2017-18/2017-18%20Forecasting%20Guidelines_Final%20-%20FR.docx" TargetMode="External"/><Relationship Id="rId48" Type="http://schemas.openxmlformats.org/officeDocument/2006/relationships/hyperlink" Target="http://publiservice.tbs-sct.gc.ca/pol/doc-fra.aspx?id=18292&amp;section=text" TargetMode="External"/><Relationship Id="rId56" Type="http://schemas.openxmlformats.org/officeDocument/2006/relationships/hyperlink" Target="http://iservice.prv/fra/catalogue_services/index.shtml" TargetMode="External"/><Relationship Id="rId64"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https://www.canada.ca/fr/emploi-developpement-social/ministere/rapports/rmr/2016/etats-financiers.html" TargetMode="External"/><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hyperlink" Target="https://www.canada.ca/fr/secretariat-conseil-tresor/services/presentations-conseil-tresor.html" TargetMode="External"/><Relationship Id="rId25" Type="http://schemas.openxmlformats.org/officeDocument/2006/relationships/hyperlink" Target="http://publiservice.tbs-sct.gc.ca/ems-sgd/esp-pbc/ggsw-msgg-fra.asp" TargetMode="External"/><Relationship Id="rId33" Type="http://schemas.openxmlformats.org/officeDocument/2006/relationships/hyperlink" Target="http://publiservice.tbs-sct.gc.ca/pol/doc-fra.aspx?id=14005" TargetMode="External"/><Relationship Id="rId38" Type="http://schemas.openxmlformats.org/officeDocument/2006/relationships/hyperlink" Target="https://www.tbs-sct.gc.ca/pol/doc-fra.aspx?id=32505" TargetMode="External"/><Relationship Id="rId46" Type="http://schemas.openxmlformats.org/officeDocument/2006/relationships/hyperlink" Target="http://iservice.prv/fra/gestionnaires/prevision_departement/fdr_index.shtml" TargetMode="External"/><Relationship Id="rId59" Type="http://schemas.openxmlformats.org/officeDocument/2006/relationships/hyperlink" Target="http://iservice.prv/fra/finance/GCF/index.s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ACAC44-3BBD-44EF-B1ED-6A6B364EFA66}" type="doc">
      <dgm:prSet loTypeId="urn:microsoft.com/office/officeart/2005/8/layout/cycle5" loCatId="cycle" qsTypeId="urn:microsoft.com/office/officeart/2005/8/quickstyle/3d1" qsCatId="3D" csTypeId="urn:microsoft.com/office/officeart/2005/8/colors/colorful1" csCatId="colorful" phldr="1"/>
      <dgm:spPr/>
      <dgm:t>
        <a:bodyPr/>
        <a:lstStyle/>
        <a:p>
          <a:endParaRPr lang="en-CA"/>
        </a:p>
      </dgm:t>
    </dgm:pt>
    <dgm:pt modelId="{18D673C0-CD52-40CB-8BC3-FF0E338B6C9E}">
      <dgm:prSet phldrT="[Text]" custT="1"/>
      <dgm:spPr>
        <a:gradFill rotWithShape="0">
          <a:gsLst>
            <a:gs pos="100000">
              <a:schemeClr val="accent2">
                <a:hueOff val="0"/>
                <a:satOff val="0"/>
                <a:lumOff val="0"/>
                <a:alphaOff val="0"/>
                <a:tint val="100000"/>
                <a:shade val="100000"/>
                <a:satMod val="130000"/>
              </a:schemeClr>
            </a:gs>
            <a:gs pos="100000">
              <a:schemeClr val="accent2">
                <a:hueOff val="0"/>
                <a:satOff val="0"/>
                <a:lumOff val="0"/>
                <a:alphaOff val="0"/>
                <a:tint val="50000"/>
                <a:shade val="100000"/>
                <a:satMod val="350000"/>
              </a:schemeClr>
            </a:gs>
          </a:gsLst>
        </a:gradFill>
      </dgm:spPr>
      <dgm:t>
        <a:bodyPr/>
        <a:lstStyle/>
        <a:p>
          <a:pPr algn="ctr"/>
          <a:r>
            <a:rPr lang="en-CA" sz="1100" b="1">
              <a:latin typeface="+mj-lt"/>
            </a:rPr>
            <a:t>1- ACQUISITION DES RESSOURCES </a:t>
          </a:r>
        </a:p>
        <a:p>
          <a:pPr algn="ctr"/>
          <a:endParaRPr lang="en-CA" sz="200" b="1">
            <a:latin typeface="+mj-lt"/>
          </a:endParaRPr>
        </a:p>
        <a:p>
          <a:pPr algn="l"/>
          <a:r>
            <a:rPr lang="en-CA" sz="900" b="1">
              <a:latin typeface="+mj-lt"/>
            </a:rPr>
            <a:t>SYSTÈME DE GESTION DES DÉPENSES (SGD</a:t>
          </a:r>
          <a:r>
            <a:rPr lang="en-CA" sz="900">
              <a:latin typeface="+mj-lt"/>
            </a:rPr>
            <a:t>)</a:t>
          </a:r>
        </a:p>
        <a:p>
          <a:pPr algn="l"/>
          <a:r>
            <a:rPr lang="en-CA" sz="800" i="1">
              <a:latin typeface="+mj-lt"/>
            </a:rPr>
            <a:t>    - </a:t>
          </a:r>
          <a:r>
            <a:rPr lang="en-CA" sz="800" i="0">
              <a:latin typeface="+mj-lt"/>
            </a:rPr>
            <a:t>Politique sur les résultats</a:t>
          </a:r>
        </a:p>
        <a:p>
          <a:pPr algn="l"/>
          <a:r>
            <a:rPr lang="en-CA" sz="800">
              <a:latin typeface="+mj-lt"/>
            </a:rPr>
            <a:t>    - Alignement d'Architecture de Programmes (AAP) pour 2017-2018 / Cadre </a:t>
          </a:r>
        </a:p>
        <a:p>
          <a:pPr algn="l"/>
          <a:r>
            <a:rPr lang="en-CA" sz="800">
              <a:latin typeface="+mj-lt"/>
            </a:rPr>
            <a:t>      ministériel des résultats (CMR) pour 2018-2019</a:t>
          </a:r>
        </a:p>
        <a:p>
          <a:pPr algn="l"/>
          <a:r>
            <a:rPr lang="en-CA" sz="800">
              <a:latin typeface="+mj-lt"/>
            </a:rPr>
            <a:t>    - Plans ministériels</a:t>
          </a:r>
        </a:p>
        <a:p>
          <a:pPr algn="l"/>
          <a:r>
            <a:rPr lang="en-CA" sz="800">
              <a:latin typeface="+mj-lt"/>
            </a:rPr>
            <a:t>    - Mémoires au Cabinet (MC) et présentations au conseil du Trésor (CT) </a:t>
          </a:r>
        </a:p>
        <a:p>
          <a:pPr algn="l"/>
          <a:r>
            <a:rPr lang="en-CA" sz="800">
              <a:latin typeface="+mj-lt"/>
            </a:rPr>
            <a:t>   - Budget principal des dépenses / Mise à jour annuelle des niveaux de </a:t>
          </a:r>
        </a:p>
        <a:p>
          <a:pPr algn="l"/>
          <a:r>
            <a:rPr lang="en-CA" sz="800">
              <a:latin typeface="+mj-lt"/>
            </a:rPr>
            <a:t>     référence (MAJNR)</a:t>
          </a:r>
        </a:p>
        <a:p>
          <a:pPr algn="l"/>
          <a:r>
            <a:rPr lang="en-CA" sz="800">
              <a:latin typeface="+mj-lt"/>
            </a:rPr>
            <a:t>    - Budget supplémentaire des dépenses (A, B, C)</a:t>
          </a:r>
        </a:p>
        <a:p>
          <a:pPr algn="l"/>
          <a:r>
            <a:rPr lang="en-CA" sz="800">
              <a:latin typeface="+mj-lt"/>
            </a:rPr>
            <a:t>    - Projets de loi de crédits</a:t>
          </a:r>
        </a:p>
      </dgm:t>
    </dgm:pt>
    <dgm:pt modelId="{C1B81E7A-20D5-49AF-9314-1D14A47B91EE}" type="parTrans" cxnId="{260D448A-9BC6-43F6-BBF1-98BB9CF1BC7D}">
      <dgm:prSet/>
      <dgm:spPr/>
      <dgm:t>
        <a:bodyPr/>
        <a:lstStyle/>
        <a:p>
          <a:endParaRPr lang="en-CA"/>
        </a:p>
      </dgm:t>
    </dgm:pt>
    <dgm:pt modelId="{433DAB4A-9B2B-4975-AAB7-6FAC9EEB7D34}" type="sibTrans" cxnId="{260D448A-9BC6-43F6-BBF1-98BB9CF1BC7D}">
      <dgm:prSet/>
      <dgm:spPr/>
      <dgm:t>
        <a:bodyPr/>
        <a:lstStyle/>
        <a:p>
          <a:endParaRPr lang="en-CA"/>
        </a:p>
      </dgm:t>
    </dgm:pt>
    <dgm:pt modelId="{2C136A9A-D11E-4FA6-98A5-8CAEE8C1D6DB}">
      <dgm:prSet phldrT="[Text]" custT="1"/>
      <dgm:spPr>
        <a:gradFill rotWithShape="0">
          <a:gsLst>
            <a:gs pos="100000">
              <a:srgbClr val="755AAC"/>
            </a:gs>
            <a:gs pos="100000">
              <a:srgbClr val="7030A0"/>
            </a:gs>
          </a:gsLst>
          <a:lin ang="16200000" scaled="0"/>
        </a:gradFill>
      </dgm:spPr>
      <dgm:t>
        <a:bodyPr/>
        <a:lstStyle/>
        <a:p>
          <a:pPr algn="ctr"/>
          <a:r>
            <a:rPr lang="en-CA" sz="1100" b="1">
              <a:latin typeface="+mj-lt"/>
            </a:rPr>
            <a:t>3- GESTION DES RESSOURCES</a:t>
          </a:r>
        </a:p>
        <a:p>
          <a:pPr algn="ctr"/>
          <a:endParaRPr lang="en-CA" sz="200" b="1">
            <a:latin typeface="+mj-lt"/>
          </a:endParaRPr>
        </a:p>
        <a:p>
          <a:pPr algn="l"/>
          <a:r>
            <a:rPr lang="en-CA" sz="900" b="1">
              <a:latin typeface="+mj-lt"/>
            </a:rPr>
            <a:t>   POLITIQUE FINANCIÈRE</a:t>
          </a:r>
        </a:p>
        <a:p>
          <a:pPr algn="l"/>
          <a:r>
            <a:rPr lang="en-CA" sz="800">
              <a:latin typeface="+mj-lt"/>
            </a:rPr>
            <a:t>  - Ensemble renouvelé des politiques de gestion financière</a:t>
          </a:r>
        </a:p>
        <a:p>
          <a:pPr algn="l"/>
          <a:endParaRPr lang="en-CA" sz="200">
            <a:latin typeface="+mj-lt"/>
          </a:endParaRPr>
        </a:p>
        <a:p>
          <a:pPr algn="l"/>
          <a:r>
            <a:rPr lang="en-CA" sz="900" b="1">
              <a:latin typeface="+mj-lt"/>
            </a:rPr>
            <a:t>   CONTRÔLE INTERNE</a:t>
          </a:r>
          <a:endParaRPr lang="en-CA" sz="900">
            <a:latin typeface="+mj-lt"/>
          </a:endParaRPr>
        </a:p>
        <a:p>
          <a:pPr algn="l"/>
          <a:r>
            <a:rPr lang="en-CA" sz="800">
              <a:latin typeface="+mj-lt"/>
            </a:rPr>
            <a:t>  - Délégation des pouvoirs</a:t>
          </a:r>
        </a:p>
        <a:p>
          <a:pPr algn="l"/>
          <a:endParaRPr lang="en-CA" sz="200">
            <a:latin typeface="+mj-lt"/>
          </a:endParaRPr>
        </a:p>
        <a:p>
          <a:pPr algn="l"/>
          <a:r>
            <a:rPr lang="en-CA" sz="900" b="1">
              <a:latin typeface="+mj-lt"/>
            </a:rPr>
            <a:t>   CONTRÔLE BUDGÉTAIRE</a:t>
          </a:r>
          <a:endParaRPr lang="en-CA" sz="900">
            <a:latin typeface="+mj-lt"/>
          </a:endParaRPr>
        </a:p>
        <a:p>
          <a:pPr algn="l"/>
          <a:r>
            <a:rPr lang="en-CA" sz="800">
              <a:latin typeface="+mj-lt"/>
            </a:rPr>
            <a:t>  - Contrôle des affectations du SCT</a:t>
          </a:r>
        </a:p>
        <a:p>
          <a:pPr algn="l"/>
          <a:r>
            <a:rPr lang="en-CA" sz="800">
              <a:latin typeface="+mj-lt"/>
            </a:rPr>
            <a:t>  - Contrôle de caisse</a:t>
          </a:r>
        </a:p>
        <a:p>
          <a:pPr algn="l"/>
          <a:r>
            <a:rPr lang="en-CA" sz="800">
              <a:latin typeface="+mj-lt"/>
            </a:rPr>
            <a:t>  - Contrôle des engagements </a:t>
          </a:r>
        </a:p>
        <a:p>
          <a:pPr algn="l"/>
          <a:r>
            <a:rPr lang="en-CA" sz="800">
              <a:latin typeface="+mj-lt"/>
            </a:rPr>
            <a:t>  - Calcul des budgets de base et grand livre des subventions et </a:t>
          </a:r>
        </a:p>
        <a:p>
          <a:pPr algn="l"/>
          <a:r>
            <a:rPr lang="en-CA" sz="800">
              <a:latin typeface="+mj-lt"/>
            </a:rPr>
            <a:t>    contributions</a:t>
          </a:r>
        </a:p>
        <a:p>
          <a:pPr algn="l"/>
          <a:r>
            <a:rPr lang="en-CA" sz="800">
              <a:latin typeface="+mj-lt"/>
            </a:rPr>
            <a:t>  - Ajustements budgétaires</a:t>
          </a:r>
        </a:p>
        <a:p>
          <a:pPr algn="l"/>
          <a:r>
            <a:rPr lang="en-CA" sz="800">
              <a:latin typeface="+mj-lt"/>
            </a:rPr>
            <a:t>  - Politique  budgétaire</a:t>
          </a:r>
        </a:p>
        <a:p>
          <a:pPr algn="l"/>
          <a:endParaRPr lang="en-CA" sz="200">
            <a:latin typeface="+mj-lt"/>
          </a:endParaRPr>
        </a:p>
        <a:p>
          <a:pPr algn="l"/>
          <a:r>
            <a:rPr lang="en-CA" sz="900" b="1">
              <a:latin typeface="+mj-lt"/>
            </a:rPr>
            <a:t>   RAPPORT SUR LA GESTION INTERNE</a:t>
          </a:r>
          <a:endParaRPr lang="en-CA" sz="900">
            <a:latin typeface="+mj-lt"/>
          </a:endParaRPr>
        </a:p>
        <a:p>
          <a:pPr algn="l"/>
          <a:r>
            <a:rPr lang="en-CA" sz="800">
              <a:latin typeface="+mj-lt"/>
            </a:rPr>
            <a:t>  - Lignes directrices en matière de prévisions </a:t>
          </a:r>
        </a:p>
        <a:p>
          <a:pPr algn="l"/>
          <a:r>
            <a:rPr lang="en-CA" sz="800">
              <a:latin typeface="+mj-lt"/>
            </a:rPr>
            <a:t>  - Exactitude des prévisions via les périodes de prévision</a:t>
          </a:r>
        </a:p>
        <a:p>
          <a:pPr algn="l"/>
          <a:r>
            <a:rPr lang="en-CA" sz="800">
              <a:latin typeface="+mj-lt"/>
            </a:rPr>
            <a:t>    Ministérielles (P3, P6, P8 et P10)</a:t>
          </a:r>
        </a:p>
        <a:p>
          <a:pPr algn="l"/>
          <a:r>
            <a:rPr lang="en-CA" sz="800">
              <a:latin typeface="+mj-lt"/>
            </a:rPr>
            <a:t>  - Rapport financier ministériel (RFM)</a:t>
          </a:r>
        </a:p>
        <a:p>
          <a:pPr algn="l"/>
          <a:endParaRPr lang="en-CA" sz="200">
            <a:latin typeface="+mj-lt"/>
          </a:endParaRPr>
        </a:p>
        <a:p>
          <a:pPr algn="l"/>
          <a:r>
            <a:rPr lang="en-CA" sz="900" b="1">
              <a:latin typeface="+mj-lt"/>
            </a:rPr>
            <a:t>     AUTRES PRINCIPES DE GESTION DES RESSOURCES</a:t>
          </a:r>
          <a:endParaRPr lang="en-CA" sz="800" b="1">
            <a:latin typeface="+mj-lt"/>
          </a:endParaRPr>
        </a:p>
      </dgm:t>
    </dgm:pt>
    <dgm:pt modelId="{9753641C-228A-4CE5-8A75-BA2EF0040AB4}" type="parTrans" cxnId="{95B4F6FF-A818-468A-A63A-1ABF09292842}">
      <dgm:prSet/>
      <dgm:spPr/>
      <dgm:t>
        <a:bodyPr/>
        <a:lstStyle/>
        <a:p>
          <a:endParaRPr lang="en-CA"/>
        </a:p>
      </dgm:t>
    </dgm:pt>
    <dgm:pt modelId="{170401E6-B017-41DD-A3DE-0D5DC507B35C}" type="sibTrans" cxnId="{95B4F6FF-A818-468A-A63A-1ABF09292842}">
      <dgm:prSet/>
      <dgm:spPr/>
      <dgm:t>
        <a:bodyPr/>
        <a:lstStyle/>
        <a:p>
          <a:endParaRPr lang="en-CA"/>
        </a:p>
      </dgm:t>
    </dgm:pt>
    <dgm:pt modelId="{C9EFD420-A232-4EC3-99CB-17A872B38715}">
      <dgm:prSet phldrT="[Text]" custT="1"/>
      <dgm:spPr>
        <a:gradFill rotWithShape="0">
          <a:gsLst>
            <a:gs pos="100000">
              <a:schemeClr val="accent5">
                <a:hueOff val="0"/>
                <a:satOff val="0"/>
                <a:lumOff val="0"/>
                <a:alphaOff val="0"/>
                <a:tint val="100000"/>
                <a:shade val="100000"/>
                <a:satMod val="130000"/>
              </a:schemeClr>
            </a:gs>
            <a:gs pos="100000">
              <a:schemeClr val="accent5">
                <a:hueOff val="0"/>
                <a:satOff val="0"/>
                <a:lumOff val="0"/>
                <a:alphaOff val="0"/>
                <a:tint val="50000"/>
                <a:shade val="100000"/>
                <a:satMod val="350000"/>
              </a:schemeClr>
            </a:gs>
          </a:gsLst>
        </a:gradFill>
      </dgm:spPr>
      <dgm:t>
        <a:bodyPr/>
        <a:lstStyle/>
        <a:p>
          <a:pPr algn="ctr"/>
          <a:r>
            <a:rPr lang="en-CA" sz="1100" b="1">
              <a:latin typeface="+mj-lt"/>
            </a:rPr>
            <a:t>4- RAPPORT ET SUIVI</a:t>
          </a:r>
        </a:p>
        <a:p>
          <a:pPr algn="l"/>
          <a:endParaRPr lang="en-CA" sz="200" b="1">
            <a:latin typeface="+mj-lt"/>
          </a:endParaRPr>
        </a:p>
        <a:p>
          <a:pPr algn="l"/>
          <a:r>
            <a:rPr lang="en-CA" sz="900" b="1">
              <a:latin typeface="+mj-lt"/>
            </a:rPr>
            <a:t>RENDEMENT EXTERNE (partie du SGD)</a:t>
          </a:r>
        </a:p>
        <a:p>
          <a:pPr algn="l"/>
          <a:r>
            <a:rPr lang="en-CA" sz="800">
              <a:latin typeface="+mj-lt"/>
            </a:rPr>
            <a:t>  - Cadre de responsabilisation de gestion (CRG)</a:t>
          </a:r>
        </a:p>
        <a:p>
          <a:pPr algn="l"/>
          <a:r>
            <a:rPr lang="en-CA" sz="800">
              <a:latin typeface="+mj-lt"/>
            </a:rPr>
            <a:t>  - Rapport financier  trimestriel du </a:t>
          </a:r>
          <a:r>
            <a:rPr lang="fr-CA" sz="800">
              <a:latin typeface="+mj-lt"/>
            </a:rPr>
            <a:t>ministère</a:t>
          </a:r>
          <a:endParaRPr lang="en-CA" sz="800">
            <a:latin typeface="+mj-lt"/>
          </a:endParaRPr>
        </a:p>
        <a:p>
          <a:pPr algn="l"/>
          <a:r>
            <a:rPr lang="en-CA" sz="800">
              <a:latin typeface="+mj-lt"/>
            </a:rPr>
            <a:t>  - Comptes publics du Canada</a:t>
          </a:r>
        </a:p>
        <a:p>
          <a:pPr algn="l"/>
          <a:r>
            <a:rPr lang="en-CA" sz="800">
              <a:latin typeface="+mj-lt"/>
            </a:rPr>
            <a:t>  - États financiers  ministériels </a:t>
          </a:r>
        </a:p>
        <a:p>
          <a:pPr algn="l"/>
          <a:r>
            <a:rPr lang="en-CA" sz="800">
              <a:latin typeface="+mj-lt"/>
            </a:rPr>
            <a:t>  - Rapport sur les résultats ministérielles (RRM)</a:t>
          </a:r>
        </a:p>
        <a:p>
          <a:pPr algn="l"/>
          <a:r>
            <a:rPr lang="en-CA" sz="800">
              <a:latin typeface="+mj-lt"/>
            </a:rPr>
            <a:t>  - Examen de l'alignement des ressources</a:t>
          </a:r>
        </a:p>
        <a:p>
          <a:pPr algn="l"/>
          <a:r>
            <a:rPr lang="en-CA" sz="800">
              <a:latin typeface="+mj-lt"/>
            </a:rPr>
            <a:t>  - Examens stratégiques</a:t>
          </a:r>
          <a:endParaRPr lang="en-CA" sz="800" b="1">
            <a:latin typeface="+mj-lt"/>
          </a:endParaRPr>
        </a:p>
      </dgm:t>
    </dgm:pt>
    <dgm:pt modelId="{80AD161A-DDDF-4266-9AFA-AF7939107158}" type="parTrans" cxnId="{04514393-1326-44B6-AE2E-36EB01D47103}">
      <dgm:prSet/>
      <dgm:spPr/>
      <dgm:t>
        <a:bodyPr/>
        <a:lstStyle/>
        <a:p>
          <a:endParaRPr lang="en-CA"/>
        </a:p>
      </dgm:t>
    </dgm:pt>
    <dgm:pt modelId="{99B5BBAB-82AD-4AD5-848E-00F499CEB0DE}" type="sibTrans" cxnId="{04514393-1326-44B6-AE2E-36EB01D47103}">
      <dgm:prSet/>
      <dgm:spPr/>
      <dgm:t>
        <a:bodyPr/>
        <a:lstStyle/>
        <a:p>
          <a:endParaRPr lang="en-CA"/>
        </a:p>
      </dgm:t>
    </dgm:pt>
    <dgm:pt modelId="{4234CF77-CBA6-4252-8E73-8456C2C76B4A}">
      <dgm:prSet phldrT="[Text]" custT="1"/>
      <dgm:spPr>
        <a:gradFill rotWithShape="0">
          <a:gsLst>
            <a:gs pos="100000">
              <a:schemeClr val="accent3">
                <a:hueOff val="0"/>
                <a:satOff val="0"/>
                <a:lumOff val="0"/>
                <a:alphaOff val="0"/>
                <a:tint val="100000"/>
                <a:shade val="100000"/>
                <a:satMod val="130000"/>
              </a:schemeClr>
            </a:gs>
            <a:gs pos="100000">
              <a:schemeClr val="accent3">
                <a:hueOff val="0"/>
                <a:satOff val="0"/>
                <a:lumOff val="0"/>
                <a:alphaOff val="0"/>
                <a:tint val="50000"/>
                <a:shade val="100000"/>
                <a:satMod val="350000"/>
              </a:schemeClr>
            </a:gs>
          </a:gsLst>
        </a:gradFill>
      </dgm:spPr>
      <dgm:t>
        <a:bodyPr/>
        <a:lstStyle/>
        <a:p>
          <a:pPr algn="ctr"/>
          <a:r>
            <a:rPr lang="en-CA" sz="1050" b="1">
              <a:latin typeface="+mj-lt"/>
            </a:rPr>
            <a:t>2-AFFECTATION DES RESSOURCES</a:t>
          </a:r>
        </a:p>
        <a:p>
          <a:pPr algn="ctr"/>
          <a:endParaRPr lang="en-CA" sz="200" b="1">
            <a:latin typeface="+mj-lt"/>
          </a:endParaRPr>
        </a:p>
        <a:p>
          <a:pPr algn="l"/>
          <a:r>
            <a:rPr lang="en-CA" sz="900" b="1">
              <a:latin typeface="+mj-lt"/>
            </a:rPr>
            <a:t>STRUCTURE DE GOUVERNANCE</a:t>
          </a:r>
        </a:p>
        <a:p>
          <a:pPr algn="l"/>
          <a:r>
            <a:rPr lang="en-CA" sz="900" b="1">
              <a:latin typeface="+mj-lt"/>
            </a:rPr>
            <a:t>PLANIFICATION OPÉRATIONNELLE</a:t>
          </a:r>
        </a:p>
        <a:p>
          <a:pPr algn="l"/>
          <a:r>
            <a:rPr lang="en-CA" sz="800">
              <a:latin typeface="+mj-lt"/>
            </a:rPr>
            <a:t>  - Planification intégrée des activités</a:t>
          </a:r>
        </a:p>
        <a:p>
          <a:pPr algn="l"/>
          <a:r>
            <a:rPr lang="en-CA" sz="800">
              <a:latin typeface="+mj-lt"/>
            </a:rPr>
            <a:t>  - Planification des investissements</a:t>
          </a:r>
        </a:p>
        <a:p>
          <a:pPr algn="l"/>
          <a:r>
            <a:rPr lang="en-CA" sz="800">
              <a:latin typeface="+mj-lt"/>
            </a:rPr>
            <a:t>  - Processus de gestion des investissements</a:t>
          </a:r>
        </a:p>
        <a:p>
          <a:pPr algn="l"/>
          <a:endParaRPr lang="en-CA" sz="200">
            <a:latin typeface="+mj-lt"/>
          </a:endParaRPr>
        </a:p>
        <a:p>
          <a:pPr algn="l"/>
          <a:r>
            <a:rPr lang="en-CA" sz="900" b="1">
              <a:latin typeface="+mj-lt"/>
            </a:rPr>
            <a:t>UTILISATION DES FONDS</a:t>
          </a:r>
          <a:endParaRPr lang="en-CA" sz="900">
            <a:latin typeface="+mj-lt"/>
          </a:endParaRPr>
        </a:p>
        <a:p>
          <a:pPr algn="l"/>
          <a:r>
            <a:rPr lang="en-CA" sz="800">
              <a:latin typeface="+mj-lt"/>
            </a:rPr>
            <a:t>  - Calcul des budgets de fonctionnement de base</a:t>
          </a:r>
        </a:p>
        <a:p>
          <a:pPr algn="l"/>
          <a:r>
            <a:rPr lang="en-CA" sz="800">
              <a:latin typeface="+mj-lt"/>
            </a:rPr>
            <a:t>  - Profil de financement des Subventions et</a:t>
          </a:r>
        </a:p>
        <a:p>
          <a:pPr algn="l"/>
          <a:r>
            <a:rPr lang="en-CA" sz="800">
              <a:latin typeface="+mj-lt"/>
            </a:rPr>
            <a:t>    Contributions</a:t>
          </a:r>
        </a:p>
        <a:p>
          <a:pPr algn="l"/>
          <a:r>
            <a:rPr lang="en-CA" sz="800">
              <a:latin typeface="+mj-lt"/>
            </a:rPr>
            <a:t>  - Dépenses législatives</a:t>
          </a:r>
        </a:p>
        <a:p>
          <a:pPr algn="l"/>
          <a:endParaRPr lang="en-CA" sz="200">
            <a:latin typeface="+mj-lt"/>
          </a:endParaRPr>
        </a:p>
        <a:p>
          <a:pPr algn="l"/>
          <a:r>
            <a:rPr lang="en-CA" sz="900" b="1">
              <a:latin typeface="+mj-lt"/>
            </a:rPr>
            <a:t>ÉTABLISSEMENT DES COÛTS</a:t>
          </a:r>
        </a:p>
        <a:p>
          <a:pPr algn="l"/>
          <a:r>
            <a:rPr lang="en-CA" sz="800">
              <a:latin typeface="+mj-lt"/>
            </a:rPr>
            <a:t>  - Politique d'établissement des coûts  d'EDSC </a:t>
          </a:r>
        </a:p>
        <a:p>
          <a:pPr algn="l"/>
          <a:r>
            <a:rPr lang="en-CA" sz="800">
              <a:latin typeface="+mj-lt"/>
            </a:rPr>
            <a:t>  - Modèle d'établissement des coûts des</a:t>
          </a:r>
        </a:p>
        <a:p>
          <a:pPr algn="l"/>
          <a:r>
            <a:rPr lang="en-CA" sz="800">
              <a:latin typeface="+mj-lt"/>
            </a:rPr>
            <a:t>    présentations  au CT</a:t>
          </a:r>
          <a:endParaRPr lang="en-CA" sz="800" b="1">
            <a:latin typeface="+mj-lt"/>
          </a:endParaRPr>
        </a:p>
      </dgm:t>
    </dgm:pt>
    <dgm:pt modelId="{F464D706-FBC2-4BFF-8C8F-849A388D95AE}" type="sibTrans" cxnId="{93A0BB26-77A4-4EAC-8FF7-E85CBD4477C5}">
      <dgm:prSet/>
      <dgm:spPr/>
      <dgm:t>
        <a:bodyPr/>
        <a:lstStyle/>
        <a:p>
          <a:endParaRPr lang="en-CA"/>
        </a:p>
      </dgm:t>
    </dgm:pt>
    <dgm:pt modelId="{554CD8C7-1477-443E-8D52-D17E347A8296}" type="parTrans" cxnId="{93A0BB26-77A4-4EAC-8FF7-E85CBD4477C5}">
      <dgm:prSet/>
      <dgm:spPr/>
      <dgm:t>
        <a:bodyPr/>
        <a:lstStyle/>
        <a:p>
          <a:endParaRPr lang="en-CA"/>
        </a:p>
      </dgm:t>
    </dgm:pt>
    <dgm:pt modelId="{F299D7CE-11BA-4BB5-A961-652C292BDEEC}" type="pres">
      <dgm:prSet presAssocID="{60ACAC44-3BBD-44EF-B1ED-6A6B364EFA66}" presName="cycle" presStyleCnt="0">
        <dgm:presLayoutVars>
          <dgm:dir/>
          <dgm:resizeHandles val="exact"/>
        </dgm:presLayoutVars>
      </dgm:prSet>
      <dgm:spPr/>
      <dgm:t>
        <a:bodyPr/>
        <a:lstStyle/>
        <a:p>
          <a:endParaRPr lang="en-CA"/>
        </a:p>
      </dgm:t>
    </dgm:pt>
    <dgm:pt modelId="{F4C51179-E0C7-4914-B44A-5D4D4DF65DD8}" type="pres">
      <dgm:prSet presAssocID="{18D673C0-CD52-40CB-8BC3-FF0E338B6C9E}" presName="node" presStyleLbl="node1" presStyleIdx="0" presStyleCnt="4" custScaleX="201336" custScaleY="156384" custRadScaleRad="111048" custRadScaleInc="-1705">
        <dgm:presLayoutVars>
          <dgm:bulletEnabled val="1"/>
        </dgm:presLayoutVars>
      </dgm:prSet>
      <dgm:spPr/>
      <dgm:t>
        <a:bodyPr/>
        <a:lstStyle/>
        <a:p>
          <a:endParaRPr lang="en-CA"/>
        </a:p>
      </dgm:t>
    </dgm:pt>
    <dgm:pt modelId="{DAEA5BAC-CF10-4A64-A3C3-5F6CC8E4C6C4}" type="pres">
      <dgm:prSet presAssocID="{18D673C0-CD52-40CB-8BC3-FF0E338B6C9E}" presName="spNode" presStyleCnt="0"/>
      <dgm:spPr/>
      <dgm:t>
        <a:bodyPr/>
        <a:lstStyle/>
        <a:p>
          <a:endParaRPr lang="en-CA"/>
        </a:p>
      </dgm:t>
    </dgm:pt>
    <dgm:pt modelId="{527E5A02-7296-4217-862D-4A9FE4F09104}" type="pres">
      <dgm:prSet presAssocID="{433DAB4A-9B2B-4975-AAB7-6FAC9EEB7D34}" presName="sibTrans" presStyleLbl="sibTrans1D1" presStyleIdx="0" presStyleCnt="4"/>
      <dgm:spPr/>
      <dgm:t>
        <a:bodyPr/>
        <a:lstStyle/>
        <a:p>
          <a:endParaRPr lang="en-CA"/>
        </a:p>
      </dgm:t>
    </dgm:pt>
    <dgm:pt modelId="{F99FCAE4-A431-4BAC-B2FA-1D75E2E206FD}" type="pres">
      <dgm:prSet presAssocID="{4234CF77-CBA6-4252-8E73-8456C2C76B4A}" presName="node" presStyleLbl="node1" presStyleIdx="1" presStyleCnt="4" custScaleX="99331" custScaleY="218243" custRadScaleRad="100359" custRadScaleInc="-6919">
        <dgm:presLayoutVars>
          <dgm:bulletEnabled val="1"/>
        </dgm:presLayoutVars>
      </dgm:prSet>
      <dgm:spPr/>
      <dgm:t>
        <a:bodyPr/>
        <a:lstStyle/>
        <a:p>
          <a:endParaRPr lang="en-CA"/>
        </a:p>
      </dgm:t>
    </dgm:pt>
    <dgm:pt modelId="{10BBEC9B-1212-4B8A-B942-248D37F9E33B}" type="pres">
      <dgm:prSet presAssocID="{4234CF77-CBA6-4252-8E73-8456C2C76B4A}" presName="spNode" presStyleCnt="0"/>
      <dgm:spPr/>
      <dgm:t>
        <a:bodyPr/>
        <a:lstStyle/>
        <a:p>
          <a:endParaRPr lang="en-CA"/>
        </a:p>
      </dgm:t>
    </dgm:pt>
    <dgm:pt modelId="{FE127874-3470-4BE6-8323-40B932413E5E}" type="pres">
      <dgm:prSet presAssocID="{F464D706-FBC2-4BFF-8C8F-849A388D95AE}" presName="sibTrans" presStyleLbl="sibTrans1D1" presStyleIdx="1" presStyleCnt="4"/>
      <dgm:spPr/>
      <dgm:t>
        <a:bodyPr/>
        <a:lstStyle/>
        <a:p>
          <a:endParaRPr lang="en-CA"/>
        </a:p>
      </dgm:t>
    </dgm:pt>
    <dgm:pt modelId="{669B4FC2-80E1-4F28-8AE4-DCF62A6B7561}" type="pres">
      <dgm:prSet presAssocID="{2C136A9A-D11E-4FA6-98A5-8CAEE8C1D6DB}" presName="node" presStyleLbl="node1" presStyleIdx="2" presStyleCnt="4" custScaleX="168963" custScaleY="249170" custRadScaleRad="110791" custRadScaleInc="41122">
        <dgm:presLayoutVars>
          <dgm:bulletEnabled val="1"/>
        </dgm:presLayoutVars>
      </dgm:prSet>
      <dgm:spPr/>
      <dgm:t>
        <a:bodyPr/>
        <a:lstStyle/>
        <a:p>
          <a:endParaRPr lang="en-CA"/>
        </a:p>
      </dgm:t>
    </dgm:pt>
    <dgm:pt modelId="{B3765781-DAD6-4F6D-A833-484A1ACABE5C}" type="pres">
      <dgm:prSet presAssocID="{2C136A9A-D11E-4FA6-98A5-8CAEE8C1D6DB}" presName="spNode" presStyleCnt="0"/>
      <dgm:spPr/>
      <dgm:t>
        <a:bodyPr/>
        <a:lstStyle/>
        <a:p>
          <a:endParaRPr lang="en-CA"/>
        </a:p>
      </dgm:t>
    </dgm:pt>
    <dgm:pt modelId="{0E8128D0-3AFE-43F3-81FF-756FEC36A91A}" type="pres">
      <dgm:prSet presAssocID="{170401E6-B017-41DD-A3DE-0D5DC507B35C}" presName="sibTrans" presStyleLbl="sibTrans1D1" presStyleIdx="2" presStyleCnt="4"/>
      <dgm:spPr/>
      <dgm:t>
        <a:bodyPr/>
        <a:lstStyle/>
        <a:p>
          <a:endParaRPr lang="en-CA"/>
        </a:p>
      </dgm:t>
    </dgm:pt>
    <dgm:pt modelId="{C363DEC1-F235-4B4A-8929-9A5079979840}" type="pres">
      <dgm:prSet presAssocID="{C9EFD420-A232-4EC3-99CB-17A872B38715}" presName="node" presStyleLbl="node1" presStyleIdx="3" presStyleCnt="4" custScaleX="108079" custScaleY="133515" custRadScaleRad="98949" custRadScaleInc="18548">
        <dgm:presLayoutVars>
          <dgm:bulletEnabled val="1"/>
        </dgm:presLayoutVars>
      </dgm:prSet>
      <dgm:spPr/>
      <dgm:t>
        <a:bodyPr/>
        <a:lstStyle/>
        <a:p>
          <a:endParaRPr lang="en-CA"/>
        </a:p>
      </dgm:t>
    </dgm:pt>
    <dgm:pt modelId="{AE491138-F88D-416A-8CA0-48E5AED921E7}" type="pres">
      <dgm:prSet presAssocID="{C9EFD420-A232-4EC3-99CB-17A872B38715}" presName="spNode" presStyleCnt="0"/>
      <dgm:spPr/>
      <dgm:t>
        <a:bodyPr/>
        <a:lstStyle/>
        <a:p>
          <a:endParaRPr lang="en-CA"/>
        </a:p>
      </dgm:t>
    </dgm:pt>
    <dgm:pt modelId="{AB5B82F6-2FF0-4DB0-857A-FB1215DEB185}" type="pres">
      <dgm:prSet presAssocID="{99B5BBAB-82AD-4AD5-848E-00F499CEB0DE}" presName="sibTrans" presStyleLbl="sibTrans1D1" presStyleIdx="3" presStyleCnt="4"/>
      <dgm:spPr/>
      <dgm:t>
        <a:bodyPr/>
        <a:lstStyle/>
        <a:p>
          <a:endParaRPr lang="en-CA"/>
        </a:p>
      </dgm:t>
    </dgm:pt>
  </dgm:ptLst>
  <dgm:cxnLst>
    <dgm:cxn modelId="{87310E35-373B-470C-BF8F-1867F6248344}" type="presOf" srcId="{433DAB4A-9B2B-4975-AAB7-6FAC9EEB7D34}" destId="{527E5A02-7296-4217-862D-4A9FE4F09104}" srcOrd="0" destOrd="0" presId="urn:microsoft.com/office/officeart/2005/8/layout/cycle5"/>
    <dgm:cxn modelId="{7877E7DA-B089-47C0-935A-AED436183388}" type="presOf" srcId="{170401E6-B017-41DD-A3DE-0D5DC507B35C}" destId="{0E8128D0-3AFE-43F3-81FF-756FEC36A91A}" srcOrd="0" destOrd="0" presId="urn:microsoft.com/office/officeart/2005/8/layout/cycle5"/>
    <dgm:cxn modelId="{04514393-1326-44B6-AE2E-36EB01D47103}" srcId="{60ACAC44-3BBD-44EF-B1ED-6A6B364EFA66}" destId="{C9EFD420-A232-4EC3-99CB-17A872B38715}" srcOrd="3" destOrd="0" parTransId="{80AD161A-DDDF-4266-9AFA-AF7939107158}" sibTransId="{99B5BBAB-82AD-4AD5-848E-00F499CEB0DE}"/>
    <dgm:cxn modelId="{260D448A-9BC6-43F6-BBF1-98BB9CF1BC7D}" srcId="{60ACAC44-3BBD-44EF-B1ED-6A6B364EFA66}" destId="{18D673C0-CD52-40CB-8BC3-FF0E338B6C9E}" srcOrd="0" destOrd="0" parTransId="{C1B81E7A-20D5-49AF-9314-1D14A47B91EE}" sibTransId="{433DAB4A-9B2B-4975-AAB7-6FAC9EEB7D34}"/>
    <dgm:cxn modelId="{9022D6A4-655A-4987-844B-6F0BF1FB494A}" type="presOf" srcId="{60ACAC44-3BBD-44EF-B1ED-6A6B364EFA66}" destId="{F299D7CE-11BA-4BB5-A961-652C292BDEEC}" srcOrd="0" destOrd="0" presId="urn:microsoft.com/office/officeart/2005/8/layout/cycle5"/>
    <dgm:cxn modelId="{353EF19B-DB45-4D02-8FC4-A4F4A420B053}" type="presOf" srcId="{2C136A9A-D11E-4FA6-98A5-8CAEE8C1D6DB}" destId="{669B4FC2-80E1-4F28-8AE4-DCF62A6B7561}" srcOrd="0" destOrd="0" presId="urn:microsoft.com/office/officeart/2005/8/layout/cycle5"/>
    <dgm:cxn modelId="{D55AE792-B965-410E-857F-71F22E54531F}" type="presOf" srcId="{18D673C0-CD52-40CB-8BC3-FF0E338B6C9E}" destId="{F4C51179-E0C7-4914-B44A-5D4D4DF65DD8}" srcOrd="0" destOrd="0" presId="urn:microsoft.com/office/officeart/2005/8/layout/cycle5"/>
    <dgm:cxn modelId="{2CD6793C-C258-4091-B346-ECF343282788}" type="presOf" srcId="{F464D706-FBC2-4BFF-8C8F-849A388D95AE}" destId="{FE127874-3470-4BE6-8323-40B932413E5E}" srcOrd="0" destOrd="0" presId="urn:microsoft.com/office/officeart/2005/8/layout/cycle5"/>
    <dgm:cxn modelId="{95B4F6FF-A818-468A-A63A-1ABF09292842}" srcId="{60ACAC44-3BBD-44EF-B1ED-6A6B364EFA66}" destId="{2C136A9A-D11E-4FA6-98A5-8CAEE8C1D6DB}" srcOrd="2" destOrd="0" parTransId="{9753641C-228A-4CE5-8A75-BA2EF0040AB4}" sibTransId="{170401E6-B017-41DD-A3DE-0D5DC507B35C}"/>
    <dgm:cxn modelId="{97D2C53D-63E9-4CD7-8D1A-FFEF6BD1BDA7}" type="presOf" srcId="{C9EFD420-A232-4EC3-99CB-17A872B38715}" destId="{C363DEC1-F235-4B4A-8929-9A5079979840}" srcOrd="0" destOrd="0" presId="urn:microsoft.com/office/officeart/2005/8/layout/cycle5"/>
    <dgm:cxn modelId="{93A0BB26-77A4-4EAC-8FF7-E85CBD4477C5}" srcId="{60ACAC44-3BBD-44EF-B1ED-6A6B364EFA66}" destId="{4234CF77-CBA6-4252-8E73-8456C2C76B4A}" srcOrd="1" destOrd="0" parTransId="{554CD8C7-1477-443E-8D52-D17E347A8296}" sibTransId="{F464D706-FBC2-4BFF-8C8F-849A388D95AE}"/>
    <dgm:cxn modelId="{A2FC1B24-EC6B-47B1-942D-E7896A654061}" type="presOf" srcId="{99B5BBAB-82AD-4AD5-848E-00F499CEB0DE}" destId="{AB5B82F6-2FF0-4DB0-857A-FB1215DEB185}" srcOrd="0" destOrd="0" presId="urn:microsoft.com/office/officeart/2005/8/layout/cycle5"/>
    <dgm:cxn modelId="{7150DCA0-10AA-4EDA-BE93-B08D809E3AE2}" type="presOf" srcId="{4234CF77-CBA6-4252-8E73-8456C2C76B4A}" destId="{F99FCAE4-A431-4BAC-B2FA-1D75E2E206FD}" srcOrd="0" destOrd="0" presId="urn:microsoft.com/office/officeart/2005/8/layout/cycle5"/>
    <dgm:cxn modelId="{B1A579A1-5784-4DE0-BD61-88488EC84DC5}" type="presParOf" srcId="{F299D7CE-11BA-4BB5-A961-652C292BDEEC}" destId="{F4C51179-E0C7-4914-B44A-5D4D4DF65DD8}" srcOrd="0" destOrd="0" presId="urn:microsoft.com/office/officeart/2005/8/layout/cycle5"/>
    <dgm:cxn modelId="{FBB7E3B8-1CD0-4964-8E23-AC4DBAC6726D}" type="presParOf" srcId="{F299D7CE-11BA-4BB5-A961-652C292BDEEC}" destId="{DAEA5BAC-CF10-4A64-A3C3-5F6CC8E4C6C4}" srcOrd="1" destOrd="0" presId="urn:microsoft.com/office/officeart/2005/8/layout/cycle5"/>
    <dgm:cxn modelId="{91B46602-10D4-4E7F-BCC8-17F3CB7330A1}" type="presParOf" srcId="{F299D7CE-11BA-4BB5-A961-652C292BDEEC}" destId="{527E5A02-7296-4217-862D-4A9FE4F09104}" srcOrd="2" destOrd="0" presId="urn:microsoft.com/office/officeart/2005/8/layout/cycle5"/>
    <dgm:cxn modelId="{6B965A2E-84D1-4E68-9685-ADA6F0422153}" type="presParOf" srcId="{F299D7CE-11BA-4BB5-A961-652C292BDEEC}" destId="{F99FCAE4-A431-4BAC-B2FA-1D75E2E206FD}" srcOrd="3" destOrd="0" presId="urn:microsoft.com/office/officeart/2005/8/layout/cycle5"/>
    <dgm:cxn modelId="{147A18B4-AF0F-4DD2-81C8-BB25B8D85644}" type="presParOf" srcId="{F299D7CE-11BA-4BB5-A961-652C292BDEEC}" destId="{10BBEC9B-1212-4B8A-B942-248D37F9E33B}" srcOrd="4" destOrd="0" presId="urn:microsoft.com/office/officeart/2005/8/layout/cycle5"/>
    <dgm:cxn modelId="{D4099BAD-A2BE-479F-8947-BE7B356C376F}" type="presParOf" srcId="{F299D7CE-11BA-4BB5-A961-652C292BDEEC}" destId="{FE127874-3470-4BE6-8323-40B932413E5E}" srcOrd="5" destOrd="0" presId="urn:microsoft.com/office/officeart/2005/8/layout/cycle5"/>
    <dgm:cxn modelId="{1FBEE79B-B105-478C-9205-65B5F3C1CF05}" type="presParOf" srcId="{F299D7CE-11BA-4BB5-A961-652C292BDEEC}" destId="{669B4FC2-80E1-4F28-8AE4-DCF62A6B7561}" srcOrd="6" destOrd="0" presId="urn:microsoft.com/office/officeart/2005/8/layout/cycle5"/>
    <dgm:cxn modelId="{1474FD09-EDF7-48C1-85BA-669F3940865E}" type="presParOf" srcId="{F299D7CE-11BA-4BB5-A961-652C292BDEEC}" destId="{B3765781-DAD6-4F6D-A833-484A1ACABE5C}" srcOrd="7" destOrd="0" presId="urn:microsoft.com/office/officeart/2005/8/layout/cycle5"/>
    <dgm:cxn modelId="{A2921F2C-BDE4-49FA-9822-C1401AD570D5}" type="presParOf" srcId="{F299D7CE-11BA-4BB5-A961-652C292BDEEC}" destId="{0E8128D0-3AFE-43F3-81FF-756FEC36A91A}" srcOrd="8" destOrd="0" presId="urn:microsoft.com/office/officeart/2005/8/layout/cycle5"/>
    <dgm:cxn modelId="{C5E27941-B234-4343-B9AB-88B5136C2406}" type="presParOf" srcId="{F299D7CE-11BA-4BB5-A961-652C292BDEEC}" destId="{C363DEC1-F235-4B4A-8929-9A5079979840}" srcOrd="9" destOrd="0" presId="urn:microsoft.com/office/officeart/2005/8/layout/cycle5"/>
    <dgm:cxn modelId="{106A5EA7-3338-476C-8716-D1D9316C975D}" type="presParOf" srcId="{F299D7CE-11BA-4BB5-A961-652C292BDEEC}" destId="{AE491138-F88D-416A-8CA0-48E5AED921E7}" srcOrd="10" destOrd="0" presId="urn:microsoft.com/office/officeart/2005/8/layout/cycle5"/>
    <dgm:cxn modelId="{21EE9D17-73AE-475E-93CE-E3EAD52FC2BB}" type="presParOf" srcId="{F299D7CE-11BA-4BB5-A961-652C292BDEEC}" destId="{AB5B82F6-2FF0-4DB0-857A-FB1215DEB185}" srcOrd="11" destOrd="0" presId="urn:microsoft.com/office/officeart/2005/8/layout/cycle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C51179-E0C7-4914-B44A-5D4D4DF65DD8}">
      <dsp:nvSpPr>
        <dsp:cNvPr id="0" name=""/>
        <dsp:cNvSpPr/>
      </dsp:nvSpPr>
      <dsp:spPr>
        <a:xfrm>
          <a:off x="1284645" y="0"/>
          <a:ext cx="4460030" cy="2251760"/>
        </a:xfrm>
        <a:prstGeom prst="roundRect">
          <a:avLst/>
        </a:prstGeom>
        <a:gradFill rotWithShape="0">
          <a:gsLst>
            <a:gs pos="100000">
              <a:schemeClr val="accent2">
                <a:hueOff val="0"/>
                <a:satOff val="0"/>
                <a:lumOff val="0"/>
                <a:alphaOff val="0"/>
                <a:tint val="100000"/>
                <a:shade val="100000"/>
                <a:satMod val="130000"/>
              </a:schemeClr>
            </a:gs>
            <a:gs pos="100000">
              <a:schemeClr val="accent2">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CA" sz="1100" b="1" kern="1200">
              <a:latin typeface="+mj-lt"/>
            </a:rPr>
            <a:t>1- ACQUISITION DES RESSOURCES </a:t>
          </a:r>
        </a:p>
        <a:p>
          <a:pPr lvl="0" algn="ctr" defTabSz="488950">
            <a:lnSpc>
              <a:spcPct val="90000"/>
            </a:lnSpc>
            <a:spcBef>
              <a:spcPct val="0"/>
            </a:spcBef>
            <a:spcAft>
              <a:spcPct val="35000"/>
            </a:spcAft>
          </a:pPr>
          <a:endParaRPr lang="en-CA" sz="200" b="1" kern="1200">
            <a:latin typeface="+mj-lt"/>
          </a:endParaRPr>
        </a:p>
        <a:p>
          <a:pPr lvl="0" algn="l" defTabSz="488950">
            <a:lnSpc>
              <a:spcPct val="90000"/>
            </a:lnSpc>
            <a:spcBef>
              <a:spcPct val="0"/>
            </a:spcBef>
            <a:spcAft>
              <a:spcPct val="35000"/>
            </a:spcAft>
          </a:pPr>
          <a:r>
            <a:rPr lang="en-CA" sz="900" b="1" kern="1200">
              <a:latin typeface="+mj-lt"/>
            </a:rPr>
            <a:t>SYSTÈME DE GESTION DES DÉPENSES (SGD</a:t>
          </a:r>
          <a:r>
            <a:rPr lang="en-CA" sz="900" kern="1200">
              <a:latin typeface="+mj-lt"/>
            </a:rPr>
            <a:t>)</a:t>
          </a:r>
        </a:p>
        <a:p>
          <a:pPr lvl="0" algn="l" defTabSz="488950">
            <a:lnSpc>
              <a:spcPct val="90000"/>
            </a:lnSpc>
            <a:spcBef>
              <a:spcPct val="0"/>
            </a:spcBef>
            <a:spcAft>
              <a:spcPct val="35000"/>
            </a:spcAft>
          </a:pPr>
          <a:r>
            <a:rPr lang="en-CA" sz="800" i="1" kern="1200">
              <a:latin typeface="+mj-lt"/>
            </a:rPr>
            <a:t>    - </a:t>
          </a:r>
          <a:r>
            <a:rPr lang="en-CA" sz="800" i="0" kern="1200">
              <a:latin typeface="+mj-lt"/>
            </a:rPr>
            <a:t>Politique sur les résultats</a:t>
          </a:r>
        </a:p>
        <a:p>
          <a:pPr lvl="0" algn="l" defTabSz="488950">
            <a:lnSpc>
              <a:spcPct val="90000"/>
            </a:lnSpc>
            <a:spcBef>
              <a:spcPct val="0"/>
            </a:spcBef>
            <a:spcAft>
              <a:spcPct val="35000"/>
            </a:spcAft>
          </a:pPr>
          <a:r>
            <a:rPr lang="en-CA" sz="800" kern="1200">
              <a:latin typeface="+mj-lt"/>
            </a:rPr>
            <a:t>    - Alignement d'Architecture de Programmes (AAP) pour 2017-2018 / Cadre </a:t>
          </a:r>
        </a:p>
        <a:p>
          <a:pPr lvl="0" algn="l" defTabSz="488950">
            <a:lnSpc>
              <a:spcPct val="90000"/>
            </a:lnSpc>
            <a:spcBef>
              <a:spcPct val="0"/>
            </a:spcBef>
            <a:spcAft>
              <a:spcPct val="35000"/>
            </a:spcAft>
          </a:pPr>
          <a:r>
            <a:rPr lang="en-CA" sz="800" kern="1200">
              <a:latin typeface="+mj-lt"/>
            </a:rPr>
            <a:t>      ministériel des résultats (CMR) pour 2018-2019</a:t>
          </a:r>
        </a:p>
        <a:p>
          <a:pPr lvl="0" algn="l" defTabSz="488950">
            <a:lnSpc>
              <a:spcPct val="90000"/>
            </a:lnSpc>
            <a:spcBef>
              <a:spcPct val="0"/>
            </a:spcBef>
            <a:spcAft>
              <a:spcPct val="35000"/>
            </a:spcAft>
          </a:pPr>
          <a:r>
            <a:rPr lang="en-CA" sz="800" kern="1200">
              <a:latin typeface="+mj-lt"/>
            </a:rPr>
            <a:t>    - Plans ministériels</a:t>
          </a:r>
        </a:p>
        <a:p>
          <a:pPr lvl="0" algn="l" defTabSz="488950">
            <a:lnSpc>
              <a:spcPct val="90000"/>
            </a:lnSpc>
            <a:spcBef>
              <a:spcPct val="0"/>
            </a:spcBef>
            <a:spcAft>
              <a:spcPct val="35000"/>
            </a:spcAft>
          </a:pPr>
          <a:r>
            <a:rPr lang="en-CA" sz="800" kern="1200">
              <a:latin typeface="+mj-lt"/>
            </a:rPr>
            <a:t>    - Mémoires au Cabinet (MC) et présentations au conseil du Trésor (CT) </a:t>
          </a:r>
        </a:p>
        <a:p>
          <a:pPr lvl="0" algn="l" defTabSz="488950">
            <a:lnSpc>
              <a:spcPct val="90000"/>
            </a:lnSpc>
            <a:spcBef>
              <a:spcPct val="0"/>
            </a:spcBef>
            <a:spcAft>
              <a:spcPct val="35000"/>
            </a:spcAft>
          </a:pPr>
          <a:r>
            <a:rPr lang="en-CA" sz="800" kern="1200">
              <a:latin typeface="+mj-lt"/>
            </a:rPr>
            <a:t>   - Budget principal des dépenses / Mise à jour annuelle des niveaux de </a:t>
          </a:r>
        </a:p>
        <a:p>
          <a:pPr lvl="0" algn="l" defTabSz="488950">
            <a:lnSpc>
              <a:spcPct val="90000"/>
            </a:lnSpc>
            <a:spcBef>
              <a:spcPct val="0"/>
            </a:spcBef>
            <a:spcAft>
              <a:spcPct val="35000"/>
            </a:spcAft>
          </a:pPr>
          <a:r>
            <a:rPr lang="en-CA" sz="800" kern="1200">
              <a:latin typeface="+mj-lt"/>
            </a:rPr>
            <a:t>     référence (MAJNR)</a:t>
          </a:r>
        </a:p>
        <a:p>
          <a:pPr lvl="0" algn="l" defTabSz="488950">
            <a:lnSpc>
              <a:spcPct val="90000"/>
            </a:lnSpc>
            <a:spcBef>
              <a:spcPct val="0"/>
            </a:spcBef>
            <a:spcAft>
              <a:spcPct val="35000"/>
            </a:spcAft>
          </a:pPr>
          <a:r>
            <a:rPr lang="en-CA" sz="800" kern="1200">
              <a:latin typeface="+mj-lt"/>
            </a:rPr>
            <a:t>    - Budget supplémentaire des dépenses (A, B, C)</a:t>
          </a:r>
        </a:p>
        <a:p>
          <a:pPr lvl="0" algn="l" defTabSz="488950">
            <a:lnSpc>
              <a:spcPct val="90000"/>
            </a:lnSpc>
            <a:spcBef>
              <a:spcPct val="0"/>
            </a:spcBef>
            <a:spcAft>
              <a:spcPct val="35000"/>
            </a:spcAft>
          </a:pPr>
          <a:r>
            <a:rPr lang="en-CA" sz="800" kern="1200">
              <a:latin typeface="+mj-lt"/>
            </a:rPr>
            <a:t>    - Projets de loi de crédits</a:t>
          </a:r>
        </a:p>
      </dsp:txBody>
      <dsp:txXfrm>
        <a:off x="1394567" y="109922"/>
        <a:ext cx="4240186" cy="2031916"/>
      </dsp:txXfrm>
    </dsp:sp>
    <dsp:sp modelId="{527E5A02-7296-4217-862D-4A9FE4F09104}">
      <dsp:nvSpPr>
        <dsp:cNvPr id="0" name=""/>
        <dsp:cNvSpPr/>
      </dsp:nvSpPr>
      <dsp:spPr>
        <a:xfrm>
          <a:off x="594721" y="1629433"/>
          <a:ext cx="4762342" cy="4762342"/>
        </a:xfrm>
        <a:custGeom>
          <a:avLst/>
          <a:gdLst/>
          <a:ahLst/>
          <a:cxnLst/>
          <a:rect l="0" t="0" r="0" b="0"/>
          <a:pathLst>
            <a:path>
              <a:moveTo>
                <a:pt x="4036791" y="669768"/>
              </a:moveTo>
              <a:arcTo wR="2381171" hR="2381171" stAng="18843050" swAng="300521"/>
            </a:path>
          </a:pathLst>
        </a:custGeom>
        <a:noFill/>
        <a:ln w="9525" cap="flat" cmpd="sng" algn="ctr">
          <a:solidFill>
            <a:schemeClr val="accent2">
              <a:hueOff val="0"/>
              <a:satOff val="0"/>
              <a:lumOff val="0"/>
              <a:alphaOff val="0"/>
            </a:schemeClr>
          </a:solidFill>
          <a:prstDash val="solid"/>
          <a:tailEnd type="arrow"/>
        </a:ln>
        <a:effectLst/>
        <a:scene3d>
          <a:camera prst="orthographicFront"/>
          <a:lightRig rig="flat" dir="t"/>
        </a:scene3d>
        <a:sp3d z="-40000" prstMaterial="matte"/>
      </dsp:spPr>
      <dsp:style>
        <a:lnRef idx="1">
          <a:scrgbClr r="0" g="0" b="0"/>
        </a:lnRef>
        <a:fillRef idx="0">
          <a:scrgbClr r="0" g="0" b="0"/>
        </a:fillRef>
        <a:effectRef idx="0">
          <a:scrgbClr r="0" g="0" b="0"/>
        </a:effectRef>
        <a:fontRef idx="minor"/>
      </dsp:style>
    </dsp:sp>
    <dsp:sp modelId="{F99FCAE4-A431-4BAC-B2FA-1D75E2E206FD}">
      <dsp:nvSpPr>
        <dsp:cNvPr id="0" name=""/>
        <dsp:cNvSpPr/>
      </dsp:nvSpPr>
      <dsp:spPr>
        <a:xfrm>
          <a:off x="4819239" y="2093647"/>
          <a:ext cx="2200397" cy="3142462"/>
        </a:xfrm>
        <a:prstGeom prst="roundRect">
          <a:avLst/>
        </a:prstGeom>
        <a:gradFill rotWithShape="0">
          <a:gsLst>
            <a:gs pos="100000">
              <a:schemeClr val="accent3">
                <a:hueOff val="0"/>
                <a:satOff val="0"/>
                <a:lumOff val="0"/>
                <a:alphaOff val="0"/>
                <a:tint val="100000"/>
                <a:shade val="100000"/>
                <a:satMod val="130000"/>
              </a:schemeClr>
            </a:gs>
            <a:gs pos="100000">
              <a:schemeClr val="accent3">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CA" sz="1050" b="1" kern="1200">
              <a:latin typeface="+mj-lt"/>
            </a:rPr>
            <a:t>2-AFFECTATION DES RESSOURCES</a:t>
          </a:r>
        </a:p>
        <a:p>
          <a:pPr lvl="0" algn="ctr" defTabSz="466725">
            <a:lnSpc>
              <a:spcPct val="90000"/>
            </a:lnSpc>
            <a:spcBef>
              <a:spcPct val="0"/>
            </a:spcBef>
            <a:spcAft>
              <a:spcPct val="35000"/>
            </a:spcAft>
          </a:pPr>
          <a:endParaRPr lang="en-CA" sz="200" b="1" kern="1200">
            <a:latin typeface="+mj-lt"/>
          </a:endParaRPr>
        </a:p>
        <a:p>
          <a:pPr lvl="0" algn="l" defTabSz="466725">
            <a:lnSpc>
              <a:spcPct val="90000"/>
            </a:lnSpc>
            <a:spcBef>
              <a:spcPct val="0"/>
            </a:spcBef>
            <a:spcAft>
              <a:spcPct val="35000"/>
            </a:spcAft>
          </a:pPr>
          <a:r>
            <a:rPr lang="en-CA" sz="900" b="1" kern="1200">
              <a:latin typeface="+mj-lt"/>
            </a:rPr>
            <a:t>STRUCTURE DE GOUVERNANCE</a:t>
          </a:r>
        </a:p>
        <a:p>
          <a:pPr lvl="0" algn="l" defTabSz="466725">
            <a:lnSpc>
              <a:spcPct val="90000"/>
            </a:lnSpc>
            <a:spcBef>
              <a:spcPct val="0"/>
            </a:spcBef>
            <a:spcAft>
              <a:spcPct val="35000"/>
            </a:spcAft>
          </a:pPr>
          <a:r>
            <a:rPr lang="en-CA" sz="900" b="1" kern="1200">
              <a:latin typeface="+mj-lt"/>
            </a:rPr>
            <a:t>PLANIFICATION OPÉRATIONNELLE</a:t>
          </a:r>
        </a:p>
        <a:p>
          <a:pPr lvl="0" algn="l" defTabSz="466725">
            <a:lnSpc>
              <a:spcPct val="90000"/>
            </a:lnSpc>
            <a:spcBef>
              <a:spcPct val="0"/>
            </a:spcBef>
            <a:spcAft>
              <a:spcPct val="35000"/>
            </a:spcAft>
          </a:pPr>
          <a:r>
            <a:rPr lang="en-CA" sz="800" kern="1200">
              <a:latin typeface="+mj-lt"/>
            </a:rPr>
            <a:t>  - Planification intégrée des activités</a:t>
          </a:r>
        </a:p>
        <a:p>
          <a:pPr lvl="0" algn="l" defTabSz="466725">
            <a:lnSpc>
              <a:spcPct val="90000"/>
            </a:lnSpc>
            <a:spcBef>
              <a:spcPct val="0"/>
            </a:spcBef>
            <a:spcAft>
              <a:spcPct val="35000"/>
            </a:spcAft>
          </a:pPr>
          <a:r>
            <a:rPr lang="en-CA" sz="800" kern="1200">
              <a:latin typeface="+mj-lt"/>
            </a:rPr>
            <a:t>  - Planification des investissements</a:t>
          </a:r>
        </a:p>
        <a:p>
          <a:pPr lvl="0" algn="l" defTabSz="466725">
            <a:lnSpc>
              <a:spcPct val="90000"/>
            </a:lnSpc>
            <a:spcBef>
              <a:spcPct val="0"/>
            </a:spcBef>
            <a:spcAft>
              <a:spcPct val="35000"/>
            </a:spcAft>
          </a:pPr>
          <a:r>
            <a:rPr lang="en-CA" sz="800" kern="1200">
              <a:latin typeface="+mj-lt"/>
            </a:rPr>
            <a:t>  - Processus de gestion des investissements</a:t>
          </a:r>
        </a:p>
        <a:p>
          <a:pPr lvl="0" algn="l" defTabSz="466725">
            <a:lnSpc>
              <a:spcPct val="90000"/>
            </a:lnSpc>
            <a:spcBef>
              <a:spcPct val="0"/>
            </a:spcBef>
            <a:spcAft>
              <a:spcPct val="35000"/>
            </a:spcAft>
          </a:pPr>
          <a:endParaRPr lang="en-CA" sz="200" kern="1200">
            <a:latin typeface="+mj-lt"/>
          </a:endParaRPr>
        </a:p>
        <a:p>
          <a:pPr lvl="0" algn="l" defTabSz="466725">
            <a:lnSpc>
              <a:spcPct val="90000"/>
            </a:lnSpc>
            <a:spcBef>
              <a:spcPct val="0"/>
            </a:spcBef>
            <a:spcAft>
              <a:spcPct val="35000"/>
            </a:spcAft>
          </a:pPr>
          <a:r>
            <a:rPr lang="en-CA" sz="900" b="1" kern="1200">
              <a:latin typeface="+mj-lt"/>
            </a:rPr>
            <a:t>UTILISATION DES FONDS</a:t>
          </a:r>
          <a:endParaRPr lang="en-CA" sz="900" kern="1200">
            <a:latin typeface="+mj-lt"/>
          </a:endParaRPr>
        </a:p>
        <a:p>
          <a:pPr lvl="0" algn="l" defTabSz="466725">
            <a:lnSpc>
              <a:spcPct val="90000"/>
            </a:lnSpc>
            <a:spcBef>
              <a:spcPct val="0"/>
            </a:spcBef>
            <a:spcAft>
              <a:spcPct val="35000"/>
            </a:spcAft>
          </a:pPr>
          <a:r>
            <a:rPr lang="en-CA" sz="800" kern="1200">
              <a:latin typeface="+mj-lt"/>
            </a:rPr>
            <a:t>  - Calcul des budgets de fonctionnement de base</a:t>
          </a:r>
        </a:p>
        <a:p>
          <a:pPr lvl="0" algn="l" defTabSz="466725">
            <a:lnSpc>
              <a:spcPct val="90000"/>
            </a:lnSpc>
            <a:spcBef>
              <a:spcPct val="0"/>
            </a:spcBef>
            <a:spcAft>
              <a:spcPct val="35000"/>
            </a:spcAft>
          </a:pPr>
          <a:r>
            <a:rPr lang="en-CA" sz="800" kern="1200">
              <a:latin typeface="+mj-lt"/>
            </a:rPr>
            <a:t>  - Profil de financement des Subventions et</a:t>
          </a:r>
        </a:p>
        <a:p>
          <a:pPr lvl="0" algn="l" defTabSz="466725">
            <a:lnSpc>
              <a:spcPct val="90000"/>
            </a:lnSpc>
            <a:spcBef>
              <a:spcPct val="0"/>
            </a:spcBef>
            <a:spcAft>
              <a:spcPct val="35000"/>
            </a:spcAft>
          </a:pPr>
          <a:r>
            <a:rPr lang="en-CA" sz="800" kern="1200">
              <a:latin typeface="+mj-lt"/>
            </a:rPr>
            <a:t>    Contributions</a:t>
          </a:r>
        </a:p>
        <a:p>
          <a:pPr lvl="0" algn="l" defTabSz="466725">
            <a:lnSpc>
              <a:spcPct val="90000"/>
            </a:lnSpc>
            <a:spcBef>
              <a:spcPct val="0"/>
            </a:spcBef>
            <a:spcAft>
              <a:spcPct val="35000"/>
            </a:spcAft>
          </a:pPr>
          <a:r>
            <a:rPr lang="en-CA" sz="800" kern="1200">
              <a:latin typeface="+mj-lt"/>
            </a:rPr>
            <a:t>  - Dépenses législatives</a:t>
          </a:r>
        </a:p>
        <a:p>
          <a:pPr lvl="0" algn="l" defTabSz="466725">
            <a:lnSpc>
              <a:spcPct val="90000"/>
            </a:lnSpc>
            <a:spcBef>
              <a:spcPct val="0"/>
            </a:spcBef>
            <a:spcAft>
              <a:spcPct val="35000"/>
            </a:spcAft>
          </a:pPr>
          <a:endParaRPr lang="en-CA" sz="200" kern="1200">
            <a:latin typeface="+mj-lt"/>
          </a:endParaRPr>
        </a:p>
        <a:p>
          <a:pPr lvl="0" algn="l" defTabSz="466725">
            <a:lnSpc>
              <a:spcPct val="90000"/>
            </a:lnSpc>
            <a:spcBef>
              <a:spcPct val="0"/>
            </a:spcBef>
            <a:spcAft>
              <a:spcPct val="35000"/>
            </a:spcAft>
          </a:pPr>
          <a:r>
            <a:rPr lang="en-CA" sz="900" b="1" kern="1200">
              <a:latin typeface="+mj-lt"/>
            </a:rPr>
            <a:t>ÉTABLISSEMENT DES COÛTS</a:t>
          </a:r>
        </a:p>
        <a:p>
          <a:pPr lvl="0" algn="l" defTabSz="466725">
            <a:lnSpc>
              <a:spcPct val="90000"/>
            </a:lnSpc>
            <a:spcBef>
              <a:spcPct val="0"/>
            </a:spcBef>
            <a:spcAft>
              <a:spcPct val="35000"/>
            </a:spcAft>
          </a:pPr>
          <a:r>
            <a:rPr lang="en-CA" sz="800" kern="1200">
              <a:latin typeface="+mj-lt"/>
            </a:rPr>
            <a:t>  - Politique d'établissement des coûts  d'EDSC </a:t>
          </a:r>
        </a:p>
        <a:p>
          <a:pPr lvl="0" algn="l" defTabSz="466725">
            <a:lnSpc>
              <a:spcPct val="90000"/>
            </a:lnSpc>
            <a:spcBef>
              <a:spcPct val="0"/>
            </a:spcBef>
            <a:spcAft>
              <a:spcPct val="35000"/>
            </a:spcAft>
          </a:pPr>
          <a:r>
            <a:rPr lang="en-CA" sz="800" kern="1200">
              <a:latin typeface="+mj-lt"/>
            </a:rPr>
            <a:t>  - Modèle d'établissement des coûts des</a:t>
          </a:r>
        </a:p>
        <a:p>
          <a:pPr lvl="0" algn="l" defTabSz="466725">
            <a:lnSpc>
              <a:spcPct val="90000"/>
            </a:lnSpc>
            <a:spcBef>
              <a:spcPct val="0"/>
            </a:spcBef>
            <a:spcAft>
              <a:spcPct val="35000"/>
            </a:spcAft>
          </a:pPr>
          <a:r>
            <a:rPr lang="en-CA" sz="800" kern="1200">
              <a:latin typeface="+mj-lt"/>
            </a:rPr>
            <a:t>    présentations  au CT</a:t>
          </a:r>
          <a:endParaRPr lang="en-CA" sz="800" b="1" kern="1200">
            <a:latin typeface="+mj-lt"/>
          </a:endParaRPr>
        </a:p>
      </dsp:txBody>
      <dsp:txXfrm>
        <a:off x="4926654" y="2201062"/>
        <a:ext cx="1985567" cy="2927632"/>
      </dsp:txXfrm>
    </dsp:sp>
    <dsp:sp modelId="{FE127874-3470-4BE6-8323-40B932413E5E}">
      <dsp:nvSpPr>
        <dsp:cNvPr id="0" name=""/>
        <dsp:cNvSpPr/>
      </dsp:nvSpPr>
      <dsp:spPr>
        <a:xfrm>
          <a:off x="824147" y="1935744"/>
          <a:ext cx="4762342" cy="4762342"/>
        </a:xfrm>
        <a:custGeom>
          <a:avLst/>
          <a:gdLst/>
          <a:ahLst/>
          <a:cxnLst/>
          <a:rect l="0" t="0" r="0" b="0"/>
          <a:pathLst>
            <a:path>
              <a:moveTo>
                <a:pt x="4494809" y="3477763"/>
              </a:moveTo>
              <a:arcTo wR="2381171" hR="2381171" stAng="1645264" swAng="858614"/>
            </a:path>
          </a:pathLst>
        </a:custGeom>
        <a:noFill/>
        <a:ln w="9525" cap="flat" cmpd="sng" algn="ctr">
          <a:solidFill>
            <a:schemeClr val="accent3">
              <a:hueOff val="0"/>
              <a:satOff val="0"/>
              <a:lumOff val="0"/>
              <a:alphaOff val="0"/>
            </a:schemeClr>
          </a:solidFill>
          <a:prstDash val="solid"/>
          <a:tailEnd type="arrow"/>
        </a:ln>
        <a:effectLst/>
        <a:scene3d>
          <a:camera prst="orthographicFront"/>
          <a:lightRig rig="flat" dir="t"/>
        </a:scene3d>
        <a:sp3d z="-40000" prstMaterial="matte"/>
      </dsp:spPr>
      <dsp:style>
        <a:lnRef idx="1">
          <a:scrgbClr r="0" g="0" b="0"/>
        </a:lnRef>
        <a:fillRef idx="0">
          <a:scrgbClr r="0" g="0" b="0"/>
        </a:fillRef>
        <a:effectRef idx="0">
          <a:scrgbClr r="0" g="0" b="0"/>
        </a:effectRef>
        <a:fontRef idx="minor"/>
      </dsp:style>
    </dsp:sp>
    <dsp:sp modelId="{669B4FC2-80E1-4F28-8AE4-DCF62A6B7561}">
      <dsp:nvSpPr>
        <dsp:cNvPr id="0" name=""/>
        <dsp:cNvSpPr/>
      </dsp:nvSpPr>
      <dsp:spPr>
        <a:xfrm>
          <a:off x="1103170" y="4534752"/>
          <a:ext cx="3742898" cy="3587777"/>
        </a:xfrm>
        <a:prstGeom prst="roundRect">
          <a:avLst/>
        </a:prstGeom>
        <a:gradFill rotWithShape="0">
          <a:gsLst>
            <a:gs pos="100000">
              <a:srgbClr val="755AAC"/>
            </a:gs>
            <a:gs pos="100000">
              <a:srgbClr val="7030A0"/>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CA" sz="1100" b="1" kern="1200">
              <a:latin typeface="+mj-lt"/>
            </a:rPr>
            <a:t>3- GESTION DES RESSOURCES</a:t>
          </a:r>
        </a:p>
        <a:p>
          <a:pPr lvl="0" algn="ctr" defTabSz="488950">
            <a:lnSpc>
              <a:spcPct val="90000"/>
            </a:lnSpc>
            <a:spcBef>
              <a:spcPct val="0"/>
            </a:spcBef>
            <a:spcAft>
              <a:spcPct val="35000"/>
            </a:spcAft>
          </a:pPr>
          <a:endParaRPr lang="en-CA" sz="200" b="1" kern="1200">
            <a:latin typeface="+mj-lt"/>
          </a:endParaRPr>
        </a:p>
        <a:p>
          <a:pPr lvl="0" algn="l" defTabSz="488950">
            <a:lnSpc>
              <a:spcPct val="90000"/>
            </a:lnSpc>
            <a:spcBef>
              <a:spcPct val="0"/>
            </a:spcBef>
            <a:spcAft>
              <a:spcPct val="35000"/>
            </a:spcAft>
          </a:pPr>
          <a:r>
            <a:rPr lang="en-CA" sz="900" b="1" kern="1200">
              <a:latin typeface="+mj-lt"/>
            </a:rPr>
            <a:t>   POLITIQUE FINANCIÈRE</a:t>
          </a:r>
        </a:p>
        <a:p>
          <a:pPr lvl="0" algn="l" defTabSz="488950">
            <a:lnSpc>
              <a:spcPct val="90000"/>
            </a:lnSpc>
            <a:spcBef>
              <a:spcPct val="0"/>
            </a:spcBef>
            <a:spcAft>
              <a:spcPct val="35000"/>
            </a:spcAft>
          </a:pPr>
          <a:r>
            <a:rPr lang="en-CA" sz="800" kern="1200">
              <a:latin typeface="+mj-lt"/>
            </a:rPr>
            <a:t>  - Ensemble renouvelé des politiques de gestion financière</a:t>
          </a:r>
        </a:p>
        <a:p>
          <a:pPr lvl="0" algn="l" defTabSz="488950">
            <a:lnSpc>
              <a:spcPct val="90000"/>
            </a:lnSpc>
            <a:spcBef>
              <a:spcPct val="0"/>
            </a:spcBef>
            <a:spcAft>
              <a:spcPct val="35000"/>
            </a:spcAft>
          </a:pPr>
          <a:endParaRPr lang="en-CA" sz="200" kern="1200">
            <a:latin typeface="+mj-lt"/>
          </a:endParaRPr>
        </a:p>
        <a:p>
          <a:pPr lvl="0" algn="l" defTabSz="488950">
            <a:lnSpc>
              <a:spcPct val="90000"/>
            </a:lnSpc>
            <a:spcBef>
              <a:spcPct val="0"/>
            </a:spcBef>
            <a:spcAft>
              <a:spcPct val="35000"/>
            </a:spcAft>
          </a:pPr>
          <a:r>
            <a:rPr lang="en-CA" sz="900" b="1" kern="1200">
              <a:latin typeface="+mj-lt"/>
            </a:rPr>
            <a:t>   CONTRÔLE INTERNE</a:t>
          </a:r>
          <a:endParaRPr lang="en-CA" sz="900" kern="1200">
            <a:latin typeface="+mj-lt"/>
          </a:endParaRPr>
        </a:p>
        <a:p>
          <a:pPr lvl="0" algn="l" defTabSz="488950">
            <a:lnSpc>
              <a:spcPct val="90000"/>
            </a:lnSpc>
            <a:spcBef>
              <a:spcPct val="0"/>
            </a:spcBef>
            <a:spcAft>
              <a:spcPct val="35000"/>
            </a:spcAft>
          </a:pPr>
          <a:r>
            <a:rPr lang="en-CA" sz="800" kern="1200">
              <a:latin typeface="+mj-lt"/>
            </a:rPr>
            <a:t>  - Délégation des pouvoirs</a:t>
          </a:r>
        </a:p>
        <a:p>
          <a:pPr lvl="0" algn="l" defTabSz="488950">
            <a:lnSpc>
              <a:spcPct val="90000"/>
            </a:lnSpc>
            <a:spcBef>
              <a:spcPct val="0"/>
            </a:spcBef>
            <a:spcAft>
              <a:spcPct val="35000"/>
            </a:spcAft>
          </a:pPr>
          <a:endParaRPr lang="en-CA" sz="200" kern="1200">
            <a:latin typeface="+mj-lt"/>
          </a:endParaRPr>
        </a:p>
        <a:p>
          <a:pPr lvl="0" algn="l" defTabSz="488950">
            <a:lnSpc>
              <a:spcPct val="90000"/>
            </a:lnSpc>
            <a:spcBef>
              <a:spcPct val="0"/>
            </a:spcBef>
            <a:spcAft>
              <a:spcPct val="35000"/>
            </a:spcAft>
          </a:pPr>
          <a:r>
            <a:rPr lang="en-CA" sz="900" b="1" kern="1200">
              <a:latin typeface="+mj-lt"/>
            </a:rPr>
            <a:t>   CONTRÔLE BUDGÉTAIRE</a:t>
          </a:r>
          <a:endParaRPr lang="en-CA" sz="900" kern="1200">
            <a:latin typeface="+mj-lt"/>
          </a:endParaRPr>
        </a:p>
        <a:p>
          <a:pPr lvl="0" algn="l" defTabSz="488950">
            <a:lnSpc>
              <a:spcPct val="90000"/>
            </a:lnSpc>
            <a:spcBef>
              <a:spcPct val="0"/>
            </a:spcBef>
            <a:spcAft>
              <a:spcPct val="35000"/>
            </a:spcAft>
          </a:pPr>
          <a:r>
            <a:rPr lang="en-CA" sz="800" kern="1200">
              <a:latin typeface="+mj-lt"/>
            </a:rPr>
            <a:t>  - Contrôle des affectations du SCT</a:t>
          </a:r>
        </a:p>
        <a:p>
          <a:pPr lvl="0" algn="l" defTabSz="488950">
            <a:lnSpc>
              <a:spcPct val="90000"/>
            </a:lnSpc>
            <a:spcBef>
              <a:spcPct val="0"/>
            </a:spcBef>
            <a:spcAft>
              <a:spcPct val="35000"/>
            </a:spcAft>
          </a:pPr>
          <a:r>
            <a:rPr lang="en-CA" sz="800" kern="1200">
              <a:latin typeface="+mj-lt"/>
            </a:rPr>
            <a:t>  - Contrôle de caisse</a:t>
          </a:r>
        </a:p>
        <a:p>
          <a:pPr lvl="0" algn="l" defTabSz="488950">
            <a:lnSpc>
              <a:spcPct val="90000"/>
            </a:lnSpc>
            <a:spcBef>
              <a:spcPct val="0"/>
            </a:spcBef>
            <a:spcAft>
              <a:spcPct val="35000"/>
            </a:spcAft>
          </a:pPr>
          <a:r>
            <a:rPr lang="en-CA" sz="800" kern="1200">
              <a:latin typeface="+mj-lt"/>
            </a:rPr>
            <a:t>  - Contrôle des engagements </a:t>
          </a:r>
        </a:p>
        <a:p>
          <a:pPr lvl="0" algn="l" defTabSz="488950">
            <a:lnSpc>
              <a:spcPct val="90000"/>
            </a:lnSpc>
            <a:spcBef>
              <a:spcPct val="0"/>
            </a:spcBef>
            <a:spcAft>
              <a:spcPct val="35000"/>
            </a:spcAft>
          </a:pPr>
          <a:r>
            <a:rPr lang="en-CA" sz="800" kern="1200">
              <a:latin typeface="+mj-lt"/>
            </a:rPr>
            <a:t>  - Calcul des budgets de base et grand livre des subventions et </a:t>
          </a:r>
        </a:p>
        <a:p>
          <a:pPr lvl="0" algn="l" defTabSz="488950">
            <a:lnSpc>
              <a:spcPct val="90000"/>
            </a:lnSpc>
            <a:spcBef>
              <a:spcPct val="0"/>
            </a:spcBef>
            <a:spcAft>
              <a:spcPct val="35000"/>
            </a:spcAft>
          </a:pPr>
          <a:r>
            <a:rPr lang="en-CA" sz="800" kern="1200">
              <a:latin typeface="+mj-lt"/>
            </a:rPr>
            <a:t>    contributions</a:t>
          </a:r>
        </a:p>
        <a:p>
          <a:pPr lvl="0" algn="l" defTabSz="488950">
            <a:lnSpc>
              <a:spcPct val="90000"/>
            </a:lnSpc>
            <a:spcBef>
              <a:spcPct val="0"/>
            </a:spcBef>
            <a:spcAft>
              <a:spcPct val="35000"/>
            </a:spcAft>
          </a:pPr>
          <a:r>
            <a:rPr lang="en-CA" sz="800" kern="1200">
              <a:latin typeface="+mj-lt"/>
            </a:rPr>
            <a:t>  - Ajustements budgétaires</a:t>
          </a:r>
        </a:p>
        <a:p>
          <a:pPr lvl="0" algn="l" defTabSz="488950">
            <a:lnSpc>
              <a:spcPct val="90000"/>
            </a:lnSpc>
            <a:spcBef>
              <a:spcPct val="0"/>
            </a:spcBef>
            <a:spcAft>
              <a:spcPct val="35000"/>
            </a:spcAft>
          </a:pPr>
          <a:r>
            <a:rPr lang="en-CA" sz="800" kern="1200">
              <a:latin typeface="+mj-lt"/>
            </a:rPr>
            <a:t>  - Politique  budgétaire</a:t>
          </a:r>
        </a:p>
        <a:p>
          <a:pPr lvl="0" algn="l" defTabSz="488950">
            <a:lnSpc>
              <a:spcPct val="90000"/>
            </a:lnSpc>
            <a:spcBef>
              <a:spcPct val="0"/>
            </a:spcBef>
            <a:spcAft>
              <a:spcPct val="35000"/>
            </a:spcAft>
          </a:pPr>
          <a:endParaRPr lang="en-CA" sz="200" kern="1200">
            <a:latin typeface="+mj-lt"/>
          </a:endParaRPr>
        </a:p>
        <a:p>
          <a:pPr lvl="0" algn="l" defTabSz="488950">
            <a:lnSpc>
              <a:spcPct val="90000"/>
            </a:lnSpc>
            <a:spcBef>
              <a:spcPct val="0"/>
            </a:spcBef>
            <a:spcAft>
              <a:spcPct val="35000"/>
            </a:spcAft>
          </a:pPr>
          <a:r>
            <a:rPr lang="en-CA" sz="900" b="1" kern="1200">
              <a:latin typeface="+mj-lt"/>
            </a:rPr>
            <a:t>   RAPPORT SUR LA GESTION INTERNE</a:t>
          </a:r>
          <a:endParaRPr lang="en-CA" sz="900" kern="1200">
            <a:latin typeface="+mj-lt"/>
          </a:endParaRPr>
        </a:p>
        <a:p>
          <a:pPr lvl="0" algn="l" defTabSz="488950">
            <a:lnSpc>
              <a:spcPct val="90000"/>
            </a:lnSpc>
            <a:spcBef>
              <a:spcPct val="0"/>
            </a:spcBef>
            <a:spcAft>
              <a:spcPct val="35000"/>
            </a:spcAft>
          </a:pPr>
          <a:r>
            <a:rPr lang="en-CA" sz="800" kern="1200">
              <a:latin typeface="+mj-lt"/>
            </a:rPr>
            <a:t>  - Lignes directrices en matière de prévisions </a:t>
          </a:r>
        </a:p>
        <a:p>
          <a:pPr lvl="0" algn="l" defTabSz="488950">
            <a:lnSpc>
              <a:spcPct val="90000"/>
            </a:lnSpc>
            <a:spcBef>
              <a:spcPct val="0"/>
            </a:spcBef>
            <a:spcAft>
              <a:spcPct val="35000"/>
            </a:spcAft>
          </a:pPr>
          <a:r>
            <a:rPr lang="en-CA" sz="800" kern="1200">
              <a:latin typeface="+mj-lt"/>
            </a:rPr>
            <a:t>  - Exactitude des prévisions via les périodes de prévision</a:t>
          </a:r>
        </a:p>
        <a:p>
          <a:pPr lvl="0" algn="l" defTabSz="488950">
            <a:lnSpc>
              <a:spcPct val="90000"/>
            </a:lnSpc>
            <a:spcBef>
              <a:spcPct val="0"/>
            </a:spcBef>
            <a:spcAft>
              <a:spcPct val="35000"/>
            </a:spcAft>
          </a:pPr>
          <a:r>
            <a:rPr lang="en-CA" sz="800" kern="1200">
              <a:latin typeface="+mj-lt"/>
            </a:rPr>
            <a:t>    Ministérielles (P3, P6, P8 et P10)</a:t>
          </a:r>
        </a:p>
        <a:p>
          <a:pPr lvl="0" algn="l" defTabSz="488950">
            <a:lnSpc>
              <a:spcPct val="90000"/>
            </a:lnSpc>
            <a:spcBef>
              <a:spcPct val="0"/>
            </a:spcBef>
            <a:spcAft>
              <a:spcPct val="35000"/>
            </a:spcAft>
          </a:pPr>
          <a:r>
            <a:rPr lang="en-CA" sz="800" kern="1200">
              <a:latin typeface="+mj-lt"/>
            </a:rPr>
            <a:t>  - Rapport financier ministériel (RFM)</a:t>
          </a:r>
        </a:p>
        <a:p>
          <a:pPr lvl="0" algn="l" defTabSz="488950">
            <a:lnSpc>
              <a:spcPct val="90000"/>
            </a:lnSpc>
            <a:spcBef>
              <a:spcPct val="0"/>
            </a:spcBef>
            <a:spcAft>
              <a:spcPct val="35000"/>
            </a:spcAft>
          </a:pPr>
          <a:endParaRPr lang="en-CA" sz="200" kern="1200">
            <a:latin typeface="+mj-lt"/>
          </a:endParaRPr>
        </a:p>
        <a:p>
          <a:pPr lvl="0" algn="l" defTabSz="488950">
            <a:lnSpc>
              <a:spcPct val="90000"/>
            </a:lnSpc>
            <a:spcBef>
              <a:spcPct val="0"/>
            </a:spcBef>
            <a:spcAft>
              <a:spcPct val="35000"/>
            </a:spcAft>
          </a:pPr>
          <a:r>
            <a:rPr lang="en-CA" sz="900" b="1" kern="1200">
              <a:latin typeface="+mj-lt"/>
            </a:rPr>
            <a:t>     AUTRES PRINCIPES DE GESTION DES RESSOURCES</a:t>
          </a:r>
          <a:endParaRPr lang="en-CA" sz="800" b="1" kern="1200">
            <a:latin typeface="+mj-lt"/>
          </a:endParaRPr>
        </a:p>
      </dsp:txBody>
      <dsp:txXfrm>
        <a:off x="1278311" y="4709893"/>
        <a:ext cx="3392616" cy="3237495"/>
      </dsp:txXfrm>
    </dsp:sp>
    <dsp:sp modelId="{0E8128D0-3AFE-43F3-81FF-756FEC36A91A}">
      <dsp:nvSpPr>
        <dsp:cNvPr id="0" name=""/>
        <dsp:cNvSpPr/>
      </dsp:nvSpPr>
      <dsp:spPr>
        <a:xfrm>
          <a:off x="771014" y="3598213"/>
          <a:ext cx="4762342" cy="4762342"/>
        </a:xfrm>
        <a:custGeom>
          <a:avLst/>
          <a:gdLst/>
          <a:ahLst/>
          <a:cxnLst/>
          <a:rect l="0" t="0" r="0" b="0"/>
          <a:pathLst>
            <a:path>
              <a:moveTo>
                <a:pt x="367992" y="1109523"/>
              </a:moveTo>
              <a:arcTo wR="2381171" hR="2381171" stAng="12736742" swAng="297899"/>
            </a:path>
          </a:pathLst>
        </a:custGeom>
        <a:noFill/>
        <a:ln w="9525" cap="flat" cmpd="sng" algn="ctr">
          <a:solidFill>
            <a:schemeClr val="accent4">
              <a:hueOff val="0"/>
              <a:satOff val="0"/>
              <a:lumOff val="0"/>
              <a:alphaOff val="0"/>
            </a:schemeClr>
          </a:solidFill>
          <a:prstDash val="solid"/>
          <a:tailEnd type="arrow"/>
        </a:ln>
        <a:effectLst/>
        <a:scene3d>
          <a:camera prst="orthographicFront"/>
          <a:lightRig rig="flat" dir="t"/>
        </a:scene3d>
        <a:sp3d z="-40000" prstMaterial="matte"/>
      </dsp:spPr>
      <dsp:style>
        <a:lnRef idx="1">
          <a:scrgbClr r="0" g="0" b="0"/>
        </a:lnRef>
        <a:fillRef idx="0">
          <a:scrgbClr r="0" g="0" b="0"/>
        </a:fillRef>
        <a:effectRef idx="0">
          <a:scrgbClr r="0" g="0" b="0"/>
        </a:effectRef>
        <a:fontRef idx="minor"/>
      </dsp:style>
    </dsp:sp>
    <dsp:sp modelId="{C363DEC1-F235-4B4A-8929-9A5079979840}">
      <dsp:nvSpPr>
        <dsp:cNvPr id="0" name=""/>
        <dsp:cNvSpPr/>
      </dsp:nvSpPr>
      <dsp:spPr>
        <a:xfrm>
          <a:off x="-3868" y="2561735"/>
          <a:ext cx="2394185" cy="1922471"/>
        </a:xfrm>
        <a:prstGeom prst="roundRect">
          <a:avLst/>
        </a:prstGeom>
        <a:gradFill rotWithShape="0">
          <a:gsLst>
            <a:gs pos="100000">
              <a:schemeClr val="accent5">
                <a:hueOff val="0"/>
                <a:satOff val="0"/>
                <a:lumOff val="0"/>
                <a:alphaOff val="0"/>
                <a:tint val="100000"/>
                <a:shade val="100000"/>
                <a:satMod val="130000"/>
              </a:schemeClr>
            </a:gs>
            <a:gs pos="100000">
              <a:schemeClr val="accent5">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CA" sz="1100" b="1" kern="1200">
              <a:latin typeface="+mj-lt"/>
            </a:rPr>
            <a:t>4- RAPPORT ET SUIVI</a:t>
          </a:r>
        </a:p>
        <a:p>
          <a:pPr lvl="0" algn="l" defTabSz="488950">
            <a:lnSpc>
              <a:spcPct val="90000"/>
            </a:lnSpc>
            <a:spcBef>
              <a:spcPct val="0"/>
            </a:spcBef>
            <a:spcAft>
              <a:spcPct val="35000"/>
            </a:spcAft>
          </a:pPr>
          <a:endParaRPr lang="en-CA" sz="200" b="1" kern="1200">
            <a:latin typeface="+mj-lt"/>
          </a:endParaRPr>
        </a:p>
        <a:p>
          <a:pPr lvl="0" algn="l" defTabSz="488950">
            <a:lnSpc>
              <a:spcPct val="90000"/>
            </a:lnSpc>
            <a:spcBef>
              <a:spcPct val="0"/>
            </a:spcBef>
            <a:spcAft>
              <a:spcPct val="35000"/>
            </a:spcAft>
          </a:pPr>
          <a:r>
            <a:rPr lang="en-CA" sz="900" b="1" kern="1200">
              <a:latin typeface="+mj-lt"/>
            </a:rPr>
            <a:t>RENDEMENT EXTERNE (partie du SGD)</a:t>
          </a:r>
        </a:p>
        <a:p>
          <a:pPr lvl="0" algn="l" defTabSz="488950">
            <a:lnSpc>
              <a:spcPct val="90000"/>
            </a:lnSpc>
            <a:spcBef>
              <a:spcPct val="0"/>
            </a:spcBef>
            <a:spcAft>
              <a:spcPct val="35000"/>
            </a:spcAft>
          </a:pPr>
          <a:r>
            <a:rPr lang="en-CA" sz="800" kern="1200">
              <a:latin typeface="+mj-lt"/>
            </a:rPr>
            <a:t>  - Cadre de responsabilisation de gestion (CRG)</a:t>
          </a:r>
        </a:p>
        <a:p>
          <a:pPr lvl="0" algn="l" defTabSz="488950">
            <a:lnSpc>
              <a:spcPct val="90000"/>
            </a:lnSpc>
            <a:spcBef>
              <a:spcPct val="0"/>
            </a:spcBef>
            <a:spcAft>
              <a:spcPct val="35000"/>
            </a:spcAft>
          </a:pPr>
          <a:r>
            <a:rPr lang="en-CA" sz="800" kern="1200">
              <a:latin typeface="+mj-lt"/>
            </a:rPr>
            <a:t>  - Rapport financier  trimestriel du </a:t>
          </a:r>
          <a:r>
            <a:rPr lang="fr-CA" sz="800" kern="1200">
              <a:latin typeface="+mj-lt"/>
            </a:rPr>
            <a:t>ministère</a:t>
          </a:r>
          <a:endParaRPr lang="en-CA" sz="800" kern="1200">
            <a:latin typeface="+mj-lt"/>
          </a:endParaRPr>
        </a:p>
        <a:p>
          <a:pPr lvl="0" algn="l" defTabSz="488950">
            <a:lnSpc>
              <a:spcPct val="90000"/>
            </a:lnSpc>
            <a:spcBef>
              <a:spcPct val="0"/>
            </a:spcBef>
            <a:spcAft>
              <a:spcPct val="35000"/>
            </a:spcAft>
          </a:pPr>
          <a:r>
            <a:rPr lang="en-CA" sz="800" kern="1200">
              <a:latin typeface="+mj-lt"/>
            </a:rPr>
            <a:t>  - Comptes publics du Canada</a:t>
          </a:r>
        </a:p>
        <a:p>
          <a:pPr lvl="0" algn="l" defTabSz="488950">
            <a:lnSpc>
              <a:spcPct val="90000"/>
            </a:lnSpc>
            <a:spcBef>
              <a:spcPct val="0"/>
            </a:spcBef>
            <a:spcAft>
              <a:spcPct val="35000"/>
            </a:spcAft>
          </a:pPr>
          <a:r>
            <a:rPr lang="en-CA" sz="800" kern="1200">
              <a:latin typeface="+mj-lt"/>
            </a:rPr>
            <a:t>  - États financiers  ministériels </a:t>
          </a:r>
        </a:p>
        <a:p>
          <a:pPr lvl="0" algn="l" defTabSz="488950">
            <a:lnSpc>
              <a:spcPct val="90000"/>
            </a:lnSpc>
            <a:spcBef>
              <a:spcPct val="0"/>
            </a:spcBef>
            <a:spcAft>
              <a:spcPct val="35000"/>
            </a:spcAft>
          </a:pPr>
          <a:r>
            <a:rPr lang="en-CA" sz="800" kern="1200">
              <a:latin typeface="+mj-lt"/>
            </a:rPr>
            <a:t>  - Rapport sur les résultats ministérielles (RRM)</a:t>
          </a:r>
        </a:p>
        <a:p>
          <a:pPr lvl="0" algn="l" defTabSz="488950">
            <a:lnSpc>
              <a:spcPct val="90000"/>
            </a:lnSpc>
            <a:spcBef>
              <a:spcPct val="0"/>
            </a:spcBef>
            <a:spcAft>
              <a:spcPct val="35000"/>
            </a:spcAft>
          </a:pPr>
          <a:r>
            <a:rPr lang="en-CA" sz="800" kern="1200">
              <a:latin typeface="+mj-lt"/>
            </a:rPr>
            <a:t>  - Examen de l'alignement des ressources</a:t>
          </a:r>
        </a:p>
        <a:p>
          <a:pPr lvl="0" algn="l" defTabSz="488950">
            <a:lnSpc>
              <a:spcPct val="90000"/>
            </a:lnSpc>
            <a:spcBef>
              <a:spcPct val="0"/>
            </a:spcBef>
            <a:spcAft>
              <a:spcPct val="35000"/>
            </a:spcAft>
          </a:pPr>
          <a:r>
            <a:rPr lang="en-CA" sz="800" kern="1200">
              <a:latin typeface="+mj-lt"/>
            </a:rPr>
            <a:t>  - Examens stratégiques</a:t>
          </a:r>
          <a:endParaRPr lang="en-CA" sz="800" b="1" kern="1200">
            <a:latin typeface="+mj-lt"/>
          </a:endParaRPr>
        </a:p>
      </dsp:txBody>
      <dsp:txXfrm>
        <a:off x="89979" y="2655582"/>
        <a:ext cx="2206491" cy="1734777"/>
      </dsp:txXfrm>
    </dsp:sp>
    <dsp:sp modelId="{AB5B82F6-2FF0-4DB0-857A-FB1215DEB185}">
      <dsp:nvSpPr>
        <dsp:cNvPr id="0" name=""/>
        <dsp:cNvSpPr/>
      </dsp:nvSpPr>
      <dsp:spPr>
        <a:xfrm>
          <a:off x="1596529" y="1675295"/>
          <a:ext cx="4762342" cy="4762342"/>
        </a:xfrm>
        <a:custGeom>
          <a:avLst/>
          <a:gdLst/>
          <a:ahLst/>
          <a:cxnLst/>
          <a:rect l="0" t="0" r="0" b="0"/>
          <a:pathLst>
            <a:path>
              <a:moveTo>
                <a:pt x="582971" y="820256"/>
              </a:moveTo>
              <a:arcTo wR="2381171" hR="2381171" stAng="13257564" swAng="374644"/>
            </a:path>
          </a:pathLst>
        </a:custGeom>
        <a:noFill/>
        <a:ln w="9525" cap="flat" cmpd="sng" algn="ctr">
          <a:solidFill>
            <a:schemeClr val="accent5">
              <a:hueOff val="0"/>
              <a:satOff val="0"/>
              <a:lumOff val="0"/>
              <a:alphaOff val="0"/>
            </a:schemeClr>
          </a:solidFill>
          <a:prstDash val="solid"/>
          <a:tailEnd type="arrow"/>
        </a:ln>
        <a:effectLst/>
        <a:scene3d>
          <a:camera prst="orthographicFront"/>
          <a:lightRig rig="flat" dir="t"/>
        </a:scene3d>
        <a:sp3d z="-40000" prstMaterial="matte"/>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CE88E-74FC-4E24-82EB-725E9F335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18870</Words>
  <Characters>107563</Characters>
  <Application>Microsoft Office Word</Application>
  <DocSecurity>0</DocSecurity>
  <Lines>896</Lines>
  <Paragraphs>252</Paragraphs>
  <ScaleCrop>false</ScaleCrop>
  <HeadingPairs>
    <vt:vector size="2" baseType="variant">
      <vt:variant>
        <vt:lpstr>Title</vt:lpstr>
      </vt:variant>
      <vt:variant>
        <vt:i4>1</vt:i4>
      </vt:variant>
    </vt:vector>
  </HeadingPairs>
  <TitlesOfParts>
    <vt:vector size="1" baseType="lpstr">
      <vt:lpstr/>
    </vt:vector>
  </TitlesOfParts>
  <Company>ESDC</Company>
  <LinksUpToDate>false</LinksUpToDate>
  <CharactersWithSpaces>126181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Perrier, Mélanie [NC]</dc:creator>
  <cp:lastModifiedBy>O Brien, Jeff J [NC]</cp:lastModifiedBy>
  <cp:revision>2</cp:revision>
  <cp:lastPrinted>2016-04-20T20:09:00Z</cp:lastPrinted>
  <dcterms:created xsi:type="dcterms:W3CDTF">2017-07-21T11:27:00Z</dcterms:created>
  <dcterms:modified xsi:type="dcterms:W3CDTF">2017-07-21T11:27:00Z</dcterms:modified>
</cp:coreProperties>
</file>