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4" w:rsidRPr="00AD177D" w:rsidRDefault="00DE01B6" w:rsidP="005D65F2">
      <w:pPr>
        <w:pStyle w:val="Title"/>
        <w:rPr>
          <w:lang w:val="fr-CA"/>
        </w:rPr>
      </w:pPr>
      <w:r w:rsidRPr="00DE01B6">
        <w:rPr>
          <w:sz w:val="48"/>
          <w:szCs w:val="48"/>
          <w:lang w:val="fr-CA"/>
        </w:rPr>
        <w:t>C</w:t>
      </w:r>
      <w:r w:rsidR="0098747F" w:rsidRPr="00DE01B6">
        <w:rPr>
          <w:sz w:val="48"/>
          <w:szCs w:val="48"/>
          <w:lang w:val="fr-CA"/>
        </w:rPr>
        <w:t>arte d’achat –</w:t>
      </w:r>
      <w:r w:rsidR="0098747F">
        <w:rPr>
          <w:lang w:val="fr-CA"/>
        </w:rPr>
        <w:t xml:space="preserve"> </w:t>
      </w:r>
      <w:r w:rsidR="00DD63FA" w:rsidRPr="00DE01B6">
        <w:rPr>
          <w:sz w:val="46"/>
          <w:szCs w:val="46"/>
          <w:lang w:val="fr-CA"/>
        </w:rPr>
        <w:t>Aide-m</w:t>
      </w:r>
      <w:r w:rsidR="0098747F" w:rsidRPr="00DE01B6">
        <w:rPr>
          <w:sz w:val="46"/>
          <w:szCs w:val="46"/>
          <w:lang w:val="fr-CA"/>
        </w:rPr>
        <w:t>émoire du gestionnaire</w:t>
      </w:r>
    </w:p>
    <w:p w:rsidR="005D65F2" w:rsidRPr="006D1CC8" w:rsidRDefault="0098747F" w:rsidP="00797E0B">
      <w:pPr>
        <w:pStyle w:val="Heading1"/>
        <w:spacing w:before="240"/>
        <w:rPr>
          <w:sz w:val="26"/>
          <w:szCs w:val="26"/>
          <w:lang w:val="fr-CA"/>
        </w:rPr>
      </w:pPr>
      <w:r w:rsidRPr="006D1CC8">
        <w:rPr>
          <w:sz w:val="26"/>
          <w:szCs w:val="26"/>
          <w:lang w:val="fr-CA"/>
        </w:rPr>
        <w:t xml:space="preserve">Ce que </w:t>
      </w:r>
      <w:r w:rsidRPr="004D3033">
        <w:rPr>
          <w:i/>
          <w:sz w:val="26"/>
          <w:szCs w:val="26"/>
          <w:lang w:val="fr-CA"/>
        </w:rPr>
        <w:t>vous</w:t>
      </w:r>
      <w:r w:rsidR="00D277C0" w:rsidRPr="006D1CC8">
        <w:rPr>
          <w:sz w:val="26"/>
          <w:szCs w:val="26"/>
          <w:lang w:val="fr-CA"/>
        </w:rPr>
        <w:t xml:space="preserve"> </w:t>
      </w:r>
      <w:r w:rsidRPr="006D1CC8">
        <w:rPr>
          <w:sz w:val="26"/>
          <w:szCs w:val="26"/>
          <w:lang w:val="fr-CA"/>
        </w:rPr>
        <w:t>devez savoir</w:t>
      </w:r>
    </w:p>
    <w:p w:rsidR="005D65F2" w:rsidRPr="00AD177D" w:rsidRDefault="0098747F" w:rsidP="005D65F2">
      <w:pPr>
        <w:rPr>
          <w:lang w:val="fr-CA"/>
        </w:rPr>
      </w:pPr>
      <w:r>
        <w:rPr>
          <w:lang w:val="fr-CA"/>
        </w:rPr>
        <w:t>Ceci est un aide</w:t>
      </w:r>
      <w:r>
        <w:rPr>
          <w:lang w:val="fr-CA"/>
        </w:rPr>
        <w:noBreakHyphen/>
        <w:t xml:space="preserve">mémoire d’une page </w:t>
      </w:r>
      <w:r w:rsidR="00E449BF">
        <w:rPr>
          <w:lang w:val="fr-CA"/>
        </w:rPr>
        <w:t xml:space="preserve">qui </w:t>
      </w:r>
      <w:r>
        <w:rPr>
          <w:lang w:val="fr-CA"/>
        </w:rPr>
        <w:t xml:space="preserve">décrit le programme des cartes d’achat </w:t>
      </w:r>
      <w:r w:rsidR="00E449BF">
        <w:rPr>
          <w:lang w:val="fr-CA"/>
        </w:rPr>
        <w:t xml:space="preserve">et </w:t>
      </w:r>
      <w:r w:rsidR="00DD63FA">
        <w:rPr>
          <w:lang w:val="fr-CA"/>
        </w:rPr>
        <w:t>qui s’</w:t>
      </w:r>
      <w:r w:rsidR="00373815">
        <w:rPr>
          <w:lang w:val="fr-CA"/>
        </w:rPr>
        <w:t>adresse</w:t>
      </w:r>
      <w:r>
        <w:rPr>
          <w:lang w:val="fr-CA"/>
        </w:rPr>
        <w:t xml:space="preserve"> aux gestionnaires de </w:t>
      </w:r>
      <w:r w:rsidR="00910A2F">
        <w:rPr>
          <w:lang w:val="fr-CA"/>
        </w:rPr>
        <w:t>centre financier</w:t>
      </w:r>
      <w:r>
        <w:rPr>
          <w:lang w:val="fr-CA"/>
        </w:rPr>
        <w:t xml:space="preserve">. Vous êtes invité à le lire avant </w:t>
      </w:r>
      <w:r w:rsidR="00DD63FA">
        <w:rPr>
          <w:lang w:val="fr-CA"/>
        </w:rPr>
        <w:t>de</w:t>
      </w:r>
      <w:r>
        <w:rPr>
          <w:lang w:val="fr-CA"/>
        </w:rPr>
        <w:t xml:space="preserve"> commence</w:t>
      </w:r>
      <w:r w:rsidR="00DD63FA">
        <w:rPr>
          <w:lang w:val="fr-CA"/>
        </w:rPr>
        <w:t>r</w:t>
      </w:r>
      <w:r>
        <w:rPr>
          <w:lang w:val="fr-CA"/>
        </w:rPr>
        <w:t xml:space="preserve"> à superviser tout employé qui utilise une carte d’achat. </w:t>
      </w:r>
    </w:p>
    <w:p w:rsidR="005D65F2" w:rsidRPr="006D1CC8" w:rsidRDefault="0098747F" w:rsidP="00797E0B">
      <w:pPr>
        <w:pStyle w:val="Heading1"/>
        <w:spacing w:before="300"/>
        <w:rPr>
          <w:sz w:val="26"/>
          <w:szCs w:val="26"/>
          <w:lang w:val="fr-CA"/>
        </w:rPr>
      </w:pPr>
      <w:r w:rsidRPr="006D1CC8">
        <w:rPr>
          <w:sz w:val="26"/>
          <w:szCs w:val="26"/>
          <w:lang w:val="fr-CA"/>
        </w:rPr>
        <w:t>Qu’est</w:t>
      </w:r>
      <w:r w:rsidRPr="006D1CC8">
        <w:rPr>
          <w:sz w:val="26"/>
          <w:szCs w:val="26"/>
          <w:lang w:val="fr-CA"/>
        </w:rPr>
        <w:noBreakHyphen/>
        <w:t>ce qu’une carte d’achat</w:t>
      </w:r>
      <w:r w:rsidR="009C68FE">
        <w:rPr>
          <w:sz w:val="26"/>
          <w:szCs w:val="26"/>
          <w:lang w:val="fr-CA"/>
        </w:rPr>
        <w:t xml:space="preserve"> </w:t>
      </w:r>
      <w:r w:rsidR="005D65F2" w:rsidRPr="006D1CC8">
        <w:rPr>
          <w:sz w:val="26"/>
          <w:szCs w:val="26"/>
          <w:lang w:val="fr-CA"/>
        </w:rPr>
        <w:t>?</w:t>
      </w:r>
      <w:bookmarkStart w:id="0" w:name="_GoBack"/>
      <w:bookmarkEnd w:id="0"/>
    </w:p>
    <w:p w:rsidR="00854D0E" w:rsidRPr="00854D0E" w:rsidRDefault="00854D0E" w:rsidP="00854D0E">
      <w:pPr>
        <w:rPr>
          <w:rFonts w:ascii="Calibri" w:hAnsi="Calibri"/>
          <w:lang w:val="fr-CA"/>
        </w:rPr>
      </w:pPr>
      <w:r w:rsidRPr="00854D0E">
        <w:rPr>
          <w:lang w:val="fr-CA"/>
        </w:rPr>
        <w:t>Il s’agit d’un outil d’achat et de paiement unique centralisé et de libre-service. Actuellement, il s’agit d’une carte de crédit Desjardins VISA émise arborant en arrière-plan un paysage montagneux noir et blanc, facile à identifier.</w:t>
      </w:r>
    </w:p>
    <w:p w:rsidR="005D65F2" w:rsidRPr="006D1CC8" w:rsidRDefault="0098747F" w:rsidP="00797E0B">
      <w:pPr>
        <w:pStyle w:val="Heading1"/>
        <w:spacing w:before="300"/>
        <w:rPr>
          <w:sz w:val="26"/>
          <w:szCs w:val="26"/>
          <w:lang w:val="fr-CA"/>
        </w:rPr>
      </w:pPr>
      <w:r w:rsidRPr="006D1CC8">
        <w:rPr>
          <w:sz w:val="26"/>
          <w:szCs w:val="26"/>
          <w:lang w:val="fr-CA"/>
        </w:rPr>
        <w:t>À quoi sert la carte d’achat</w:t>
      </w:r>
      <w:r w:rsidR="009C68FE">
        <w:rPr>
          <w:sz w:val="26"/>
          <w:szCs w:val="26"/>
          <w:lang w:val="fr-CA"/>
        </w:rPr>
        <w:t xml:space="preserve"> </w:t>
      </w:r>
      <w:r w:rsidR="005D65F2" w:rsidRPr="006D1CC8">
        <w:rPr>
          <w:sz w:val="26"/>
          <w:szCs w:val="26"/>
          <w:lang w:val="fr-CA"/>
        </w:rPr>
        <w:t>?</w:t>
      </w:r>
    </w:p>
    <w:p w:rsidR="005D65F2" w:rsidRPr="00AD177D" w:rsidRDefault="0098747F" w:rsidP="005D65F2">
      <w:pPr>
        <w:rPr>
          <w:lang w:val="fr-CA"/>
        </w:rPr>
      </w:pPr>
      <w:r>
        <w:rPr>
          <w:lang w:val="fr-CA"/>
        </w:rPr>
        <w:t xml:space="preserve">La carte d’achat sert à effectuer des </w:t>
      </w:r>
      <w:hyperlink r:id="rId8" w:history="1">
        <w:r w:rsidRPr="00707B31">
          <w:rPr>
            <w:rStyle w:val="Hyperlink"/>
            <w:lang w:val="fr-CA"/>
          </w:rPr>
          <w:t xml:space="preserve">achats </w:t>
        </w:r>
        <w:r w:rsidR="009A255D" w:rsidRPr="00707B31">
          <w:rPr>
            <w:rStyle w:val="Hyperlink"/>
            <w:lang w:val="fr-CA"/>
          </w:rPr>
          <w:t>de faible valeur (AFV)</w:t>
        </w:r>
      </w:hyperlink>
      <w:r w:rsidR="009A255D">
        <w:rPr>
          <w:lang w:val="fr-CA"/>
        </w:rPr>
        <w:t xml:space="preserve"> </w:t>
      </w:r>
      <w:r>
        <w:rPr>
          <w:lang w:val="fr-CA"/>
        </w:rPr>
        <w:t xml:space="preserve">des biens et services </w:t>
      </w:r>
      <w:r w:rsidR="009A255D">
        <w:rPr>
          <w:lang w:val="fr-CA"/>
        </w:rPr>
        <w:t xml:space="preserve">pour répondre </w:t>
      </w:r>
      <w:r>
        <w:rPr>
          <w:lang w:val="fr-CA"/>
        </w:rPr>
        <w:t xml:space="preserve">à des </w:t>
      </w:r>
      <w:r>
        <w:rPr>
          <w:i/>
          <w:lang w:val="fr-CA"/>
        </w:rPr>
        <w:t>besoins opérationnels</w:t>
      </w:r>
      <w:r w:rsidR="005D65F2" w:rsidRPr="00AD177D">
        <w:rPr>
          <w:lang w:val="fr-CA"/>
        </w:rPr>
        <w:t xml:space="preserve">. </w:t>
      </w:r>
      <w:r>
        <w:rPr>
          <w:lang w:val="fr-CA"/>
        </w:rPr>
        <w:t xml:space="preserve">Un </w:t>
      </w:r>
      <w:r>
        <w:rPr>
          <w:i/>
          <w:lang w:val="fr-CA"/>
        </w:rPr>
        <w:t xml:space="preserve">besoin opérationnel </w:t>
      </w:r>
      <w:r>
        <w:rPr>
          <w:lang w:val="fr-CA"/>
        </w:rPr>
        <w:t xml:space="preserve">est </w:t>
      </w:r>
      <w:r w:rsidR="002B3652">
        <w:rPr>
          <w:lang w:val="fr-CA"/>
        </w:rPr>
        <w:t>un bien ou service</w:t>
      </w:r>
      <w:r>
        <w:rPr>
          <w:lang w:val="fr-CA"/>
        </w:rPr>
        <w:t xml:space="preserve"> dont votre groupe a </w:t>
      </w:r>
      <w:r>
        <w:rPr>
          <w:i/>
          <w:lang w:val="fr-CA"/>
        </w:rPr>
        <w:t xml:space="preserve">besoin </w:t>
      </w:r>
      <w:r>
        <w:rPr>
          <w:lang w:val="fr-CA"/>
        </w:rPr>
        <w:t xml:space="preserve">pour remplir son mandat. Habituellement, cela n’inclut pas, par exemple, le café pour la cuisine ou des fleurs pour un collègue. </w:t>
      </w:r>
      <w:r w:rsidR="00084B89">
        <w:rPr>
          <w:lang w:val="fr-CA"/>
        </w:rPr>
        <w:t xml:space="preserve">La carte d’achat est </w:t>
      </w:r>
      <w:proofErr w:type="gramStart"/>
      <w:r w:rsidR="00084B89">
        <w:rPr>
          <w:lang w:val="fr-CA"/>
        </w:rPr>
        <w:t>maintenant</w:t>
      </w:r>
      <w:proofErr w:type="gramEnd"/>
      <w:r w:rsidR="00084B89">
        <w:rPr>
          <w:lang w:val="fr-CA"/>
        </w:rPr>
        <w:t xml:space="preserve"> obligatoire pour la plupart des </w:t>
      </w:r>
      <w:proofErr w:type="spellStart"/>
      <w:r w:rsidR="00084B89">
        <w:rPr>
          <w:lang w:val="fr-CA"/>
        </w:rPr>
        <w:t>AFVs</w:t>
      </w:r>
      <w:proofErr w:type="spellEnd"/>
      <w:r w:rsidR="00084B89">
        <w:rPr>
          <w:lang w:val="fr-CA"/>
        </w:rPr>
        <w:t xml:space="preserve">, sauf </w:t>
      </w:r>
      <w:r w:rsidR="002B3652">
        <w:rPr>
          <w:lang w:val="fr-CA"/>
        </w:rPr>
        <w:t xml:space="preserve">si </w:t>
      </w:r>
      <w:r w:rsidR="00084B89">
        <w:rPr>
          <w:lang w:val="fr-CA"/>
        </w:rPr>
        <w:t xml:space="preserve">une </w:t>
      </w:r>
      <w:hyperlink r:id="rId9" w:anchor="6.1" w:history="1">
        <w:r w:rsidR="00084B89" w:rsidRPr="00707B31">
          <w:rPr>
            <w:rStyle w:val="Hyperlink"/>
            <w:lang w:val="fr-CA"/>
          </w:rPr>
          <w:t xml:space="preserve">exception </w:t>
        </w:r>
        <w:r w:rsidR="00C03338" w:rsidRPr="00707B31">
          <w:rPr>
            <w:rStyle w:val="Hyperlink"/>
            <w:lang w:val="fr-CA"/>
          </w:rPr>
          <w:t>de la politique</w:t>
        </w:r>
      </w:hyperlink>
      <w:r w:rsidR="00C03338">
        <w:rPr>
          <w:lang w:val="fr-CA"/>
        </w:rPr>
        <w:t xml:space="preserve"> </w:t>
      </w:r>
      <w:r w:rsidR="00084B89">
        <w:rPr>
          <w:lang w:val="fr-CA"/>
        </w:rPr>
        <w:t xml:space="preserve">s’applique à </w:t>
      </w:r>
      <w:r w:rsidR="002B3652">
        <w:rPr>
          <w:lang w:val="fr-CA"/>
        </w:rPr>
        <w:t>l’</w:t>
      </w:r>
      <w:r w:rsidR="00084B89">
        <w:rPr>
          <w:lang w:val="fr-CA"/>
        </w:rPr>
        <w:t xml:space="preserve">achat. </w:t>
      </w:r>
      <w:r w:rsidR="00205B30">
        <w:rPr>
          <w:lang w:val="fr-CA"/>
        </w:rPr>
        <w:t>Un AFV s’élève typiquement à 10</w:t>
      </w:r>
      <w:r>
        <w:rPr>
          <w:lang w:val="fr-CA"/>
        </w:rPr>
        <w:t xml:space="preserve"> 000 $ </w:t>
      </w:r>
      <w:r w:rsidR="009A5599">
        <w:rPr>
          <w:lang w:val="fr-CA"/>
        </w:rPr>
        <w:t>ou moins</w:t>
      </w:r>
      <w:r>
        <w:rPr>
          <w:lang w:val="fr-CA"/>
        </w:rPr>
        <w:t xml:space="preserve">, incluant toutes les taxes et tous les frais. Il se peut que certaines cartes d’achat aient une limite plus élevée ou moins élevée. </w:t>
      </w:r>
    </w:p>
    <w:p w:rsidR="005D65F2" w:rsidRPr="006D1CC8" w:rsidRDefault="0098747F" w:rsidP="00797E0B">
      <w:pPr>
        <w:pStyle w:val="Heading1"/>
        <w:spacing w:before="300"/>
        <w:rPr>
          <w:sz w:val="26"/>
          <w:szCs w:val="26"/>
          <w:lang w:val="fr-CA"/>
        </w:rPr>
      </w:pPr>
      <w:r w:rsidRPr="006D1CC8">
        <w:rPr>
          <w:sz w:val="26"/>
          <w:szCs w:val="26"/>
          <w:lang w:val="fr-CA"/>
        </w:rPr>
        <w:t xml:space="preserve">Quel est le rôle du gestionnaire de </w:t>
      </w:r>
      <w:r w:rsidR="00910A2F">
        <w:rPr>
          <w:sz w:val="26"/>
          <w:szCs w:val="26"/>
          <w:lang w:val="fr-CA"/>
        </w:rPr>
        <w:t>centre financier</w:t>
      </w:r>
      <w:r w:rsidRPr="006D1CC8">
        <w:rPr>
          <w:sz w:val="26"/>
          <w:szCs w:val="26"/>
          <w:lang w:val="fr-CA"/>
        </w:rPr>
        <w:t xml:space="preserve"> en ce qui concerne la carte d’achat</w:t>
      </w:r>
      <w:r w:rsidR="009C68FE">
        <w:rPr>
          <w:sz w:val="26"/>
          <w:szCs w:val="26"/>
          <w:lang w:val="fr-CA"/>
        </w:rPr>
        <w:t xml:space="preserve"> </w:t>
      </w:r>
      <w:r w:rsidRPr="006D1CC8">
        <w:rPr>
          <w:sz w:val="26"/>
          <w:szCs w:val="26"/>
          <w:lang w:val="fr-CA"/>
        </w:rPr>
        <w:t>?</w:t>
      </w:r>
    </w:p>
    <w:p w:rsidR="005D65F2" w:rsidRPr="00AD177D" w:rsidRDefault="0098747F" w:rsidP="005D65F2">
      <w:pPr>
        <w:rPr>
          <w:lang w:val="fr-CA"/>
        </w:rPr>
      </w:pPr>
      <w:r>
        <w:rPr>
          <w:lang w:val="fr-CA"/>
        </w:rPr>
        <w:t xml:space="preserve">Les gestionnaires de </w:t>
      </w:r>
      <w:r w:rsidR="00910A2F">
        <w:rPr>
          <w:lang w:val="fr-CA"/>
        </w:rPr>
        <w:t>centre financier</w:t>
      </w:r>
      <w:r>
        <w:rPr>
          <w:lang w:val="fr-CA"/>
        </w:rPr>
        <w:t xml:space="preserve"> doivent autoriser </w:t>
      </w:r>
      <w:r>
        <w:rPr>
          <w:i/>
          <w:lang w:val="fr-CA"/>
        </w:rPr>
        <w:t xml:space="preserve">tous </w:t>
      </w:r>
      <w:r>
        <w:rPr>
          <w:lang w:val="fr-CA"/>
        </w:rPr>
        <w:t xml:space="preserve">les achats </w:t>
      </w:r>
      <w:r w:rsidR="00DD63FA">
        <w:rPr>
          <w:i/>
          <w:lang w:val="fr-CA"/>
        </w:rPr>
        <w:t xml:space="preserve">par écrit </w:t>
      </w:r>
      <w:r w:rsidR="005A04BA">
        <w:rPr>
          <w:lang w:val="fr-CA"/>
        </w:rPr>
        <w:t xml:space="preserve">et inclure </w:t>
      </w:r>
      <w:r>
        <w:rPr>
          <w:lang w:val="fr-CA"/>
        </w:rPr>
        <w:t xml:space="preserve">la valeur monétaire </w:t>
      </w:r>
      <w:r w:rsidR="005A04BA">
        <w:rPr>
          <w:lang w:val="fr-CA"/>
        </w:rPr>
        <w:t xml:space="preserve">approximative </w:t>
      </w:r>
      <w:r>
        <w:rPr>
          <w:lang w:val="fr-CA"/>
        </w:rPr>
        <w:t>autorisée (</w:t>
      </w:r>
      <w:r w:rsidR="003843DF">
        <w:rPr>
          <w:lang w:val="fr-CA"/>
        </w:rPr>
        <w:t xml:space="preserve">un </w:t>
      </w:r>
      <w:r>
        <w:rPr>
          <w:lang w:val="fr-CA"/>
        </w:rPr>
        <w:t xml:space="preserve">courriel est acceptable), conformément à l’article 32 de la </w:t>
      </w:r>
      <w:r>
        <w:rPr>
          <w:i/>
          <w:lang w:val="fr-CA"/>
        </w:rPr>
        <w:t>Loi sur la gestion des finances publiques</w:t>
      </w:r>
      <w:r>
        <w:rPr>
          <w:lang w:val="fr-CA"/>
        </w:rPr>
        <w:t xml:space="preserve"> (LGFP). Cette autorisation peut être fournie juste pour un achat</w:t>
      </w:r>
      <w:r w:rsidR="00E92CFA">
        <w:rPr>
          <w:lang w:val="fr-CA"/>
        </w:rPr>
        <w:t>,</w:t>
      </w:r>
      <w:r>
        <w:rPr>
          <w:lang w:val="fr-CA"/>
        </w:rPr>
        <w:t xml:space="preserve"> ou peut être accordée à long terme </w:t>
      </w:r>
      <w:r w:rsidR="00E92CFA">
        <w:rPr>
          <w:lang w:val="fr-CA"/>
        </w:rPr>
        <w:t>(p. ex.,</w:t>
      </w:r>
      <w:r>
        <w:rPr>
          <w:lang w:val="fr-CA"/>
        </w:rPr>
        <w:t xml:space="preserve"> l’achat de fournitures de bureau). Il incombe aux gestionnaires de </w:t>
      </w:r>
      <w:r w:rsidR="00910A2F">
        <w:rPr>
          <w:lang w:val="fr-CA"/>
        </w:rPr>
        <w:t xml:space="preserve">centre financier d’examiner les documents </w:t>
      </w:r>
      <w:r>
        <w:rPr>
          <w:lang w:val="fr-CA"/>
        </w:rPr>
        <w:t>mensuel</w:t>
      </w:r>
      <w:r w:rsidR="00910A2F">
        <w:rPr>
          <w:lang w:val="fr-CA"/>
        </w:rPr>
        <w:t>s</w:t>
      </w:r>
      <w:r>
        <w:rPr>
          <w:lang w:val="fr-CA"/>
        </w:rPr>
        <w:t xml:space="preserve"> préparée</w:t>
      </w:r>
      <w:r w:rsidR="00910A2F">
        <w:rPr>
          <w:lang w:val="fr-CA"/>
        </w:rPr>
        <w:t>s</w:t>
      </w:r>
      <w:r>
        <w:rPr>
          <w:lang w:val="fr-CA"/>
        </w:rPr>
        <w:t xml:space="preserve"> par le détenteur </w:t>
      </w:r>
      <w:r w:rsidR="0053480C">
        <w:rPr>
          <w:lang w:val="fr-CA"/>
        </w:rPr>
        <w:t>de carte d’achat,</w:t>
      </w:r>
      <w:r>
        <w:rPr>
          <w:lang w:val="fr-CA"/>
        </w:rPr>
        <w:t xml:space="preserve"> et de repérer les achats peu appropriés</w:t>
      </w:r>
      <w:r w:rsidR="0053480C">
        <w:rPr>
          <w:lang w:val="fr-CA"/>
        </w:rPr>
        <w:t xml:space="preserve"> ou </w:t>
      </w:r>
      <w:r>
        <w:rPr>
          <w:lang w:val="fr-CA"/>
        </w:rPr>
        <w:t xml:space="preserve">non autorisés. </w:t>
      </w:r>
      <w:r w:rsidR="00DE6E40">
        <w:rPr>
          <w:lang w:val="fr-CA"/>
        </w:rPr>
        <w:t xml:space="preserve">Si tous les achats sont appropriés, </w:t>
      </w:r>
      <w:r w:rsidR="00910A2F">
        <w:rPr>
          <w:lang w:val="fr-CA"/>
        </w:rPr>
        <w:t xml:space="preserve">approuvera les documents </w:t>
      </w:r>
      <w:r w:rsidR="00DE6E40">
        <w:rPr>
          <w:lang w:val="fr-CA"/>
        </w:rPr>
        <w:t xml:space="preserve">comme le prévoit l’article 34 de la </w:t>
      </w:r>
      <w:r w:rsidR="00DE6E40">
        <w:rPr>
          <w:i/>
          <w:lang w:val="fr-CA"/>
        </w:rPr>
        <w:t xml:space="preserve">LGFP. </w:t>
      </w:r>
      <w:r w:rsidR="00DE6E40">
        <w:rPr>
          <w:lang w:val="fr-CA"/>
        </w:rPr>
        <w:t>Mais s</w:t>
      </w:r>
      <w:r>
        <w:rPr>
          <w:lang w:val="fr-CA"/>
        </w:rPr>
        <w:t>i vous repérez de tels achats, vous devez communiquer avec le coordonnateur des cartes d’achat (</w:t>
      </w:r>
      <w:r w:rsidR="0073230D">
        <w:rPr>
          <w:lang w:val="fr-CA"/>
        </w:rPr>
        <w:t xml:space="preserve">voir </w:t>
      </w:r>
      <w:proofErr w:type="spellStart"/>
      <w:r w:rsidR="00E449BF">
        <w:rPr>
          <w:lang w:val="fr-CA"/>
        </w:rPr>
        <w:t>i</w:t>
      </w:r>
      <w:r>
        <w:rPr>
          <w:lang w:val="fr-CA"/>
        </w:rPr>
        <w:t>Service</w:t>
      </w:r>
      <w:proofErr w:type="spellEnd"/>
      <w:r>
        <w:rPr>
          <w:lang w:val="fr-CA"/>
        </w:rPr>
        <w:t>)</w:t>
      </w:r>
      <w:r w:rsidR="00AA2434">
        <w:rPr>
          <w:lang w:val="fr-CA"/>
        </w:rPr>
        <w:t xml:space="preserve"> et i</w:t>
      </w:r>
      <w:r w:rsidR="00066B15">
        <w:rPr>
          <w:lang w:val="fr-CA"/>
        </w:rPr>
        <w:t>d</w:t>
      </w:r>
      <w:r w:rsidR="00910A2F">
        <w:rPr>
          <w:lang w:val="fr-CA"/>
        </w:rPr>
        <w:t>entifiez tous ces achats sur les documents</w:t>
      </w:r>
      <w:r w:rsidR="00066B15">
        <w:rPr>
          <w:lang w:val="fr-CA"/>
        </w:rPr>
        <w:t xml:space="preserve">. </w:t>
      </w:r>
      <w:r>
        <w:rPr>
          <w:lang w:val="fr-CA"/>
        </w:rPr>
        <w:t xml:space="preserve"> Pour</w:t>
      </w:r>
      <w:r w:rsidR="000F0D71">
        <w:rPr>
          <w:lang w:val="fr-CA"/>
        </w:rPr>
        <w:t xml:space="preserve"> d’autres renseignements</w:t>
      </w:r>
      <w:r>
        <w:rPr>
          <w:lang w:val="fr-CA"/>
        </w:rPr>
        <w:t xml:space="preserve">, </w:t>
      </w:r>
      <w:r w:rsidR="00910A2F">
        <w:rPr>
          <w:lang w:val="fr-CA"/>
        </w:rPr>
        <w:t xml:space="preserve">lisez </w:t>
      </w:r>
      <w:r>
        <w:rPr>
          <w:lang w:val="fr-CA"/>
        </w:rPr>
        <w:t xml:space="preserve">la </w:t>
      </w:r>
      <w:hyperlink r:id="rId10" w:history="1">
        <w:r w:rsidR="00707B31">
          <w:rPr>
            <w:rStyle w:val="Hyperlink"/>
            <w:lang w:val="fr-CA"/>
          </w:rPr>
          <w:t>Politique sur la carte</w:t>
        </w:r>
        <w:r w:rsidRPr="00707B31">
          <w:rPr>
            <w:rStyle w:val="Hyperlink"/>
            <w:lang w:val="fr-CA"/>
          </w:rPr>
          <w:t xml:space="preserve"> d’achat</w:t>
        </w:r>
      </w:hyperlink>
      <w:r>
        <w:rPr>
          <w:lang w:val="fr-CA"/>
        </w:rPr>
        <w:t xml:space="preserve">. </w:t>
      </w:r>
    </w:p>
    <w:p w:rsidR="005D65F2" w:rsidRPr="006D1CC8" w:rsidRDefault="0091121A" w:rsidP="00797E0B">
      <w:pPr>
        <w:pStyle w:val="Heading1"/>
        <w:spacing w:before="300"/>
        <w:rPr>
          <w:sz w:val="26"/>
          <w:szCs w:val="26"/>
          <w:lang w:val="fr-CA"/>
        </w:rPr>
      </w:pPr>
      <w:r w:rsidRPr="006D1CC8">
        <w:rPr>
          <w:sz w:val="26"/>
          <w:szCs w:val="26"/>
          <w:lang w:val="fr-CA"/>
        </w:rPr>
        <w:t>Qui peut utiliser une carte d’achat</w:t>
      </w:r>
      <w:r w:rsidR="009C68FE">
        <w:rPr>
          <w:sz w:val="26"/>
          <w:szCs w:val="26"/>
          <w:lang w:val="fr-CA"/>
        </w:rPr>
        <w:t xml:space="preserve"> </w:t>
      </w:r>
      <w:r w:rsidR="005D65F2" w:rsidRPr="006D1CC8">
        <w:rPr>
          <w:sz w:val="26"/>
          <w:szCs w:val="26"/>
          <w:lang w:val="fr-CA"/>
        </w:rPr>
        <w:t>?</w:t>
      </w:r>
    </w:p>
    <w:p w:rsidR="00FD1790" w:rsidRPr="00AA7811" w:rsidRDefault="0091121A" w:rsidP="00AA7811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sz w:val="21"/>
          <w:szCs w:val="21"/>
          <w:lang w:val="fr-CA"/>
        </w:rPr>
      </w:pPr>
      <w:r w:rsidRPr="00AA7811">
        <w:rPr>
          <w:sz w:val="21"/>
          <w:szCs w:val="21"/>
          <w:lang w:val="fr-CA"/>
        </w:rPr>
        <w:t>La personne dont le nom apparaît sur la carte (</w:t>
      </w:r>
      <w:r w:rsidR="00656AF3">
        <w:rPr>
          <w:sz w:val="21"/>
          <w:szCs w:val="21"/>
          <w:lang w:val="fr-CA"/>
        </w:rPr>
        <w:t>l</w:t>
      </w:r>
      <w:r w:rsidRPr="00AA7811">
        <w:rPr>
          <w:sz w:val="21"/>
          <w:szCs w:val="21"/>
          <w:lang w:val="fr-CA"/>
        </w:rPr>
        <w:t xml:space="preserve">e </w:t>
      </w:r>
      <w:r w:rsidR="00656AF3">
        <w:rPr>
          <w:sz w:val="21"/>
          <w:szCs w:val="21"/>
          <w:lang w:val="fr-CA"/>
        </w:rPr>
        <w:t>« </w:t>
      </w:r>
      <w:r w:rsidRPr="00AA7811">
        <w:rPr>
          <w:sz w:val="21"/>
          <w:szCs w:val="21"/>
          <w:lang w:val="fr-CA"/>
        </w:rPr>
        <w:t>détenteur de la carte</w:t>
      </w:r>
      <w:r w:rsidR="00656AF3">
        <w:rPr>
          <w:sz w:val="21"/>
          <w:szCs w:val="21"/>
          <w:lang w:val="fr-CA"/>
        </w:rPr>
        <w:t> »</w:t>
      </w:r>
      <w:r w:rsidRPr="00AA7811">
        <w:rPr>
          <w:sz w:val="21"/>
          <w:szCs w:val="21"/>
          <w:lang w:val="fr-CA"/>
        </w:rPr>
        <w:t>) e</w:t>
      </w:r>
      <w:r w:rsidR="00DD63FA" w:rsidRPr="00AA7811">
        <w:rPr>
          <w:sz w:val="21"/>
          <w:szCs w:val="21"/>
          <w:lang w:val="fr-CA"/>
        </w:rPr>
        <w:t>s</w:t>
      </w:r>
      <w:r w:rsidRPr="00AA7811">
        <w:rPr>
          <w:sz w:val="21"/>
          <w:szCs w:val="21"/>
          <w:lang w:val="fr-CA"/>
        </w:rPr>
        <w:t>t l’</w:t>
      </w:r>
      <w:r w:rsidRPr="00AA7811">
        <w:rPr>
          <w:i/>
          <w:sz w:val="21"/>
          <w:szCs w:val="21"/>
          <w:lang w:val="fr-CA"/>
        </w:rPr>
        <w:t>unique</w:t>
      </w:r>
      <w:r w:rsidRPr="00AA7811">
        <w:rPr>
          <w:sz w:val="21"/>
          <w:szCs w:val="21"/>
          <w:lang w:val="fr-CA"/>
        </w:rPr>
        <w:t xml:space="preserve"> personne autorisée à l’utiliser. </w:t>
      </w:r>
    </w:p>
    <w:p w:rsidR="0092784B" w:rsidRPr="00AA7811" w:rsidRDefault="00846754" w:rsidP="00AA7811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sz w:val="21"/>
          <w:szCs w:val="21"/>
          <w:lang w:val="fr-CA"/>
        </w:rPr>
      </w:pPr>
      <w:r>
        <w:rPr>
          <w:sz w:val="21"/>
          <w:szCs w:val="21"/>
          <w:lang w:val="fr-CA"/>
        </w:rPr>
        <w:t>Si un remplaçant est nécessaire</w:t>
      </w:r>
      <w:r w:rsidR="0091121A" w:rsidRPr="00AA7811">
        <w:rPr>
          <w:sz w:val="21"/>
          <w:szCs w:val="21"/>
          <w:lang w:val="fr-CA"/>
        </w:rPr>
        <w:t xml:space="preserve">, </w:t>
      </w:r>
      <w:r w:rsidR="00D678A8">
        <w:rPr>
          <w:sz w:val="21"/>
          <w:szCs w:val="21"/>
          <w:lang w:val="fr-CA"/>
        </w:rPr>
        <w:t xml:space="preserve">p. ex. </w:t>
      </w:r>
      <w:r w:rsidR="0091121A" w:rsidRPr="00AA7811">
        <w:rPr>
          <w:sz w:val="21"/>
          <w:szCs w:val="21"/>
          <w:lang w:val="fr-CA"/>
        </w:rPr>
        <w:t xml:space="preserve">durant les congés du détenteur, le gestionnaire de </w:t>
      </w:r>
      <w:r w:rsidR="00910A2F">
        <w:rPr>
          <w:sz w:val="21"/>
          <w:szCs w:val="21"/>
          <w:lang w:val="fr-CA"/>
        </w:rPr>
        <w:t>centre financier</w:t>
      </w:r>
      <w:r w:rsidR="0091121A" w:rsidRPr="00AA7811">
        <w:rPr>
          <w:sz w:val="21"/>
          <w:szCs w:val="21"/>
          <w:lang w:val="fr-CA"/>
        </w:rPr>
        <w:t xml:space="preserve"> doit demander à un autre membre de l’équipe d’obtenir une carte distincte. Il est </w:t>
      </w:r>
      <w:r w:rsidR="0091121A" w:rsidRPr="00AA7811">
        <w:rPr>
          <w:i/>
          <w:sz w:val="21"/>
          <w:szCs w:val="21"/>
          <w:lang w:val="fr-CA"/>
        </w:rPr>
        <w:t xml:space="preserve">interdit </w:t>
      </w:r>
      <w:r w:rsidR="0091121A" w:rsidRPr="00AA7811">
        <w:rPr>
          <w:sz w:val="21"/>
          <w:szCs w:val="21"/>
          <w:lang w:val="fr-CA"/>
        </w:rPr>
        <w:t xml:space="preserve">de prêter ou d’emprunter les cartes d’achat. </w:t>
      </w:r>
    </w:p>
    <w:p w:rsidR="00E804DD" w:rsidRDefault="0091121A" w:rsidP="00AA7811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sz w:val="21"/>
          <w:szCs w:val="21"/>
          <w:lang w:val="fr-CA"/>
        </w:rPr>
      </w:pPr>
      <w:r w:rsidRPr="00E804DD">
        <w:rPr>
          <w:sz w:val="21"/>
          <w:szCs w:val="21"/>
          <w:lang w:val="fr-CA"/>
        </w:rPr>
        <w:t xml:space="preserve">Les nouveaux détenteurs d’une carte d’achat doivent réussir la </w:t>
      </w:r>
      <w:hyperlink r:id="rId11" w:history="1">
        <w:r w:rsidRPr="00E804DD">
          <w:rPr>
            <w:rStyle w:val="Hyperlink"/>
            <w:i/>
            <w:sz w:val="21"/>
            <w:szCs w:val="21"/>
            <w:lang w:val="fr-CA"/>
          </w:rPr>
          <w:t>formation obligatoire en ligne sur les cartes d’achat</w:t>
        </w:r>
      </w:hyperlink>
    </w:p>
    <w:p w:rsidR="005D65F2" w:rsidRPr="00E804DD" w:rsidRDefault="0091121A" w:rsidP="00AA7811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sz w:val="21"/>
          <w:szCs w:val="21"/>
          <w:lang w:val="fr-CA"/>
        </w:rPr>
      </w:pPr>
      <w:r w:rsidRPr="00E804DD">
        <w:rPr>
          <w:sz w:val="21"/>
          <w:szCs w:val="21"/>
          <w:lang w:val="fr-CA"/>
        </w:rPr>
        <w:t>Pour pouvoir obtenir une carte d’achat, un employé doit être nommé pour une</w:t>
      </w:r>
      <w:r w:rsidR="00FA3644" w:rsidRPr="00E804DD">
        <w:rPr>
          <w:sz w:val="21"/>
          <w:szCs w:val="21"/>
          <w:lang w:val="fr-CA"/>
        </w:rPr>
        <w:t xml:space="preserve"> période de durée indéterminée, ou s’il a été nommé pour une période déterminée il doit avoir à son actif une période de service d’au moins six mois </w:t>
      </w:r>
    </w:p>
    <w:p w:rsidR="005D65F2" w:rsidRPr="00AA7811" w:rsidRDefault="0091121A" w:rsidP="00AA7811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sz w:val="21"/>
          <w:szCs w:val="21"/>
          <w:lang w:val="fr-CA"/>
        </w:rPr>
      </w:pPr>
      <w:r w:rsidRPr="00AA7811">
        <w:rPr>
          <w:sz w:val="21"/>
          <w:szCs w:val="21"/>
          <w:lang w:val="fr-CA"/>
        </w:rPr>
        <w:t xml:space="preserve">Le détenteur de la carte d’achat ne peut pas </w:t>
      </w:r>
      <w:r w:rsidR="00DD63FA" w:rsidRPr="00AA7811">
        <w:rPr>
          <w:sz w:val="21"/>
          <w:szCs w:val="21"/>
          <w:lang w:val="fr-CA"/>
        </w:rPr>
        <w:t>ap</w:t>
      </w:r>
      <w:r w:rsidRPr="00AA7811">
        <w:rPr>
          <w:sz w:val="21"/>
          <w:szCs w:val="21"/>
          <w:lang w:val="fr-CA"/>
        </w:rPr>
        <w:t xml:space="preserve">prouver ses propres achats. Par conséquent, si un gestionnaire de </w:t>
      </w:r>
      <w:r w:rsidR="00910A2F">
        <w:rPr>
          <w:sz w:val="21"/>
          <w:szCs w:val="21"/>
          <w:lang w:val="fr-CA"/>
        </w:rPr>
        <w:t>centre financier</w:t>
      </w:r>
      <w:r w:rsidRPr="00AA7811">
        <w:rPr>
          <w:sz w:val="21"/>
          <w:szCs w:val="21"/>
          <w:lang w:val="fr-CA"/>
        </w:rPr>
        <w:t xml:space="preserve"> a une carte d’achat, c’est son supérieur qui devra signer les </w:t>
      </w:r>
      <w:r w:rsidR="00910A2F">
        <w:rPr>
          <w:sz w:val="21"/>
          <w:szCs w:val="21"/>
          <w:lang w:val="fr-CA"/>
        </w:rPr>
        <w:t>documents</w:t>
      </w:r>
      <w:r w:rsidRPr="00AA7811">
        <w:rPr>
          <w:sz w:val="21"/>
          <w:szCs w:val="21"/>
          <w:lang w:val="fr-CA"/>
        </w:rPr>
        <w:t xml:space="preserve"> mensuels. Les détenteurs d’une carte d’achat ne peuvent pas signer leurs propres </w:t>
      </w:r>
      <w:r w:rsidR="00910A2F">
        <w:rPr>
          <w:sz w:val="21"/>
          <w:szCs w:val="21"/>
          <w:lang w:val="fr-CA"/>
        </w:rPr>
        <w:t>documents mensuels</w:t>
      </w:r>
      <w:r w:rsidRPr="00AA7811">
        <w:rPr>
          <w:sz w:val="21"/>
          <w:szCs w:val="21"/>
          <w:lang w:val="fr-CA"/>
        </w:rPr>
        <w:t xml:space="preserve">. </w:t>
      </w:r>
    </w:p>
    <w:p w:rsidR="005D65F2" w:rsidRPr="00AA7811" w:rsidRDefault="0091121A" w:rsidP="00AA7811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sz w:val="21"/>
          <w:szCs w:val="21"/>
          <w:lang w:val="fr-CA"/>
        </w:rPr>
      </w:pPr>
      <w:r w:rsidRPr="00AA7811">
        <w:rPr>
          <w:sz w:val="21"/>
          <w:szCs w:val="21"/>
          <w:lang w:val="fr-CA"/>
        </w:rPr>
        <w:t xml:space="preserve">Certaines régions et directions </w:t>
      </w:r>
      <w:r w:rsidR="00DD63FA" w:rsidRPr="00AA7811">
        <w:rPr>
          <w:sz w:val="21"/>
          <w:szCs w:val="21"/>
          <w:lang w:val="fr-CA"/>
        </w:rPr>
        <w:t>ont</w:t>
      </w:r>
      <w:r w:rsidRPr="00AA7811">
        <w:rPr>
          <w:sz w:val="21"/>
          <w:szCs w:val="21"/>
          <w:lang w:val="fr-CA"/>
        </w:rPr>
        <w:t xml:space="preserve"> centralis</w:t>
      </w:r>
      <w:r w:rsidR="00DD63FA" w:rsidRPr="00AA7811">
        <w:rPr>
          <w:sz w:val="21"/>
          <w:szCs w:val="21"/>
          <w:lang w:val="fr-CA"/>
        </w:rPr>
        <w:t>é</w:t>
      </w:r>
      <w:r w:rsidR="00066B15" w:rsidRPr="00AA7811">
        <w:rPr>
          <w:sz w:val="21"/>
          <w:szCs w:val="21"/>
          <w:lang w:val="fr-CA"/>
        </w:rPr>
        <w:t xml:space="preserve"> les achats par carte d’achat </w:t>
      </w:r>
      <w:r w:rsidRPr="00AA7811">
        <w:rPr>
          <w:sz w:val="21"/>
          <w:szCs w:val="21"/>
          <w:lang w:val="fr-CA"/>
        </w:rPr>
        <w:t xml:space="preserve">en la confiant </w:t>
      </w:r>
      <w:r w:rsidR="000A6637">
        <w:rPr>
          <w:sz w:val="21"/>
          <w:szCs w:val="21"/>
          <w:lang w:val="fr-CA"/>
        </w:rPr>
        <w:t xml:space="preserve">toutes </w:t>
      </w:r>
      <w:r w:rsidR="00887586" w:rsidRPr="00AA7811">
        <w:rPr>
          <w:sz w:val="21"/>
          <w:szCs w:val="21"/>
          <w:lang w:val="fr-CA"/>
        </w:rPr>
        <w:t>aux services</w:t>
      </w:r>
      <w:r w:rsidRPr="00AA7811">
        <w:rPr>
          <w:sz w:val="21"/>
          <w:szCs w:val="21"/>
          <w:lang w:val="fr-CA"/>
        </w:rPr>
        <w:t xml:space="preserve"> gérés.</w:t>
      </w:r>
    </w:p>
    <w:p w:rsidR="005D65F2" w:rsidRPr="006D1CC8" w:rsidRDefault="0091121A" w:rsidP="00797E0B">
      <w:pPr>
        <w:pStyle w:val="Heading1"/>
        <w:spacing w:before="300"/>
        <w:rPr>
          <w:sz w:val="26"/>
          <w:szCs w:val="26"/>
          <w:lang w:val="fr-CA"/>
        </w:rPr>
      </w:pPr>
      <w:r w:rsidRPr="006D1CC8">
        <w:rPr>
          <w:sz w:val="26"/>
          <w:szCs w:val="26"/>
          <w:lang w:val="fr-CA"/>
        </w:rPr>
        <w:t>Où puis</w:t>
      </w:r>
      <w:r w:rsidRPr="006D1CC8">
        <w:rPr>
          <w:sz w:val="26"/>
          <w:szCs w:val="26"/>
          <w:lang w:val="fr-CA"/>
        </w:rPr>
        <w:noBreakHyphen/>
        <w:t>je obtenir de l’information additionnelle</w:t>
      </w:r>
      <w:r w:rsidR="000709C4">
        <w:rPr>
          <w:sz w:val="26"/>
          <w:szCs w:val="26"/>
          <w:lang w:val="fr-CA"/>
        </w:rPr>
        <w:t xml:space="preserve"> </w:t>
      </w:r>
      <w:r w:rsidRPr="006D1CC8">
        <w:rPr>
          <w:sz w:val="26"/>
          <w:szCs w:val="26"/>
          <w:lang w:val="fr-CA"/>
        </w:rPr>
        <w:t>?</w:t>
      </w:r>
    </w:p>
    <w:p w:rsidR="00337C3B" w:rsidRPr="00AD177D" w:rsidRDefault="0091121A" w:rsidP="00B80A41">
      <w:pPr>
        <w:spacing w:after="0"/>
        <w:rPr>
          <w:lang w:val="fr-CA"/>
        </w:rPr>
      </w:pPr>
      <w:r>
        <w:rPr>
          <w:lang w:val="fr-CA"/>
        </w:rPr>
        <w:t>Vous pouvez obte</w:t>
      </w:r>
      <w:r w:rsidR="000709C4">
        <w:rPr>
          <w:lang w:val="fr-CA"/>
        </w:rPr>
        <w:t xml:space="preserve">nir d’autres renseignements sur </w:t>
      </w:r>
      <w:hyperlink r:id="rId12" w:history="1">
        <w:proofErr w:type="spellStart"/>
        <w:r w:rsidR="00740300" w:rsidRPr="004D3033">
          <w:rPr>
            <w:rStyle w:val="Hyperlink"/>
            <w:lang w:val="fr-CA"/>
          </w:rPr>
          <w:t>i</w:t>
        </w:r>
        <w:r w:rsidRPr="004D3033">
          <w:rPr>
            <w:rStyle w:val="Hyperlink"/>
            <w:lang w:val="fr-CA"/>
          </w:rPr>
          <w:t>Service</w:t>
        </w:r>
        <w:proofErr w:type="spellEnd"/>
      </w:hyperlink>
      <w:r w:rsidR="00E804DD">
        <w:rPr>
          <w:lang w:val="fr-CA"/>
        </w:rPr>
        <w:t>.</w:t>
      </w:r>
    </w:p>
    <w:sectPr w:rsidR="00337C3B" w:rsidRPr="00AD177D" w:rsidSect="00730D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56" w:rsidRDefault="00395F56" w:rsidP="007B3725">
      <w:pPr>
        <w:spacing w:after="0" w:line="240" w:lineRule="auto"/>
      </w:pPr>
      <w:r>
        <w:separator/>
      </w:r>
    </w:p>
  </w:endnote>
  <w:endnote w:type="continuationSeparator" w:id="0">
    <w:p w:rsidR="00395F56" w:rsidRDefault="00395F56" w:rsidP="007B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56" w:rsidRDefault="00395F56" w:rsidP="007B3725">
      <w:pPr>
        <w:spacing w:after="0" w:line="240" w:lineRule="auto"/>
      </w:pPr>
      <w:r>
        <w:separator/>
      </w:r>
    </w:p>
  </w:footnote>
  <w:footnote w:type="continuationSeparator" w:id="0">
    <w:p w:rsidR="00395F56" w:rsidRDefault="00395F56" w:rsidP="007B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47D"/>
    <w:multiLevelType w:val="hybridMultilevel"/>
    <w:tmpl w:val="84427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5285E"/>
    <w:multiLevelType w:val="hybridMultilevel"/>
    <w:tmpl w:val="ADF05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400E1"/>
    <w:multiLevelType w:val="hybridMultilevel"/>
    <w:tmpl w:val="C9D48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isplayBackgroundShap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C9"/>
    <w:rsid w:val="00014995"/>
    <w:rsid w:val="00022B70"/>
    <w:rsid w:val="0004217F"/>
    <w:rsid w:val="00053FD5"/>
    <w:rsid w:val="00066B15"/>
    <w:rsid w:val="000709C4"/>
    <w:rsid w:val="00084B89"/>
    <w:rsid w:val="000907C5"/>
    <w:rsid w:val="00094F6F"/>
    <w:rsid w:val="000A6637"/>
    <w:rsid w:val="000F0D71"/>
    <w:rsid w:val="001748D8"/>
    <w:rsid w:val="00205B30"/>
    <w:rsid w:val="00224767"/>
    <w:rsid w:val="00261639"/>
    <w:rsid w:val="002747EC"/>
    <w:rsid w:val="002B3652"/>
    <w:rsid w:val="002F70CC"/>
    <w:rsid w:val="00337C3B"/>
    <w:rsid w:val="00373815"/>
    <w:rsid w:val="003843DF"/>
    <w:rsid w:val="00395F56"/>
    <w:rsid w:val="003C1357"/>
    <w:rsid w:val="003E152C"/>
    <w:rsid w:val="004347D7"/>
    <w:rsid w:val="00435A98"/>
    <w:rsid w:val="004640AB"/>
    <w:rsid w:val="004D3033"/>
    <w:rsid w:val="004D74EE"/>
    <w:rsid w:val="0053480C"/>
    <w:rsid w:val="005A04BA"/>
    <w:rsid w:val="005A3B0A"/>
    <w:rsid w:val="005D65F2"/>
    <w:rsid w:val="005D7680"/>
    <w:rsid w:val="005F3BAD"/>
    <w:rsid w:val="006020A8"/>
    <w:rsid w:val="00627B49"/>
    <w:rsid w:val="00656AF3"/>
    <w:rsid w:val="00674683"/>
    <w:rsid w:val="00675FF0"/>
    <w:rsid w:val="00685398"/>
    <w:rsid w:val="006D040C"/>
    <w:rsid w:val="006D1CC8"/>
    <w:rsid w:val="006D5A01"/>
    <w:rsid w:val="006F7657"/>
    <w:rsid w:val="00703F29"/>
    <w:rsid w:val="0070460C"/>
    <w:rsid w:val="00707B31"/>
    <w:rsid w:val="00730DC6"/>
    <w:rsid w:val="0073230D"/>
    <w:rsid w:val="00740300"/>
    <w:rsid w:val="00741181"/>
    <w:rsid w:val="00797E0B"/>
    <w:rsid w:val="007B3725"/>
    <w:rsid w:val="007D3131"/>
    <w:rsid w:val="00831D86"/>
    <w:rsid w:val="00842D41"/>
    <w:rsid w:val="00846754"/>
    <w:rsid w:val="00854D0E"/>
    <w:rsid w:val="00887586"/>
    <w:rsid w:val="00892F61"/>
    <w:rsid w:val="008A4D3B"/>
    <w:rsid w:val="008F49E0"/>
    <w:rsid w:val="00904913"/>
    <w:rsid w:val="00910A2F"/>
    <w:rsid w:val="0091121A"/>
    <w:rsid w:val="0092784B"/>
    <w:rsid w:val="00977AD9"/>
    <w:rsid w:val="0098747F"/>
    <w:rsid w:val="009937FD"/>
    <w:rsid w:val="009A255D"/>
    <w:rsid w:val="009A5599"/>
    <w:rsid w:val="009C68FE"/>
    <w:rsid w:val="009F711D"/>
    <w:rsid w:val="00A30547"/>
    <w:rsid w:val="00A62DFF"/>
    <w:rsid w:val="00A732D1"/>
    <w:rsid w:val="00A75995"/>
    <w:rsid w:val="00AA2434"/>
    <w:rsid w:val="00AA4EB3"/>
    <w:rsid w:val="00AA589D"/>
    <w:rsid w:val="00AA7811"/>
    <w:rsid w:val="00AC7499"/>
    <w:rsid w:val="00AD177D"/>
    <w:rsid w:val="00B34346"/>
    <w:rsid w:val="00B80A41"/>
    <w:rsid w:val="00C0218E"/>
    <w:rsid w:val="00C03338"/>
    <w:rsid w:val="00C664D0"/>
    <w:rsid w:val="00D059B6"/>
    <w:rsid w:val="00D22D21"/>
    <w:rsid w:val="00D277C0"/>
    <w:rsid w:val="00D51EC9"/>
    <w:rsid w:val="00D678A8"/>
    <w:rsid w:val="00DC1025"/>
    <w:rsid w:val="00DC6393"/>
    <w:rsid w:val="00DD63FA"/>
    <w:rsid w:val="00DE01B6"/>
    <w:rsid w:val="00DE6E40"/>
    <w:rsid w:val="00DF21F2"/>
    <w:rsid w:val="00E449BF"/>
    <w:rsid w:val="00E804DD"/>
    <w:rsid w:val="00E827D9"/>
    <w:rsid w:val="00E92CFA"/>
    <w:rsid w:val="00EB1706"/>
    <w:rsid w:val="00F01AE7"/>
    <w:rsid w:val="00F13B91"/>
    <w:rsid w:val="00F20309"/>
    <w:rsid w:val="00F65019"/>
    <w:rsid w:val="00FA3644"/>
    <w:rsid w:val="00FD1790"/>
    <w:rsid w:val="00FF4ED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D6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D65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5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725"/>
  </w:style>
  <w:style w:type="paragraph" w:styleId="Footer">
    <w:name w:val="footer"/>
    <w:basedOn w:val="Normal"/>
    <w:link w:val="FooterChar"/>
    <w:uiPriority w:val="99"/>
    <w:unhideWhenUsed/>
    <w:rsid w:val="007B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725"/>
  </w:style>
  <w:style w:type="character" w:styleId="FollowedHyperlink">
    <w:name w:val="FollowedHyperlink"/>
    <w:basedOn w:val="DefaultParagraphFont"/>
    <w:uiPriority w:val="99"/>
    <w:semiHidden/>
    <w:unhideWhenUsed/>
    <w:rsid w:val="004D30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D6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D65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5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725"/>
  </w:style>
  <w:style w:type="paragraph" w:styleId="Footer">
    <w:name w:val="footer"/>
    <w:basedOn w:val="Normal"/>
    <w:link w:val="FooterChar"/>
    <w:uiPriority w:val="99"/>
    <w:unhideWhenUsed/>
    <w:rsid w:val="007B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725"/>
  </w:style>
  <w:style w:type="character" w:styleId="FollowedHyperlink">
    <w:name w:val="FollowedHyperlink"/>
    <w:basedOn w:val="DefaultParagraphFont"/>
    <w:uiPriority w:val="99"/>
    <w:semiHidden/>
    <w:unhideWhenUsed/>
    <w:rsid w:val="004D30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fra/finance/achats/achats_faible_valeur.s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service.prv/fra/finance/achats/acquisition/carte-acq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service.prv/fra/finance/achats/acquisition/carte-acq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ervice.prv/fra/finance/politiques/ad/carte-achat_politique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ervice.prv/fra/finance/politiques/ad/carte-achat_politiques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2016-11-17T18:32:00Z</dcterms:created>
  <dcterms:modified xsi:type="dcterms:W3CDTF">2016-11-17T18:32:00Z</dcterms:modified>
</cp:coreProperties>
</file>