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2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87"/>
        <w:gridCol w:w="6096"/>
        <w:gridCol w:w="1275"/>
        <w:gridCol w:w="2070"/>
      </w:tblGrid>
      <w:tr w:rsidR="00A868E6" w:rsidRPr="00EF2562" w:rsidTr="00F82D95">
        <w:trPr>
          <w:trHeight w:val="525"/>
        </w:trPr>
        <w:tc>
          <w:tcPr>
            <w:tcW w:w="1287" w:type="dxa"/>
            <w:shd w:val="clear" w:color="auto" w:fill="BFBFBF" w:themeFill="background1" w:themeFillShade="BF"/>
            <w:hideMark/>
          </w:tcPr>
          <w:p w:rsidR="00A868E6" w:rsidRPr="00226701" w:rsidRDefault="00226701" w:rsidP="00EF2562">
            <w:pPr>
              <w:jc w:val="center"/>
              <w:rPr>
                <w:b/>
                <w:bCs/>
                <w:lang w:val="fr-CA"/>
              </w:rPr>
            </w:pPr>
            <w:r w:rsidRPr="00226701">
              <w:rPr>
                <w:b/>
                <w:bCs/>
                <w:lang w:val="fr-CA"/>
              </w:rPr>
              <w:t>Pé</w:t>
            </w:r>
            <w:r w:rsidR="00A868E6" w:rsidRPr="00226701">
              <w:rPr>
                <w:b/>
                <w:bCs/>
                <w:lang w:val="fr-CA"/>
              </w:rPr>
              <w:t>riod</w:t>
            </w:r>
            <w:r w:rsidRPr="00226701">
              <w:rPr>
                <w:b/>
                <w:bCs/>
                <w:lang w:val="fr-CA"/>
              </w:rPr>
              <w:t>e</w:t>
            </w:r>
          </w:p>
        </w:tc>
        <w:tc>
          <w:tcPr>
            <w:tcW w:w="6096" w:type="dxa"/>
            <w:shd w:val="clear" w:color="auto" w:fill="BFBFBF" w:themeFill="background1" w:themeFillShade="BF"/>
            <w:hideMark/>
          </w:tcPr>
          <w:p w:rsidR="00A868E6" w:rsidRPr="00226701" w:rsidRDefault="00226701" w:rsidP="001137F0">
            <w:pPr>
              <w:jc w:val="center"/>
              <w:rPr>
                <w:b/>
                <w:bCs/>
                <w:lang w:val="fr-CA"/>
              </w:rPr>
            </w:pPr>
            <w:r w:rsidRPr="00226701">
              <w:rPr>
                <w:b/>
                <w:bCs/>
                <w:lang w:val="fr-CA"/>
              </w:rPr>
              <w:t>Tâches</w:t>
            </w:r>
          </w:p>
        </w:tc>
        <w:tc>
          <w:tcPr>
            <w:tcW w:w="1275" w:type="dxa"/>
            <w:shd w:val="clear" w:color="auto" w:fill="BFBFBF" w:themeFill="background1" w:themeFillShade="BF"/>
            <w:hideMark/>
          </w:tcPr>
          <w:p w:rsidR="00A868E6" w:rsidRPr="00226701" w:rsidRDefault="00226701" w:rsidP="00226701">
            <w:pPr>
              <w:jc w:val="center"/>
              <w:rPr>
                <w:b/>
                <w:bCs/>
                <w:lang w:val="fr-CA"/>
              </w:rPr>
            </w:pPr>
            <w:r w:rsidRPr="00226701">
              <w:rPr>
                <w:b/>
                <w:bCs/>
                <w:lang w:val="fr-CA"/>
              </w:rPr>
              <w:t>Équipes impliqué</w:t>
            </w:r>
            <w:r>
              <w:rPr>
                <w:b/>
                <w:bCs/>
                <w:lang w:val="fr-CA"/>
              </w:rPr>
              <w:t>e</w:t>
            </w:r>
            <w:r w:rsidRPr="00226701">
              <w:rPr>
                <w:b/>
                <w:bCs/>
                <w:lang w:val="fr-CA"/>
              </w:rPr>
              <w:t>s</w:t>
            </w:r>
          </w:p>
        </w:tc>
        <w:tc>
          <w:tcPr>
            <w:tcW w:w="2070" w:type="dxa"/>
            <w:shd w:val="clear" w:color="auto" w:fill="BFBFBF" w:themeFill="background1" w:themeFillShade="BF"/>
            <w:hideMark/>
          </w:tcPr>
          <w:p w:rsidR="00A868E6" w:rsidRPr="00226701" w:rsidRDefault="005951B3" w:rsidP="005951B3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Échéancier </w:t>
            </w:r>
            <w:r w:rsidR="00226701">
              <w:rPr>
                <w:b/>
                <w:bCs/>
                <w:lang w:val="fr-CA"/>
              </w:rPr>
              <w:t>ou</w:t>
            </w:r>
            <w:r w:rsidR="001137F0" w:rsidRPr="00226701">
              <w:rPr>
                <w:b/>
                <w:bCs/>
                <w:lang w:val="fr-CA"/>
              </w:rPr>
              <w:t xml:space="preserve"> Fr</w:t>
            </w:r>
            <w:r w:rsidR="00226701">
              <w:rPr>
                <w:b/>
                <w:bCs/>
                <w:lang w:val="fr-CA"/>
              </w:rPr>
              <w:t>é</w:t>
            </w:r>
            <w:r w:rsidR="001137F0" w:rsidRPr="00226701">
              <w:rPr>
                <w:b/>
                <w:bCs/>
                <w:lang w:val="fr-CA"/>
              </w:rPr>
              <w:t>quenc</w:t>
            </w:r>
            <w:r w:rsidR="00226701">
              <w:rPr>
                <w:b/>
                <w:bCs/>
                <w:lang w:val="fr-CA"/>
              </w:rPr>
              <w:t>e</w:t>
            </w:r>
          </w:p>
        </w:tc>
      </w:tr>
      <w:tr w:rsidR="00A80004" w:rsidRPr="00EF2562" w:rsidTr="00F82D95">
        <w:trPr>
          <w:trHeight w:val="438"/>
        </w:trPr>
        <w:tc>
          <w:tcPr>
            <w:tcW w:w="1287" w:type="dxa"/>
            <w:vMerge w:val="restart"/>
            <w:hideMark/>
          </w:tcPr>
          <w:p w:rsidR="006F4345" w:rsidRPr="00226701" w:rsidRDefault="00FE6AD5" w:rsidP="001F4106">
            <w:pPr>
              <w:jc w:val="center"/>
              <w:rPr>
                <w:b/>
                <w:bCs/>
                <w:lang w:val="fr-CA"/>
              </w:rPr>
            </w:pPr>
            <w:r w:rsidRPr="00226701">
              <w:rPr>
                <w:b/>
                <w:bCs/>
                <w:lang w:val="fr-CA"/>
              </w:rPr>
              <w:t xml:space="preserve">P1 </w:t>
            </w:r>
            <w:r w:rsidR="00226701" w:rsidRPr="00226701">
              <w:rPr>
                <w:b/>
                <w:bCs/>
                <w:lang w:val="fr-CA"/>
              </w:rPr>
              <w:t xml:space="preserve">à </w:t>
            </w:r>
            <w:r w:rsidRPr="00226701">
              <w:rPr>
                <w:b/>
                <w:bCs/>
                <w:lang w:val="fr-CA"/>
              </w:rPr>
              <w:t xml:space="preserve">P12 </w:t>
            </w:r>
            <w:r w:rsidR="00226701" w:rsidRPr="00226701">
              <w:rPr>
                <w:b/>
                <w:bCs/>
                <w:lang w:val="fr-CA"/>
              </w:rPr>
              <w:t>activités mensuelles courantes</w:t>
            </w:r>
            <w:r w:rsidR="00A80004" w:rsidRPr="00226701">
              <w:rPr>
                <w:b/>
                <w:bCs/>
                <w:lang w:val="fr-CA"/>
              </w:rPr>
              <w:t xml:space="preserve"> </w:t>
            </w:r>
          </w:p>
          <w:p w:rsidR="00A80004" w:rsidRPr="00226701" w:rsidRDefault="00A80004" w:rsidP="00FE6AD5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6096" w:type="dxa"/>
            <w:hideMark/>
          </w:tcPr>
          <w:p w:rsidR="00A80004" w:rsidRPr="00402793" w:rsidRDefault="00226701" w:rsidP="00311119">
            <w:pPr>
              <w:rPr>
                <w:lang w:val="fr-CA"/>
              </w:rPr>
            </w:pPr>
            <w:r w:rsidRPr="00226701">
              <w:rPr>
                <w:lang w:val="fr-CA"/>
              </w:rPr>
              <w:t xml:space="preserve">S’assurer qu’une structure </w:t>
            </w:r>
            <w:r>
              <w:rPr>
                <w:lang w:val="fr-CA"/>
              </w:rPr>
              <w:t>I</w:t>
            </w:r>
            <w:r w:rsidR="00A80004" w:rsidRPr="00226701">
              <w:rPr>
                <w:lang w:val="fr-CA"/>
              </w:rPr>
              <w:t xml:space="preserve">O/WBS </w:t>
            </w:r>
            <w:r w:rsidRPr="00226701">
              <w:rPr>
                <w:lang w:val="fr-CA"/>
              </w:rPr>
              <w:t>est créée pour chacun des projets approuvés</w:t>
            </w:r>
            <w:r w:rsidR="00402793">
              <w:rPr>
                <w:lang w:val="fr-CA"/>
              </w:rPr>
              <w:t xml:space="preserve"> </w:t>
            </w:r>
            <w:r w:rsidR="00056BC2" w:rsidRPr="00402793">
              <w:rPr>
                <w:lang w:val="fr-CA"/>
              </w:rPr>
              <w:t>(</w:t>
            </w:r>
            <w:r w:rsidR="00835F4B">
              <w:rPr>
                <w:lang w:val="fr-CA"/>
              </w:rPr>
              <w:t xml:space="preserve">voir </w:t>
            </w:r>
            <w:r w:rsidR="002B01BA">
              <w:rPr>
                <w:lang w:val="fr-CA"/>
              </w:rPr>
              <w:t xml:space="preserve">le </w:t>
            </w:r>
            <w:r w:rsidR="00151E29">
              <w:fldChar w:fldCharType="begin"/>
            </w:r>
            <w:r w:rsidR="00151E29" w:rsidRPr="00151E29">
              <w:rPr>
                <w:lang w:val="fr-CA"/>
              </w:rPr>
              <w:instrText xml:space="preserve"> HYPERLINK "http://iservice.prv/fra/finance/couts/index.shtml" </w:instrText>
            </w:r>
            <w:r w:rsidR="00151E29">
              <w:fldChar w:fldCharType="separate"/>
            </w:r>
            <w:r w:rsidR="00311119">
              <w:rPr>
                <w:rStyle w:val="Hyperlink"/>
                <w:lang w:val="fr-CA"/>
              </w:rPr>
              <w:t>Guide sur l’</w:t>
            </w:r>
            <w:r w:rsidR="00311119">
              <w:rPr>
                <w:rStyle w:val="Hyperlink"/>
                <w:rFonts w:cstheme="minorHAnsi"/>
                <w:lang w:val="fr-CA"/>
              </w:rPr>
              <w:t>é</w:t>
            </w:r>
            <w:r w:rsidR="00311119">
              <w:rPr>
                <w:rStyle w:val="Hyperlink"/>
                <w:lang w:val="fr-CA"/>
              </w:rPr>
              <w:t>tablissement des co</w:t>
            </w:r>
            <w:r w:rsidR="00311119">
              <w:rPr>
                <w:rStyle w:val="Hyperlink"/>
                <w:rFonts w:cstheme="minorHAnsi"/>
                <w:lang w:val="fr-CA"/>
              </w:rPr>
              <w:t>û</w:t>
            </w:r>
            <w:r w:rsidR="00311119">
              <w:rPr>
                <w:rStyle w:val="Hyperlink"/>
                <w:lang w:val="fr-CA"/>
              </w:rPr>
              <w:t>ts de projets et des rapports financiers</w:t>
            </w:r>
            <w:r w:rsidR="00151E29">
              <w:rPr>
                <w:rStyle w:val="Hyperlink"/>
                <w:lang w:val="fr-CA"/>
              </w:rPr>
              <w:fldChar w:fldCharType="end"/>
            </w:r>
            <w:r w:rsidR="00056BC2" w:rsidRPr="00402793">
              <w:rPr>
                <w:lang w:val="fr-CA"/>
              </w:rPr>
              <w:t>)</w:t>
            </w:r>
          </w:p>
        </w:tc>
        <w:tc>
          <w:tcPr>
            <w:tcW w:w="1275" w:type="dxa"/>
            <w:hideMark/>
          </w:tcPr>
          <w:p w:rsidR="00A80004" w:rsidRPr="00EF2562" w:rsidRDefault="00A80004" w:rsidP="006F4345">
            <w:r w:rsidRPr="00EF2562">
              <w:t>1</w:t>
            </w:r>
            <w:r w:rsidR="006F4345">
              <w:t xml:space="preserve"> &amp;</w:t>
            </w:r>
            <w:r w:rsidRPr="00EF2562">
              <w:t xml:space="preserve"> </w:t>
            </w:r>
            <w:r w:rsidR="006F4345">
              <w:t>2</w:t>
            </w:r>
          </w:p>
        </w:tc>
        <w:tc>
          <w:tcPr>
            <w:tcW w:w="2070" w:type="dxa"/>
            <w:hideMark/>
          </w:tcPr>
          <w:p w:rsidR="00A80004" w:rsidRPr="00226701" w:rsidRDefault="00226701" w:rsidP="00226701">
            <w:pPr>
              <w:rPr>
                <w:lang w:val="fr-CA"/>
              </w:rPr>
            </w:pPr>
            <w:r w:rsidRPr="00226701">
              <w:rPr>
                <w:lang w:val="fr-CA"/>
              </w:rPr>
              <w:t>Fin du mois</w:t>
            </w:r>
          </w:p>
        </w:tc>
      </w:tr>
      <w:tr w:rsidR="00A80004" w:rsidRPr="00EF2562" w:rsidTr="00F82D95">
        <w:trPr>
          <w:trHeight w:val="602"/>
        </w:trPr>
        <w:tc>
          <w:tcPr>
            <w:tcW w:w="1287" w:type="dxa"/>
            <w:vMerge/>
            <w:hideMark/>
          </w:tcPr>
          <w:p w:rsidR="00A80004" w:rsidRPr="00EF2562" w:rsidRDefault="00A80004" w:rsidP="00EF2562">
            <w:pPr>
              <w:rPr>
                <w:b/>
                <w:bCs/>
              </w:rPr>
            </w:pPr>
          </w:p>
        </w:tc>
        <w:tc>
          <w:tcPr>
            <w:tcW w:w="6096" w:type="dxa"/>
            <w:hideMark/>
          </w:tcPr>
          <w:p w:rsidR="00A80004" w:rsidRPr="004F75DB" w:rsidRDefault="004F75DB" w:rsidP="00402793">
            <w:pPr>
              <w:rPr>
                <w:lang w:val="fr-CA"/>
              </w:rPr>
            </w:pPr>
            <w:r w:rsidRPr="004F75DB">
              <w:rPr>
                <w:lang w:val="fr-CA"/>
              </w:rPr>
              <w:t xml:space="preserve">S’assurer que tous les coûts salariaux </w:t>
            </w:r>
            <w:r w:rsidR="00A80004" w:rsidRPr="004F75DB">
              <w:rPr>
                <w:lang w:val="fr-CA"/>
              </w:rPr>
              <w:t>(</w:t>
            </w:r>
            <w:r w:rsidRPr="004F75DB">
              <w:rPr>
                <w:lang w:val="fr-CA"/>
              </w:rPr>
              <w:t xml:space="preserve">feuilles de temps </w:t>
            </w:r>
            <w:r w:rsidR="00A80004" w:rsidRPr="004F75DB">
              <w:rPr>
                <w:lang w:val="fr-CA"/>
              </w:rPr>
              <w:t>CATS</w:t>
            </w:r>
            <w:r w:rsidRPr="004F75DB">
              <w:rPr>
                <w:lang w:val="fr-CA"/>
              </w:rPr>
              <w:t xml:space="preserve"> pour les employés de la DG</w:t>
            </w:r>
            <w:r w:rsidR="00402793">
              <w:rPr>
                <w:lang w:val="fr-CA"/>
              </w:rPr>
              <w:t>I</w:t>
            </w:r>
            <w:r w:rsidRPr="004F75DB">
              <w:rPr>
                <w:lang w:val="fr-CA"/>
              </w:rPr>
              <w:t>IT</w:t>
            </w:r>
            <w:r w:rsidR="00A80004" w:rsidRPr="004F75DB">
              <w:rPr>
                <w:lang w:val="fr-CA"/>
              </w:rPr>
              <w:t xml:space="preserve">) </w:t>
            </w:r>
            <w:r w:rsidRPr="004F75DB">
              <w:rPr>
                <w:lang w:val="fr-CA"/>
              </w:rPr>
              <w:t>et non salariaux sont</w:t>
            </w:r>
            <w:r w:rsidR="00402793">
              <w:rPr>
                <w:lang w:val="fr-CA"/>
              </w:rPr>
              <w:t xml:space="preserve"> saisis dans les </w:t>
            </w:r>
            <w:r w:rsidR="00A80004" w:rsidRPr="004F75DB">
              <w:rPr>
                <w:lang w:val="fr-CA"/>
              </w:rPr>
              <w:t>IO/WBS</w:t>
            </w:r>
            <w:r>
              <w:rPr>
                <w:lang w:val="fr-CA"/>
              </w:rPr>
              <w:t xml:space="preserve"> appropriés</w:t>
            </w:r>
          </w:p>
        </w:tc>
        <w:tc>
          <w:tcPr>
            <w:tcW w:w="1275" w:type="dxa"/>
            <w:hideMark/>
          </w:tcPr>
          <w:p w:rsidR="00A80004" w:rsidRPr="00EF2562" w:rsidRDefault="006F4345" w:rsidP="00EF2562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2070" w:type="dxa"/>
            <w:hideMark/>
          </w:tcPr>
          <w:p w:rsidR="00A80004" w:rsidRPr="00EF2562" w:rsidRDefault="00402793">
            <w:r w:rsidRPr="00226701">
              <w:rPr>
                <w:lang w:val="fr-CA"/>
              </w:rPr>
              <w:t>Fin du mois</w:t>
            </w:r>
          </w:p>
        </w:tc>
      </w:tr>
      <w:tr w:rsidR="00D82C16" w:rsidRPr="00151E29" w:rsidTr="00F82D95">
        <w:trPr>
          <w:trHeight w:val="602"/>
        </w:trPr>
        <w:tc>
          <w:tcPr>
            <w:tcW w:w="1287" w:type="dxa"/>
            <w:vMerge/>
          </w:tcPr>
          <w:p w:rsidR="00D82C16" w:rsidRPr="00EF2562" w:rsidRDefault="00D82C16" w:rsidP="00EF2562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:rsidR="00D82C16" w:rsidRPr="00402793" w:rsidRDefault="00402793" w:rsidP="00402793">
            <w:pPr>
              <w:rPr>
                <w:lang w:val="fr-CA"/>
              </w:rPr>
            </w:pPr>
            <w:r w:rsidRPr="00402793">
              <w:rPr>
                <w:lang w:val="fr-CA"/>
              </w:rPr>
              <w:t>Enregistrer les PJ requise</w:t>
            </w:r>
            <w:r>
              <w:rPr>
                <w:lang w:val="fr-CA"/>
              </w:rPr>
              <w:t>s</w:t>
            </w:r>
            <w:r w:rsidRPr="00402793">
              <w:rPr>
                <w:lang w:val="fr-CA"/>
              </w:rPr>
              <w:t xml:space="preserve"> pour le réalignement des coûts des projets </w:t>
            </w:r>
            <w:r w:rsidR="00D82C16" w:rsidRPr="00402793">
              <w:rPr>
                <w:lang w:val="fr-CA"/>
              </w:rPr>
              <w:t>(</w:t>
            </w:r>
            <w:r>
              <w:rPr>
                <w:lang w:val="fr-CA"/>
              </w:rPr>
              <w:t>coûts salariaux et non salariaux pour les centres de coûts qui n’utilisent pas C</w:t>
            </w:r>
            <w:r w:rsidR="00DE7F59" w:rsidRPr="00402793">
              <w:rPr>
                <w:lang w:val="fr-CA"/>
              </w:rPr>
              <w:t>ATS)</w:t>
            </w:r>
          </w:p>
        </w:tc>
        <w:tc>
          <w:tcPr>
            <w:tcW w:w="1275" w:type="dxa"/>
          </w:tcPr>
          <w:p w:rsidR="00D82C16" w:rsidRPr="00EF2562" w:rsidRDefault="006F4345" w:rsidP="001020A3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2070" w:type="dxa"/>
          </w:tcPr>
          <w:p w:rsidR="00DE7F59" w:rsidRPr="00402793" w:rsidRDefault="00402793" w:rsidP="00D82C16">
            <w:pPr>
              <w:rPr>
                <w:lang w:val="fr-CA"/>
              </w:rPr>
            </w:pPr>
            <w:r w:rsidRPr="00226701">
              <w:rPr>
                <w:lang w:val="fr-CA"/>
              </w:rPr>
              <w:t>Fin du mois</w:t>
            </w:r>
            <w:r>
              <w:rPr>
                <w:lang w:val="fr-CA"/>
              </w:rPr>
              <w:t xml:space="preserve"> / À tous les trimestres</w:t>
            </w:r>
          </w:p>
        </w:tc>
      </w:tr>
      <w:tr w:rsidR="006754FD" w:rsidRPr="00EF2562" w:rsidTr="00CB189D">
        <w:trPr>
          <w:trHeight w:val="869"/>
        </w:trPr>
        <w:tc>
          <w:tcPr>
            <w:tcW w:w="1287" w:type="dxa"/>
            <w:vMerge/>
          </w:tcPr>
          <w:p w:rsidR="006754FD" w:rsidRPr="00402793" w:rsidRDefault="006754FD" w:rsidP="00EF2562">
            <w:pPr>
              <w:rPr>
                <w:b/>
                <w:bCs/>
                <w:lang w:val="fr-CA"/>
              </w:rPr>
            </w:pPr>
          </w:p>
        </w:tc>
        <w:tc>
          <w:tcPr>
            <w:tcW w:w="6096" w:type="dxa"/>
          </w:tcPr>
          <w:p w:rsidR="006754FD" w:rsidRPr="00CB189D" w:rsidRDefault="006754FD" w:rsidP="00CB189D">
            <w:pPr>
              <w:pStyle w:val="Default"/>
              <w:rPr>
                <w:rFonts w:asciiTheme="minorHAnsi" w:hAnsiTheme="minorHAnsi" w:cstheme="minorHAnsi"/>
                <w:sz w:val="22"/>
                <w:lang w:val="fr-CA"/>
              </w:rPr>
            </w:pPr>
            <w:r w:rsidRPr="00CB189D">
              <w:rPr>
                <w:rFonts w:asciiTheme="minorHAnsi" w:hAnsiTheme="minorHAnsi" w:cstheme="minorHAnsi"/>
                <w:sz w:val="22"/>
                <w:lang w:val="fr-CA"/>
              </w:rPr>
              <w:t xml:space="preserve">Pour tous les projets de logiciels développés à l’interne excédant 10K$ soumettre un </w:t>
            </w:r>
            <w:r w:rsidR="00151E29">
              <w:fldChar w:fldCharType="begin"/>
            </w:r>
            <w:r w:rsidR="00151E29" w:rsidRPr="00151E29">
              <w:rPr>
                <w:lang w:val="fr-CA"/>
              </w:rPr>
              <w:instrText xml:space="preserve"> HYPERLINK "http://iservice.prv/fra/finance/cmprd/docs/aec_formulaire_demande.xlsx" </w:instrText>
            </w:r>
            <w:r w:rsidR="00151E29">
              <w:fldChar w:fldCharType="separate"/>
            </w:r>
            <w:r w:rsidRPr="00CB189D">
              <w:rPr>
                <w:rStyle w:val="Hyperlink"/>
                <w:rFonts w:asciiTheme="minorHAnsi" w:hAnsiTheme="minorHAnsi" w:cstheme="minorHAnsi"/>
                <w:sz w:val="22"/>
                <w:lang w:val="fr-CA"/>
              </w:rPr>
              <w:t>Formulaire de critères d’AEC</w:t>
            </w:r>
            <w:r w:rsidR="00151E29">
              <w:rPr>
                <w:rStyle w:val="Hyperlink"/>
                <w:rFonts w:asciiTheme="minorHAnsi" w:hAnsiTheme="minorHAnsi" w:cstheme="minorHAnsi"/>
                <w:sz w:val="22"/>
                <w:lang w:val="fr-CA"/>
              </w:rPr>
              <w:fldChar w:fldCharType="end"/>
            </w:r>
            <w:r w:rsidRPr="00CB189D">
              <w:rPr>
                <w:rStyle w:val="Hyperlink"/>
                <w:rFonts w:asciiTheme="minorHAnsi" w:hAnsiTheme="minorHAnsi" w:cstheme="minorHAnsi"/>
                <w:sz w:val="22"/>
                <w:lang w:val="fr-CA"/>
              </w:rPr>
              <w:t xml:space="preserve"> </w:t>
            </w:r>
            <w:r w:rsidRPr="00CB189D">
              <w:rPr>
                <w:rFonts w:asciiTheme="minorHAnsi" w:hAnsiTheme="minorHAnsi" w:cstheme="minorHAnsi"/>
                <w:sz w:val="22"/>
                <w:lang w:val="fr-CA"/>
              </w:rPr>
              <w:t xml:space="preserve">à la </w:t>
            </w:r>
            <w:r w:rsidR="00151E29">
              <w:fldChar w:fldCharType="begin"/>
            </w:r>
            <w:r w:rsidR="00151E29" w:rsidRPr="00151E29">
              <w:rPr>
                <w:lang w:val="fr-CA"/>
              </w:rPr>
              <w:instrText xml:space="preserve"> HYPERLINK "mailto:NA</w:instrText>
            </w:r>
            <w:r w:rsidR="00151E29" w:rsidRPr="00151E29">
              <w:rPr>
                <w:lang w:val="fr-CA"/>
              </w:rPr>
              <w:instrText xml:space="preserve">-ASSETS-IMMOBILISATIONS-GD" </w:instrText>
            </w:r>
            <w:r w:rsidR="00151E29">
              <w:fldChar w:fldCharType="separate"/>
            </w:r>
            <w:r w:rsidRPr="00CB189D">
              <w:rPr>
                <w:rStyle w:val="Hyperlink"/>
                <w:rFonts w:asciiTheme="minorHAnsi" w:hAnsiTheme="minorHAnsi" w:cstheme="minorHAnsi"/>
                <w:sz w:val="22"/>
                <w:lang w:val="fr-CA"/>
              </w:rPr>
              <w:t>boite de courriel des immobilisations</w:t>
            </w:r>
            <w:r w:rsidR="00151E29">
              <w:rPr>
                <w:rStyle w:val="Hyperlink"/>
                <w:rFonts w:asciiTheme="minorHAnsi" w:hAnsiTheme="minorHAnsi" w:cstheme="minorHAnsi"/>
                <w:sz w:val="22"/>
                <w:lang w:val="fr-CA"/>
              </w:rPr>
              <w:fldChar w:fldCharType="end"/>
            </w:r>
            <w:r w:rsidRPr="00CB189D">
              <w:rPr>
                <w:rFonts w:asciiTheme="minorHAnsi" w:hAnsiTheme="minorHAnsi" w:cstheme="minorHAnsi"/>
                <w:sz w:val="22"/>
                <w:lang w:val="fr-CA"/>
              </w:rPr>
              <w:t xml:space="preserve"> </w:t>
            </w:r>
            <w:r w:rsidR="00311119" w:rsidRPr="00CB189D">
              <w:rPr>
                <w:rFonts w:asciiTheme="minorHAnsi" w:hAnsiTheme="minorHAnsi" w:cstheme="minorHAnsi"/>
                <w:b/>
                <w:sz w:val="22"/>
                <w:u w:val="single"/>
                <w:lang w:val="fr-CA"/>
              </w:rPr>
              <w:t>à l’</w:t>
            </w:r>
            <w:r w:rsidR="00685AAA" w:rsidRPr="00CB189D">
              <w:rPr>
                <w:rFonts w:asciiTheme="minorHAnsi" w:hAnsiTheme="minorHAnsi" w:cstheme="minorHAnsi"/>
                <w:b/>
                <w:sz w:val="22"/>
                <w:u w:val="single"/>
                <w:lang w:val="fr-CA"/>
              </w:rPr>
              <w:t>ÉTAPE</w:t>
            </w:r>
            <w:r w:rsidR="00311119" w:rsidRPr="00CB189D">
              <w:rPr>
                <w:rFonts w:asciiTheme="minorHAnsi" w:hAnsiTheme="minorHAnsi" w:cstheme="minorHAnsi"/>
                <w:b/>
                <w:sz w:val="22"/>
                <w:u w:val="single"/>
                <w:lang w:val="fr-CA"/>
              </w:rPr>
              <w:t xml:space="preserve"> 2</w:t>
            </w:r>
            <w:r w:rsidR="00311119" w:rsidRPr="00CB189D">
              <w:rPr>
                <w:rFonts w:asciiTheme="minorHAnsi" w:hAnsiTheme="minorHAnsi" w:cstheme="minorHAnsi"/>
                <w:sz w:val="22"/>
                <w:lang w:val="fr-CA"/>
              </w:rPr>
              <w:t xml:space="preserve">. </w:t>
            </w:r>
          </w:p>
        </w:tc>
        <w:tc>
          <w:tcPr>
            <w:tcW w:w="1275" w:type="dxa"/>
          </w:tcPr>
          <w:p w:rsidR="006754FD" w:rsidRPr="00EF2562" w:rsidRDefault="006754FD" w:rsidP="001020A3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2070" w:type="dxa"/>
          </w:tcPr>
          <w:p w:rsidR="006754FD" w:rsidRPr="00EF2562" w:rsidRDefault="006754FD" w:rsidP="001020A3">
            <w:r w:rsidRPr="00226701">
              <w:rPr>
                <w:lang w:val="fr-CA"/>
              </w:rPr>
              <w:t>Fin du mois</w:t>
            </w:r>
          </w:p>
        </w:tc>
      </w:tr>
      <w:tr w:rsidR="00D82C16" w:rsidRPr="00EF2562" w:rsidTr="00F82D95">
        <w:trPr>
          <w:trHeight w:val="564"/>
        </w:trPr>
        <w:tc>
          <w:tcPr>
            <w:tcW w:w="1287" w:type="dxa"/>
            <w:vMerge/>
            <w:hideMark/>
          </w:tcPr>
          <w:p w:rsidR="00D82C16" w:rsidRPr="00EF2562" w:rsidRDefault="00D82C16" w:rsidP="00EF2562">
            <w:pPr>
              <w:rPr>
                <w:b/>
                <w:bCs/>
              </w:rPr>
            </w:pPr>
          </w:p>
        </w:tc>
        <w:tc>
          <w:tcPr>
            <w:tcW w:w="6096" w:type="dxa"/>
            <w:hideMark/>
          </w:tcPr>
          <w:p w:rsidR="00D82C16" w:rsidRPr="00A71C41" w:rsidRDefault="00A71C41" w:rsidP="00A71C41">
            <w:pPr>
              <w:rPr>
                <w:lang w:val="fr-CA"/>
              </w:rPr>
            </w:pPr>
            <w:bookmarkStart w:id="0" w:name="lt_pId555"/>
            <w:r w:rsidRPr="00A71C41">
              <w:rPr>
                <w:lang w:val="fr-CA"/>
              </w:rPr>
              <w:t xml:space="preserve">Établir les règles d’imputation pour </w:t>
            </w:r>
            <w:r>
              <w:rPr>
                <w:lang w:val="fr-CA"/>
              </w:rPr>
              <w:t>chaque projet et au besoin, établir les imputations manuelles</w:t>
            </w:r>
            <w:bookmarkEnd w:id="0"/>
            <w:r w:rsidR="005C3D53">
              <w:rPr>
                <w:lang w:val="fr-CA"/>
              </w:rPr>
              <w:t xml:space="preserve"> </w:t>
            </w:r>
            <w:r w:rsidR="00FA4A8E">
              <w:rPr>
                <w:lang w:val="fr-CA"/>
              </w:rPr>
              <w:t>pour des projets spécifiques</w:t>
            </w:r>
          </w:p>
        </w:tc>
        <w:tc>
          <w:tcPr>
            <w:tcW w:w="1275" w:type="dxa"/>
            <w:hideMark/>
          </w:tcPr>
          <w:p w:rsidR="00D82C16" w:rsidRPr="00EF2562" w:rsidRDefault="006F4345" w:rsidP="00EF2562">
            <w:r w:rsidRPr="00EF2562">
              <w:t>1</w:t>
            </w:r>
            <w:r>
              <w:t xml:space="preserve"> &amp;</w:t>
            </w:r>
            <w:r w:rsidRPr="00EF2562">
              <w:t xml:space="preserve"> </w:t>
            </w:r>
            <w:r>
              <w:t>2</w:t>
            </w:r>
          </w:p>
        </w:tc>
        <w:tc>
          <w:tcPr>
            <w:tcW w:w="2070" w:type="dxa"/>
            <w:hideMark/>
          </w:tcPr>
          <w:p w:rsidR="00D82C16" w:rsidRPr="00EF2562" w:rsidRDefault="00263754">
            <w:r w:rsidRPr="00226701">
              <w:rPr>
                <w:lang w:val="fr-CA"/>
              </w:rPr>
              <w:t>Fin du mois</w:t>
            </w:r>
          </w:p>
        </w:tc>
      </w:tr>
      <w:tr w:rsidR="00D82C16" w:rsidRPr="00151E29" w:rsidTr="00F82D95">
        <w:trPr>
          <w:trHeight w:val="315"/>
        </w:trPr>
        <w:tc>
          <w:tcPr>
            <w:tcW w:w="1287" w:type="dxa"/>
            <w:vMerge/>
            <w:hideMark/>
          </w:tcPr>
          <w:p w:rsidR="00D82C16" w:rsidRPr="00EF2562" w:rsidRDefault="00D82C16" w:rsidP="00EF2562">
            <w:pPr>
              <w:rPr>
                <w:b/>
                <w:bCs/>
              </w:rPr>
            </w:pPr>
          </w:p>
        </w:tc>
        <w:tc>
          <w:tcPr>
            <w:tcW w:w="6096" w:type="dxa"/>
            <w:hideMark/>
          </w:tcPr>
          <w:p w:rsidR="00D82C16" w:rsidRPr="002E39A5" w:rsidRDefault="00FA4A8E" w:rsidP="00BC476A">
            <w:pPr>
              <w:rPr>
                <w:lang w:val="fr-CA"/>
              </w:rPr>
            </w:pPr>
            <w:r>
              <w:rPr>
                <w:lang w:val="fr-CA"/>
              </w:rPr>
              <w:t>Exécuter</w:t>
            </w:r>
            <w:r w:rsidR="002E39A5" w:rsidRPr="002E39A5">
              <w:rPr>
                <w:lang w:val="fr-CA"/>
              </w:rPr>
              <w:t xml:space="preserve"> l</w:t>
            </w:r>
            <w:r>
              <w:rPr>
                <w:lang w:val="fr-CA"/>
              </w:rPr>
              <w:t>a répartition</w:t>
            </w:r>
            <w:r w:rsidR="002E39A5" w:rsidRPr="002E39A5">
              <w:rPr>
                <w:lang w:val="fr-CA"/>
              </w:rPr>
              <w:t xml:space="preserve"> des coûts (temps non productif, cotisations de l’employe</w:t>
            </w:r>
            <w:r w:rsidR="002E39A5">
              <w:rPr>
                <w:lang w:val="fr-CA"/>
              </w:rPr>
              <w:t>u</w:t>
            </w:r>
            <w:r w:rsidR="002E39A5" w:rsidRPr="002E39A5">
              <w:rPr>
                <w:lang w:val="fr-CA"/>
              </w:rPr>
              <w:t>r, etc.) et</w:t>
            </w:r>
            <w:r>
              <w:rPr>
                <w:lang w:val="fr-CA"/>
              </w:rPr>
              <w:t xml:space="preserve"> ex</w:t>
            </w:r>
            <w:r w:rsidR="00BC476A">
              <w:rPr>
                <w:lang w:val="fr-CA"/>
              </w:rPr>
              <w:t>é</w:t>
            </w:r>
            <w:r>
              <w:rPr>
                <w:lang w:val="fr-CA"/>
              </w:rPr>
              <w:t>cuter</w:t>
            </w:r>
            <w:r w:rsidR="002E39A5" w:rsidRPr="002E39A5">
              <w:rPr>
                <w:lang w:val="fr-CA"/>
              </w:rPr>
              <w:t xml:space="preserve">  les imputations mensuelles en s’assurant que tous les co</w:t>
            </w:r>
            <w:r w:rsidR="002E39A5">
              <w:rPr>
                <w:lang w:val="fr-CA"/>
              </w:rPr>
              <w:t>ûts sont imputés</w:t>
            </w:r>
          </w:p>
        </w:tc>
        <w:tc>
          <w:tcPr>
            <w:tcW w:w="1275" w:type="dxa"/>
            <w:hideMark/>
          </w:tcPr>
          <w:p w:rsidR="00D82C16" w:rsidRPr="00EF2562" w:rsidRDefault="001C06D7" w:rsidP="00EF2562">
            <w:r>
              <w:t>9</w:t>
            </w:r>
          </w:p>
        </w:tc>
        <w:tc>
          <w:tcPr>
            <w:tcW w:w="2070" w:type="dxa"/>
            <w:hideMark/>
          </w:tcPr>
          <w:p w:rsidR="00D82C16" w:rsidRPr="00BF46AA" w:rsidRDefault="00D82C16" w:rsidP="00AE4747">
            <w:pPr>
              <w:rPr>
                <w:vertAlign w:val="superscript"/>
                <w:lang w:val="fr-CA"/>
              </w:rPr>
            </w:pPr>
            <w:r w:rsidRPr="002E39A5">
              <w:rPr>
                <w:lang w:val="fr-CA"/>
              </w:rPr>
              <w:t>3</w:t>
            </w:r>
            <w:r w:rsidR="002E39A5" w:rsidRPr="002E39A5">
              <w:rPr>
                <w:vertAlign w:val="superscript"/>
                <w:lang w:val="fr-CA"/>
              </w:rPr>
              <w:t>e</w:t>
            </w:r>
            <w:r w:rsidRPr="002E39A5">
              <w:rPr>
                <w:vertAlign w:val="superscript"/>
                <w:lang w:val="fr-CA"/>
              </w:rPr>
              <w:t xml:space="preserve"> </w:t>
            </w:r>
            <w:r w:rsidR="002E39A5" w:rsidRPr="002E39A5">
              <w:rPr>
                <w:lang w:val="fr-CA"/>
              </w:rPr>
              <w:t xml:space="preserve">jour ouvrable </w:t>
            </w:r>
            <w:r w:rsidR="00AE4747">
              <w:rPr>
                <w:lang w:val="fr-CA"/>
              </w:rPr>
              <w:t xml:space="preserve">après </w:t>
            </w:r>
            <w:r w:rsidR="002E39A5" w:rsidRPr="002E39A5">
              <w:rPr>
                <w:lang w:val="fr-CA"/>
              </w:rPr>
              <w:t>la fin d</w:t>
            </w:r>
            <w:r w:rsidR="002E39A5">
              <w:rPr>
                <w:lang w:val="fr-CA"/>
              </w:rPr>
              <w:t>u</w:t>
            </w:r>
            <w:r w:rsidR="002E39A5" w:rsidRPr="002E39A5">
              <w:rPr>
                <w:lang w:val="fr-CA"/>
              </w:rPr>
              <w:t xml:space="preserve"> mois</w:t>
            </w:r>
            <w:r w:rsidR="00BF46AA">
              <w:rPr>
                <w:vertAlign w:val="superscript"/>
                <w:lang w:val="fr-CA"/>
              </w:rPr>
              <w:t>1</w:t>
            </w:r>
          </w:p>
        </w:tc>
      </w:tr>
      <w:tr w:rsidR="00D82C16" w:rsidRPr="00151E29" w:rsidTr="00BC476A">
        <w:trPr>
          <w:trHeight w:val="593"/>
        </w:trPr>
        <w:tc>
          <w:tcPr>
            <w:tcW w:w="1287" w:type="dxa"/>
            <w:vMerge/>
            <w:hideMark/>
          </w:tcPr>
          <w:p w:rsidR="00D82C16" w:rsidRPr="002E39A5" w:rsidRDefault="00D82C16" w:rsidP="00EF2562">
            <w:pPr>
              <w:rPr>
                <w:b/>
                <w:bCs/>
                <w:lang w:val="fr-CA"/>
              </w:rPr>
            </w:pPr>
          </w:p>
        </w:tc>
        <w:tc>
          <w:tcPr>
            <w:tcW w:w="6096" w:type="dxa"/>
          </w:tcPr>
          <w:p w:rsidR="00D82C16" w:rsidRPr="005951B3" w:rsidRDefault="002E39A5" w:rsidP="00320CD3">
            <w:pPr>
              <w:rPr>
                <w:lang w:val="fr-CA"/>
              </w:rPr>
            </w:pPr>
            <w:r w:rsidRPr="002E39A5">
              <w:rPr>
                <w:lang w:val="fr-CA"/>
              </w:rPr>
              <w:t>Imputation des projets complét</w:t>
            </w:r>
            <w:r>
              <w:rPr>
                <w:lang w:val="fr-CA"/>
              </w:rPr>
              <w:t>é</w:t>
            </w:r>
            <w:r w:rsidRPr="002E39A5">
              <w:rPr>
                <w:lang w:val="fr-CA"/>
              </w:rPr>
              <w:t xml:space="preserve">s </w:t>
            </w:r>
            <w:r>
              <w:rPr>
                <w:lang w:val="fr-CA"/>
              </w:rPr>
              <w:t>de l’AEC à l</w:t>
            </w:r>
            <w:r w:rsidR="00E27EF0">
              <w:rPr>
                <w:lang w:val="fr-CA"/>
              </w:rPr>
              <w:t>a fiche immobilisation</w:t>
            </w:r>
            <w:r w:rsidRPr="002E39A5">
              <w:rPr>
                <w:lang w:val="fr-CA"/>
              </w:rPr>
              <w:t xml:space="preserve"> final</w:t>
            </w:r>
            <w:r w:rsidR="00E27EF0">
              <w:rPr>
                <w:lang w:val="fr-CA"/>
              </w:rPr>
              <w:t>e</w:t>
            </w:r>
          </w:p>
        </w:tc>
        <w:tc>
          <w:tcPr>
            <w:tcW w:w="1275" w:type="dxa"/>
          </w:tcPr>
          <w:p w:rsidR="00D82C16" w:rsidRPr="00EF2562" w:rsidRDefault="001C06D7" w:rsidP="001020A3">
            <w:r>
              <w:t>3</w:t>
            </w:r>
          </w:p>
        </w:tc>
        <w:tc>
          <w:tcPr>
            <w:tcW w:w="2070" w:type="dxa"/>
          </w:tcPr>
          <w:p w:rsidR="00D82C16" w:rsidRPr="00BF46AA" w:rsidRDefault="00AE4747" w:rsidP="002E39A5">
            <w:pPr>
              <w:rPr>
                <w:vertAlign w:val="superscript"/>
                <w:lang w:val="fr-CA"/>
              </w:rPr>
            </w:pPr>
            <w:r>
              <w:rPr>
                <w:lang w:val="fr-CA"/>
              </w:rPr>
              <w:t>4</w:t>
            </w:r>
            <w:r w:rsidRPr="002E39A5">
              <w:rPr>
                <w:vertAlign w:val="superscript"/>
                <w:lang w:val="fr-CA"/>
              </w:rPr>
              <w:t xml:space="preserve">e </w:t>
            </w:r>
            <w:r w:rsidRPr="002E39A5">
              <w:rPr>
                <w:lang w:val="fr-CA"/>
              </w:rPr>
              <w:t xml:space="preserve">jour ouvrable </w:t>
            </w:r>
            <w:r>
              <w:rPr>
                <w:lang w:val="fr-CA"/>
              </w:rPr>
              <w:t xml:space="preserve">après </w:t>
            </w:r>
            <w:r w:rsidRPr="002E39A5">
              <w:rPr>
                <w:lang w:val="fr-CA"/>
              </w:rPr>
              <w:t>la fin d</w:t>
            </w:r>
            <w:r>
              <w:rPr>
                <w:lang w:val="fr-CA"/>
              </w:rPr>
              <w:t>u</w:t>
            </w:r>
            <w:r w:rsidRPr="002E39A5">
              <w:rPr>
                <w:lang w:val="fr-CA"/>
              </w:rPr>
              <w:t xml:space="preserve"> mois</w:t>
            </w:r>
            <w:r w:rsidR="00BF46AA">
              <w:rPr>
                <w:vertAlign w:val="superscript"/>
                <w:lang w:val="fr-CA"/>
              </w:rPr>
              <w:t>2</w:t>
            </w:r>
          </w:p>
        </w:tc>
      </w:tr>
      <w:tr w:rsidR="002E39A5" w:rsidRPr="00151E29" w:rsidTr="00F82D95">
        <w:trPr>
          <w:trHeight w:val="540"/>
        </w:trPr>
        <w:tc>
          <w:tcPr>
            <w:tcW w:w="1287" w:type="dxa"/>
            <w:vMerge/>
          </w:tcPr>
          <w:p w:rsidR="002E39A5" w:rsidRPr="002E39A5" w:rsidRDefault="002E39A5" w:rsidP="00EF2562">
            <w:pPr>
              <w:rPr>
                <w:b/>
                <w:bCs/>
                <w:lang w:val="fr-CA"/>
              </w:rPr>
            </w:pPr>
          </w:p>
        </w:tc>
        <w:tc>
          <w:tcPr>
            <w:tcW w:w="6096" w:type="dxa"/>
          </w:tcPr>
          <w:p w:rsidR="002E39A5" w:rsidRPr="002E39A5" w:rsidRDefault="00BC476A" w:rsidP="00BC476A">
            <w:pPr>
              <w:rPr>
                <w:lang w:val="fr-CA"/>
              </w:rPr>
            </w:pPr>
            <w:r>
              <w:rPr>
                <w:lang w:val="fr-CA"/>
              </w:rPr>
              <w:t>Évaluer</w:t>
            </w:r>
            <w:r w:rsidR="002E39A5" w:rsidRPr="002E39A5">
              <w:rPr>
                <w:lang w:val="fr-CA"/>
              </w:rPr>
              <w:t xml:space="preserve"> la raisonnabilité et procéder à l</w:t>
            </w:r>
            <w:r w:rsidR="002E39A5">
              <w:rPr>
                <w:lang w:val="fr-CA"/>
              </w:rPr>
              <w:t>’enregistrement de l</w:t>
            </w:r>
            <w:r w:rsidR="002E39A5" w:rsidRPr="002E39A5">
              <w:rPr>
                <w:lang w:val="fr-CA"/>
              </w:rPr>
              <w:t>a dépense d’amortissement</w:t>
            </w:r>
            <w:r w:rsidR="002E39A5">
              <w:rPr>
                <w:lang w:val="fr-CA"/>
              </w:rPr>
              <w:t xml:space="preserve"> mensuelle</w:t>
            </w:r>
          </w:p>
        </w:tc>
        <w:tc>
          <w:tcPr>
            <w:tcW w:w="1275" w:type="dxa"/>
          </w:tcPr>
          <w:p w:rsidR="002E39A5" w:rsidRPr="00EF2562" w:rsidRDefault="002E39A5" w:rsidP="00ED2AC6">
            <w:r>
              <w:t>3</w:t>
            </w:r>
          </w:p>
        </w:tc>
        <w:tc>
          <w:tcPr>
            <w:tcW w:w="2070" w:type="dxa"/>
          </w:tcPr>
          <w:p w:rsidR="002E39A5" w:rsidRPr="00BF46AA" w:rsidRDefault="00AE4747" w:rsidP="006374D8">
            <w:pPr>
              <w:rPr>
                <w:vertAlign w:val="superscript"/>
                <w:lang w:val="fr-CA"/>
              </w:rPr>
            </w:pPr>
            <w:r>
              <w:rPr>
                <w:lang w:val="fr-CA"/>
              </w:rPr>
              <w:t>4</w:t>
            </w:r>
            <w:r w:rsidRPr="002E39A5">
              <w:rPr>
                <w:vertAlign w:val="superscript"/>
                <w:lang w:val="fr-CA"/>
              </w:rPr>
              <w:t xml:space="preserve">e </w:t>
            </w:r>
            <w:r w:rsidRPr="002E39A5">
              <w:rPr>
                <w:lang w:val="fr-CA"/>
              </w:rPr>
              <w:t xml:space="preserve">jour ouvrable </w:t>
            </w:r>
            <w:r>
              <w:rPr>
                <w:lang w:val="fr-CA"/>
              </w:rPr>
              <w:t xml:space="preserve">après </w:t>
            </w:r>
            <w:r w:rsidRPr="002E39A5">
              <w:rPr>
                <w:lang w:val="fr-CA"/>
              </w:rPr>
              <w:t>la fin d</w:t>
            </w:r>
            <w:r>
              <w:rPr>
                <w:lang w:val="fr-CA"/>
              </w:rPr>
              <w:t>u</w:t>
            </w:r>
            <w:r w:rsidRPr="002E39A5">
              <w:rPr>
                <w:lang w:val="fr-CA"/>
              </w:rPr>
              <w:t xml:space="preserve"> mois</w:t>
            </w:r>
            <w:r w:rsidR="00BF46AA">
              <w:rPr>
                <w:vertAlign w:val="superscript"/>
                <w:lang w:val="fr-CA"/>
              </w:rPr>
              <w:t>2</w:t>
            </w:r>
          </w:p>
        </w:tc>
      </w:tr>
      <w:tr w:rsidR="002E39A5" w:rsidRPr="00151E29" w:rsidTr="00F82D95">
        <w:trPr>
          <w:trHeight w:val="540"/>
        </w:trPr>
        <w:tc>
          <w:tcPr>
            <w:tcW w:w="1287" w:type="dxa"/>
            <w:vMerge/>
          </w:tcPr>
          <w:p w:rsidR="002E39A5" w:rsidRPr="002E39A5" w:rsidRDefault="002E39A5" w:rsidP="00EF2562">
            <w:pPr>
              <w:rPr>
                <w:b/>
                <w:bCs/>
                <w:lang w:val="fr-CA"/>
              </w:rPr>
            </w:pPr>
          </w:p>
        </w:tc>
        <w:tc>
          <w:tcPr>
            <w:tcW w:w="6096" w:type="dxa"/>
          </w:tcPr>
          <w:p w:rsidR="002E39A5" w:rsidRPr="00AE22C7" w:rsidRDefault="00AE22C7" w:rsidP="00AE4747">
            <w:pPr>
              <w:rPr>
                <w:lang w:val="fr-CA"/>
              </w:rPr>
            </w:pPr>
            <w:r w:rsidRPr="00AE22C7">
              <w:rPr>
                <w:lang w:val="fr-CA"/>
              </w:rPr>
              <w:t>Envoyer la balance de v</w:t>
            </w:r>
            <w:r>
              <w:rPr>
                <w:lang w:val="fr-CA"/>
              </w:rPr>
              <w:t>é</w:t>
            </w:r>
            <w:r w:rsidRPr="00AE22C7">
              <w:rPr>
                <w:lang w:val="fr-CA"/>
              </w:rPr>
              <w:t>rification mensuelle au Receveur Général</w:t>
            </w:r>
          </w:p>
        </w:tc>
        <w:tc>
          <w:tcPr>
            <w:tcW w:w="1275" w:type="dxa"/>
          </w:tcPr>
          <w:p w:rsidR="002E39A5" w:rsidRPr="00EF2562" w:rsidRDefault="002E39A5" w:rsidP="001020A3">
            <w:r>
              <w:t>3</w:t>
            </w:r>
          </w:p>
        </w:tc>
        <w:tc>
          <w:tcPr>
            <w:tcW w:w="2070" w:type="dxa"/>
          </w:tcPr>
          <w:p w:rsidR="002E39A5" w:rsidRPr="00BF46AA" w:rsidRDefault="00AE4747" w:rsidP="00AE4747">
            <w:pPr>
              <w:rPr>
                <w:vertAlign w:val="superscript"/>
                <w:lang w:val="fr-CA"/>
              </w:rPr>
            </w:pPr>
            <w:r>
              <w:rPr>
                <w:lang w:val="fr-CA"/>
              </w:rPr>
              <w:t>5</w:t>
            </w:r>
            <w:r w:rsidRPr="002E39A5">
              <w:rPr>
                <w:vertAlign w:val="superscript"/>
                <w:lang w:val="fr-CA"/>
              </w:rPr>
              <w:t xml:space="preserve">e </w:t>
            </w:r>
            <w:r w:rsidRPr="002E39A5">
              <w:rPr>
                <w:lang w:val="fr-CA"/>
              </w:rPr>
              <w:t xml:space="preserve">jour ouvrable </w:t>
            </w:r>
            <w:r>
              <w:rPr>
                <w:lang w:val="fr-CA"/>
              </w:rPr>
              <w:t xml:space="preserve">après </w:t>
            </w:r>
            <w:r w:rsidRPr="002E39A5">
              <w:rPr>
                <w:lang w:val="fr-CA"/>
              </w:rPr>
              <w:t>la fin d</w:t>
            </w:r>
            <w:r>
              <w:rPr>
                <w:lang w:val="fr-CA"/>
              </w:rPr>
              <w:t>u</w:t>
            </w:r>
            <w:r w:rsidRPr="002E39A5">
              <w:rPr>
                <w:lang w:val="fr-CA"/>
              </w:rPr>
              <w:t xml:space="preserve"> mois</w:t>
            </w:r>
            <w:r w:rsidR="00BF46AA">
              <w:rPr>
                <w:vertAlign w:val="superscript"/>
                <w:lang w:val="fr-CA"/>
              </w:rPr>
              <w:t>3</w:t>
            </w:r>
          </w:p>
        </w:tc>
      </w:tr>
      <w:tr w:rsidR="002E39A5" w:rsidRPr="00EF2562" w:rsidTr="00F82D95">
        <w:trPr>
          <w:trHeight w:val="532"/>
        </w:trPr>
        <w:tc>
          <w:tcPr>
            <w:tcW w:w="1287" w:type="dxa"/>
            <w:vMerge w:val="restart"/>
            <w:hideMark/>
          </w:tcPr>
          <w:p w:rsidR="002E39A5" w:rsidRPr="005F5C28" w:rsidRDefault="002E39A5" w:rsidP="003E590E">
            <w:pPr>
              <w:jc w:val="center"/>
              <w:rPr>
                <w:b/>
                <w:bCs/>
                <w:lang w:val="fr-CA"/>
              </w:rPr>
            </w:pPr>
            <w:r w:rsidRPr="005F5C28">
              <w:rPr>
                <w:b/>
                <w:bCs/>
                <w:lang w:val="fr-CA"/>
              </w:rPr>
              <w:t xml:space="preserve">P1 </w:t>
            </w:r>
            <w:r w:rsidR="005F5C28" w:rsidRPr="005F5C28">
              <w:rPr>
                <w:b/>
                <w:bCs/>
                <w:lang w:val="fr-CA"/>
              </w:rPr>
              <w:t xml:space="preserve">à </w:t>
            </w:r>
            <w:r w:rsidRPr="005F5C28">
              <w:rPr>
                <w:b/>
                <w:bCs/>
                <w:lang w:val="fr-CA"/>
              </w:rPr>
              <w:t>P12</w:t>
            </w:r>
          </w:p>
          <w:p w:rsidR="002E39A5" w:rsidRPr="005F5C28" w:rsidRDefault="005951B3" w:rsidP="003E590E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a</w:t>
            </w:r>
            <w:r w:rsidR="005F5C28" w:rsidRPr="005F5C28">
              <w:rPr>
                <w:b/>
                <w:bCs/>
                <w:lang w:val="fr-CA"/>
              </w:rPr>
              <w:t>utres</w:t>
            </w:r>
            <w:r w:rsidR="002E39A5" w:rsidRPr="005F5C28">
              <w:rPr>
                <w:b/>
                <w:bCs/>
                <w:lang w:val="fr-CA"/>
              </w:rPr>
              <w:t xml:space="preserve"> </w:t>
            </w:r>
            <w:r w:rsidR="005F5C28" w:rsidRPr="005F5C28">
              <w:rPr>
                <w:b/>
                <w:bCs/>
                <w:lang w:val="fr-CA"/>
              </w:rPr>
              <w:t>activités</w:t>
            </w:r>
          </w:p>
          <w:p w:rsidR="002E39A5" w:rsidRPr="005F5C28" w:rsidRDefault="002E39A5" w:rsidP="00EF2562">
            <w:pPr>
              <w:rPr>
                <w:b/>
                <w:bCs/>
                <w:lang w:val="fr-CA"/>
              </w:rPr>
            </w:pPr>
            <w:r w:rsidRPr="005F5C28">
              <w:rPr>
                <w:b/>
                <w:bCs/>
                <w:lang w:val="fr-CA"/>
              </w:rPr>
              <w:t> </w:t>
            </w:r>
          </w:p>
          <w:p w:rsidR="002E39A5" w:rsidRPr="005F5C28" w:rsidRDefault="002E39A5" w:rsidP="00EF2562">
            <w:pPr>
              <w:rPr>
                <w:b/>
                <w:bCs/>
                <w:lang w:val="fr-CA"/>
              </w:rPr>
            </w:pPr>
            <w:r w:rsidRPr="005F5C28">
              <w:rPr>
                <w:b/>
                <w:bCs/>
                <w:lang w:val="fr-CA"/>
              </w:rPr>
              <w:t> </w:t>
            </w:r>
          </w:p>
          <w:p w:rsidR="002E39A5" w:rsidRPr="005F5C28" w:rsidRDefault="002E39A5" w:rsidP="00EF2562">
            <w:pPr>
              <w:rPr>
                <w:b/>
                <w:bCs/>
                <w:lang w:val="fr-CA"/>
              </w:rPr>
            </w:pPr>
            <w:r w:rsidRPr="005F5C28">
              <w:rPr>
                <w:b/>
                <w:bCs/>
                <w:lang w:val="fr-CA"/>
              </w:rPr>
              <w:t> </w:t>
            </w:r>
          </w:p>
          <w:p w:rsidR="002E39A5" w:rsidRPr="005F5C28" w:rsidRDefault="002E39A5" w:rsidP="00EF2562">
            <w:pPr>
              <w:rPr>
                <w:b/>
                <w:bCs/>
                <w:lang w:val="fr-CA"/>
              </w:rPr>
            </w:pPr>
            <w:r w:rsidRPr="005F5C28">
              <w:rPr>
                <w:b/>
                <w:bCs/>
                <w:lang w:val="fr-CA"/>
              </w:rPr>
              <w:t> </w:t>
            </w:r>
          </w:p>
        </w:tc>
        <w:tc>
          <w:tcPr>
            <w:tcW w:w="6096" w:type="dxa"/>
          </w:tcPr>
          <w:p w:rsidR="002E39A5" w:rsidRPr="005951B3" w:rsidRDefault="005951B3" w:rsidP="00BC476A">
            <w:pPr>
              <w:rPr>
                <w:lang w:val="fr-CA"/>
              </w:rPr>
            </w:pPr>
            <w:r w:rsidRPr="005951B3">
              <w:rPr>
                <w:lang w:val="fr-CA"/>
              </w:rPr>
              <w:t>Effectuer des activités de surveillance (</w:t>
            </w:r>
            <w:r w:rsidR="002B01BA">
              <w:rPr>
                <w:lang w:val="fr-CA"/>
              </w:rPr>
              <w:t>ex.</w:t>
            </w:r>
            <w:r>
              <w:rPr>
                <w:lang w:val="fr-CA"/>
              </w:rPr>
              <w:t xml:space="preserve"> : examiner les coûts non imputés, examiner les coûts admissibles </w:t>
            </w:r>
            <w:r w:rsidR="002B01BA">
              <w:rPr>
                <w:lang w:val="fr-CA"/>
              </w:rPr>
              <w:t>pour</w:t>
            </w:r>
            <w:r>
              <w:rPr>
                <w:lang w:val="fr-CA"/>
              </w:rPr>
              <w:t xml:space="preserve"> s’assurer qu’ils sont</w:t>
            </w:r>
            <w:r w:rsidR="002B01BA">
              <w:rPr>
                <w:lang w:val="fr-CA"/>
              </w:rPr>
              <w:t xml:space="preserve"> bien </w:t>
            </w:r>
            <w:r>
              <w:rPr>
                <w:lang w:val="fr-CA"/>
              </w:rPr>
              <w:t>capitalisés dans un AEC, examiner les coûts capitalisés, analyse des projets importants, communication avec les FMA)</w:t>
            </w:r>
          </w:p>
        </w:tc>
        <w:tc>
          <w:tcPr>
            <w:tcW w:w="1275" w:type="dxa"/>
          </w:tcPr>
          <w:p w:rsidR="002E39A5" w:rsidRPr="00EF2562" w:rsidRDefault="002E39A5" w:rsidP="001020A3">
            <w:r>
              <w:t>3</w:t>
            </w:r>
          </w:p>
        </w:tc>
        <w:tc>
          <w:tcPr>
            <w:tcW w:w="2070" w:type="dxa"/>
          </w:tcPr>
          <w:p w:rsidR="002E39A5" w:rsidRPr="00AE4747" w:rsidRDefault="00AE4747" w:rsidP="006F4345">
            <w:pPr>
              <w:rPr>
                <w:lang w:val="fr-CA"/>
              </w:rPr>
            </w:pPr>
            <w:r w:rsidRPr="00AE4747">
              <w:rPr>
                <w:lang w:val="fr-CA"/>
              </w:rPr>
              <w:t>À tous les trimestres</w:t>
            </w:r>
          </w:p>
        </w:tc>
      </w:tr>
      <w:tr w:rsidR="002E39A5" w:rsidRPr="00EF2562" w:rsidTr="00F82D95">
        <w:trPr>
          <w:trHeight w:val="532"/>
        </w:trPr>
        <w:tc>
          <w:tcPr>
            <w:tcW w:w="1287" w:type="dxa"/>
            <w:vMerge/>
          </w:tcPr>
          <w:p w:rsidR="002E39A5" w:rsidRDefault="002E39A5" w:rsidP="003E590E">
            <w:pPr>
              <w:jc w:val="center"/>
              <w:rPr>
                <w:b/>
                <w:bCs/>
              </w:rPr>
            </w:pPr>
          </w:p>
        </w:tc>
        <w:tc>
          <w:tcPr>
            <w:tcW w:w="6096" w:type="dxa"/>
          </w:tcPr>
          <w:p w:rsidR="002E39A5" w:rsidRPr="00BB40D0" w:rsidRDefault="00BB40D0" w:rsidP="00BB40D0">
            <w:pPr>
              <w:rPr>
                <w:lang w:val="fr-CA"/>
              </w:rPr>
            </w:pPr>
            <w:r w:rsidRPr="00BB40D0">
              <w:rPr>
                <w:lang w:val="fr-CA"/>
              </w:rPr>
              <w:t xml:space="preserve">Répondre aux diverses demandes de la Comptabilité ministérielle concernant les projets et </w:t>
            </w:r>
            <w:r>
              <w:rPr>
                <w:lang w:val="fr-CA"/>
              </w:rPr>
              <w:t xml:space="preserve">les </w:t>
            </w:r>
            <w:r w:rsidRPr="00BB40D0">
              <w:rPr>
                <w:lang w:val="fr-CA"/>
              </w:rPr>
              <w:t>informer</w:t>
            </w:r>
            <w:r>
              <w:rPr>
                <w:lang w:val="fr-CA"/>
              </w:rPr>
              <w:t xml:space="preserve"> de tout changement</w:t>
            </w:r>
          </w:p>
        </w:tc>
        <w:tc>
          <w:tcPr>
            <w:tcW w:w="1275" w:type="dxa"/>
          </w:tcPr>
          <w:p w:rsidR="002E39A5" w:rsidRDefault="002E39A5" w:rsidP="001020A3">
            <w:r>
              <w:t>1 &amp; 2</w:t>
            </w:r>
          </w:p>
        </w:tc>
        <w:tc>
          <w:tcPr>
            <w:tcW w:w="2070" w:type="dxa"/>
          </w:tcPr>
          <w:p w:rsidR="002E39A5" w:rsidRPr="00AE4747" w:rsidRDefault="00AE4747" w:rsidP="001020A3">
            <w:pPr>
              <w:rPr>
                <w:lang w:val="fr-CA"/>
              </w:rPr>
            </w:pPr>
            <w:r w:rsidRPr="00AE4747">
              <w:rPr>
                <w:lang w:val="fr-CA"/>
              </w:rPr>
              <w:t>À tous les mois</w:t>
            </w:r>
          </w:p>
        </w:tc>
      </w:tr>
      <w:tr w:rsidR="002E39A5" w:rsidRPr="00EF2562" w:rsidTr="00F82D95">
        <w:trPr>
          <w:trHeight w:val="532"/>
        </w:trPr>
        <w:tc>
          <w:tcPr>
            <w:tcW w:w="1287" w:type="dxa"/>
            <w:vMerge/>
          </w:tcPr>
          <w:p w:rsidR="002E39A5" w:rsidRDefault="002E39A5" w:rsidP="003E590E">
            <w:pPr>
              <w:jc w:val="center"/>
              <w:rPr>
                <w:b/>
                <w:bCs/>
              </w:rPr>
            </w:pPr>
          </w:p>
        </w:tc>
        <w:tc>
          <w:tcPr>
            <w:tcW w:w="6096" w:type="dxa"/>
          </w:tcPr>
          <w:p w:rsidR="002E39A5" w:rsidRPr="007774F0" w:rsidRDefault="00BC476A" w:rsidP="00BC476A">
            <w:pPr>
              <w:rPr>
                <w:lang w:val="fr-CA"/>
              </w:rPr>
            </w:pPr>
            <w:r>
              <w:rPr>
                <w:lang w:val="fr-CA"/>
              </w:rPr>
              <w:t>Réévaluer</w:t>
            </w:r>
            <w:r w:rsidR="007774F0" w:rsidRPr="007774F0">
              <w:rPr>
                <w:lang w:val="fr-CA"/>
              </w:rPr>
              <w:t xml:space="preserve"> les groupes d’éléments de co</w:t>
            </w:r>
            <w:r w:rsidR="007774F0">
              <w:rPr>
                <w:lang w:val="fr-CA"/>
              </w:rPr>
              <w:t>ût (capitalisé et non-capitalisé) et s’assurer que les nouveaux comptes de GL sont associés au bon groupe d’éléments de coût</w:t>
            </w:r>
          </w:p>
        </w:tc>
        <w:tc>
          <w:tcPr>
            <w:tcW w:w="1275" w:type="dxa"/>
          </w:tcPr>
          <w:p w:rsidR="002E39A5" w:rsidRDefault="002E39A5" w:rsidP="001020A3">
            <w:r>
              <w:t>3</w:t>
            </w:r>
          </w:p>
        </w:tc>
        <w:tc>
          <w:tcPr>
            <w:tcW w:w="2070" w:type="dxa"/>
          </w:tcPr>
          <w:p w:rsidR="002E39A5" w:rsidRDefault="00AE4747" w:rsidP="001020A3">
            <w:r w:rsidRPr="00AE4747">
              <w:rPr>
                <w:lang w:val="fr-CA"/>
              </w:rPr>
              <w:t>À tous les trimestres</w:t>
            </w:r>
          </w:p>
        </w:tc>
      </w:tr>
      <w:tr w:rsidR="002E39A5" w:rsidRPr="00EF2562" w:rsidTr="00F82D95">
        <w:trPr>
          <w:trHeight w:val="532"/>
        </w:trPr>
        <w:tc>
          <w:tcPr>
            <w:tcW w:w="1287" w:type="dxa"/>
            <w:vMerge/>
          </w:tcPr>
          <w:p w:rsidR="002E39A5" w:rsidRDefault="002E39A5" w:rsidP="003E590E">
            <w:pPr>
              <w:jc w:val="center"/>
              <w:rPr>
                <w:b/>
                <w:bCs/>
              </w:rPr>
            </w:pPr>
          </w:p>
        </w:tc>
        <w:tc>
          <w:tcPr>
            <w:tcW w:w="6096" w:type="dxa"/>
          </w:tcPr>
          <w:p w:rsidR="002E39A5" w:rsidRPr="007774F0" w:rsidRDefault="007774F0" w:rsidP="007774F0">
            <w:pPr>
              <w:rPr>
                <w:lang w:val="fr-CA"/>
              </w:rPr>
            </w:pPr>
            <w:r w:rsidRPr="007774F0">
              <w:rPr>
                <w:lang w:val="fr-CA"/>
              </w:rPr>
              <w:t>Effectuer des activités de surveillance sur les comptes de GL pertinents afin de s’assurer que tous les achats d’immobilisations</w:t>
            </w:r>
            <w:r>
              <w:rPr>
                <w:lang w:val="fr-CA"/>
              </w:rPr>
              <w:t xml:space="preserve"> sont capitalisés correctement</w:t>
            </w:r>
          </w:p>
        </w:tc>
        <w:tc>
          <w:tcPr>
            <w:tcW w:w="1275" w:type="dxa"/>
          </w:tcPr>
          <w:p w:rsidR="002E39A5" w:rsidRPr="00EF2562" w:rsidRDefault="002E39A5" w:rsidP="001020A3">
            <w:r>
              <w:t>3</w:t>
            </w:r>
          </w:p>
        </w:tc>
        <w:tc>
          <w:tcPr>
            <w:tcW w:w="2070" w:type="dxa"/>
          </w:tcPr>
          <w:p w:rsidR="002E39A5" w:rsidRDefault="00AE4747" w:rsidP="001020A3">
            <w:r w:rsidRPr="00AE4747">
              <w:rPr>
                <w:lang w:val="fr-CA"/>
              </w:rPr>
              <w:t>À tous les trimestres</w:t>
            </w:r>
          </w:p>
        </w:tc>
      </w:tr>
      <w:tr w:rsidR="002E39A5" w:rsidRPr="00EF2562" w:rsidTr="00F82D95">
        <w:trPr>
          <w:trHeight w:val="529"/>
        </w:trPr>
        <w:tc>
          <w:tcPr>
            <w:tcW w:w="1287" w:type="dxa"/>
            <w:vMerge/>
            <w:hideMark/>
          </w:tcPr>
          <w:p w:rsidR="002E39A5" w:rsidRPr="00EF2562" w:rsidRDefault="002E39A5" w:rsidP="00EF2562">
            <w:pPr>
              <w:rPr>
                <w:b/>
                <w:bCs/>
              </w:rPr>
            </w:pPr>
          </w:p>
        </w:tc>
        <w:tc>
          <w:tcPr>
            <w:tcW w:w="6096" w:type="dxa"/>
            <w:hideMark/>
          </w:tcPr>
          <w:p w:rsidR="002E39A5" w:rsidRPr="006319DB" w:rsidRDefault="006319DB" w:rsidP="006319DB">
            <w:pPr>
              <w:rPr>
                <w:lang w:val="fr-CA"/>
              </w:rPr>
            </w:pPr>
            <w:r w:rsidRPr="006319DB">
              <w:rPr>
                <w:lang w:val="fr-CA"/>
              </w:rPr>
              <w:t>Envoyer</w:t>
            </w:r>
            <w:r>
              <w:rPr>
                <w:lang w:val="fr-CA"/>
              </w:rPr>
              <w:t xml:space="preserve"> à la Comptabilité ministérielle</w:t>
            </w:r>
            <w:r w:rsidRPr="006319DB">
              <w:rPr>
                <w:lang w:val="fr-CA"/>
              </w:rPr>
              <w:t xml:space="preserve"> la dernière liste disponible des </w:t>
            </w:r>
            <w:r>
              <w:rPr>
                <w:lang w:val="fr-CA"/>
              </w:rPr>
              <w:t>biens vendus par les services de disposition de TPSGC</w:t>
            </w:r>
          </w:p>
        </w:tc>
        <w:tc>
          <w:tcPr>
            <w:tcW w:w="1275" w:type="dxa"/>
            <w:hideMark/>
          </w:tcPr>
          <w:p w:rsidR="002E39A5" w:rsidRPr="00EF2562" w:rsidRDefault="002E39A5" w:rsidP="00EF2562">
            <w:r>
              <w:t>4</w:t>
            </w:r>
          </w:p>
        </w:tc>
        <w:tc>
          <w:tcPr>
            <w:tcW w:w="2070" w:type="dxa"/>
            <w:hideMark/>
          </w:tcPr>
          <w:p w:rsidR="002E39A5" w:rsidRPr="00EF2562" w:rsidRDefault="00AE4747">
            <w:r w:rsidRPr="00AE4747">
              <w:rPr>
                <w:lang w:val="fr-CA"/>
              </w:rPr>
              <w:t>À tous les mois</w:t>
            </w:r>
          </w:p>
        </w:tc>
      </w:tr>
      <w:tr w:rsidR="002E39A5" w:rsidRPr="00EF2562" w:rsidTr="00F82D95">
        <w:trPr>
          <w:trHeight w:val="315"/>
        </w:trPr>
        <w:tc>
          <w:tcPr>
            <w:tcW w:w="1287" w:type="dxa"/>
            <w:vMerge/>
            <w:hideMark/>
          </w:tcPr>
          <w:p w:rsidR="002E39A5" w:rsidRPr="00EF2562" w:rsidRDefault="002E39A5" w:rsidP="00EF2562">
            <w:pPr>
              <w:rPr>
                <w:b/>
                <w:bCs/>
              </w:rPr>
            </w:pPr>
          </w:p>
        </w:tc>
        <w:tc>
          <w:tcPr>
            <w:tcW w:w="6096" w:type="dxa"/>
            <w:hideMark/>
          </w:tcPr>
          <w:p w:rsidR="002E39A5" w:rsidRPr="006319DB" w:rsidRDefault="006319DB" w:rsidP="006319DB">
            <w:pPr>
              <w:rPr>
                <w:lang w:val="fr-CA"/>
              </w:rPr>
            </w:pPr>
            <w:r w:rsidRPr="006319DB">
              <w:rPr>
                <w:lang w:val="fr-CA"/>
              </w:rPr>
              <w:t xml:space="preserve">S’assurer que les informations de disposition sont exactes et </w:t>
            </w:r>
            <w:r w:rsidR="00835F4B">
              <w:rPr>
                <w:lang w:val="fr-CA"/>
              </w:rPr>
              <w:t xml:space="preserve">mises </w:t>
            </w:r>
            <w:r>
              <w:rPr>
                <w:lang w:val="fr-CA"/>
              </w:rPr>
              <w:t>à jour dans maSGE</w:t>
            </w:r>
          </w:p>
        </w:tc>
        <w:tc>
          <w:tcPr>
            <w:tcW w:w="1275" w:type="dxa"/>
            <w:hideMark/>
          </w:tcPr>
          <w:p w:rsidR="002E39A5" w:rsidRPr="00EF2562" w:rsidRDefault="002E39A5" w:rsidP="00EF2562">
            <w:r>
              <w:t>6</w:t>
            </w:r>
          </w:p>
        </w:tc>
        <w:tc>
          <w:tcPr>
            <w:tcW w:w="2070" w:type="dxa"/>
            <w:hideMark/>
          </w:tcPr>
          <w:p w:rsidR="002E39A5" w:rsidRPr="00EF2562" w:rsidRDefault="00AE4747">
            <w:r w:rsidRPr="00AE4747">
              <w:rPr>
                <w:lang w:val="fr-CA"/>
              </w:rPr>
              <w:t>À tous les mois</w:t>
            </w:r>
          </w:p>
        </w:tc>
      </w:tr>
      <w:tr w:rsidR="002E39A5" w:rsidRPr="00EF2562" w:rsidTr="00F82D95">
        <w:trPr>
          <w:trHeight w:val="517"/>
        </w:trPr>
        <w:tc>
          <w:tcPr>
            <w:tcW w:w="1287" w:type="dxa"/>
            <w:vMerge/>
            <w:hideMark/>
          </w:tcPr>
          <w:p w:rsidR="002E39A5" w:rsidRPr="00EF2562" w:rsidRDefault="002E39A5" w:rsidP="00EF2562">
            <w:pPr>
              <w:rPr>
                <w:b/>
                <w:bCs/>
              </w:rPr>
            </w:pPr>
          </w:p>
        </w:tc>
        <w:tc>
          <w:tcPr>
            <w:tcW w:w="6096" w:type="dxa"/>
            <w:hideMark/>
          </w:tcPr>
          <w:p w:rsidR="002E39A5" w:rsidRPr="00835F4B" w:rsidRDefault="00835F4B" w:rsidP="00C12A0B">
            <w:pPr>
              <w:rPr>
                <w:lang w:val="fr-CA"/>
              </w:rPr>
            </w:pPr>
            <w:r w:rsidRPr="00835F4B">
              <w:rPr>
                <w:lang w:val="fr-CA"/>
              </w:rPr>
              <w:t>Si n</w:t>
            </w:r>
            <w:r>
              <w:rPr>
                <w:lang w:val="fr-CA"/>
              </w:rPr>
              <w:t>é</w:t>
            </w:r>
            <w:r w:rsidRPr="00835F4B">
              <w:rPr>
                <w:lang w:val="fr-CA"/>
              </w:rPr>
              <w:t>cessaire, procéder à la cr</w:t>
            </w:r>
            <w:r>
              <w:rPr>
                <w:lang w:val="fr-CA"/>
              </w:rPr>
              <w:t>é</w:t>
            </w:r>
            <w:r w:rsidRPr="00835F4B">
              <w:rPr>
                <w:lang w:val="fr-CA"/>
              </w:rPr>
              <w:t xml:space="preserve">ation manuelle des </w:t>
            </w:r>
            <w:r w:rsidR="00C12A0B">
              <w:rPr>
                <w:lang w:val="fr-CA"/>
              </w:rPr>
              <w:t>fiches d’</w:t>
            </w:r>
            <w:r w:rsidR="00CF3CA3">
              <w:rPr>
                <w:lang w:val="fr-CA"/>
              </w:rPr>
              <w:t>immobilisation finale</w:t>
            </w:r>
            <w:r w:rsidR="00E52286">
              <w:rPr>
                <w:lang w:val="fr-CA"/>
              </w:rPr>
              <w:t>s</w:t>
            </w:r>
            <w:r w:rsidR="00C12A0B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 et obtenir la documentation support</w:t>
            </w:r>
          </w:p>
        </w:tc>
        <w:tc>
          <w:tcPr>
            <w:tcW w:w="1275" w:type="dxa"/>
            <w:hideMark/>
          </w:tcPr>
          <w:p w:rsidR="002E39A5" w:rsidRPr="00EF2562" w:rsidRDefault="002E39A5" w:rsidP="00EF2562">
            <w:r>
              <w:t>3</w:t>
            </w:r>
          </w:p>
        </w:tc>
        <w:tc>
          <w:tcPr>
            <w:tcW w:w="2070" w:type="dxa"/>
            <w:hideMark/>
          </w:tcPr>
          <w:p w:rsidR="002E39A5" w:rsidRPr="00EF2562" w:rsidRDefault="00AE4747">
            <w:r w:rsidRPr="00AE4747">
              <w:rPr>
                <w:lang w:val="fr-CA"/>
              </w:rPr>
              <w:t>À tous les mois</w:t>
            </w:r>
          </w:p>
        </w:tc>
      </w:tr>
      <w:tr w:rsidR="002E39A5" w:rsidRPr="00EF2562" w:rsidTr="00F82D95">
        <w:trPr>
          <w:trHeight w:val="315"/>
        </w:trPr>
        <w:tc>
          <w:tcPr>
            <w:tcW w:w="1287" w:type="dxa"/>
            <w:vMerge/>
            <w:hideMark/>
          </w:tcPr>
          <w:p w:rsidR="002E39A5" w:rsidRPr="00EF2562" w:rsidRDefault="002E39A5" w:rsidP="00EF2562">
            <w:pPr>
              <w:rPr>
                <w:b/>
                <w:bCs/>
              </w:rPr>
            </w:pPr>
          </w:p>
        </w:tc>
        <w:tc>
          <w:tcPr>
            <w:tcW w:w="6096" w:type="dxa"/>
            <w:hideMark/>
          </w:tcPr>
          <w:p w:rsidR="002E39A5" w:rsidRPr="00CD10D5" w:rsidRDefault="00835F4B" w:rsidP="00835F4B">
            <w:pPr>
              <w:rPr>
                <w:lang w:val="fr-CA"/>
              </w:rPr>
            </w:pPr>
            <w:r w:rsidRPr="00835F4B">
              <w:rPr>
                <w:lang w:val="fr-CA"/>
              </w:rPr>
              <w:t>Enregistrer les transactions de dispo</w:t>
            </w:r>
            <w:r>
              <w:rPr>
                <w:lang w:val="fr-CA"/>
              </w:rPr>
              <w:t>s</w:t>
            </w:r>
            <w:r w:rsidRPr="00835F4B">
              <w:rPr>
                <w:lang w:val="fr-CA"/>
              </w:rPr>
              <w:t>ition</w:t>
            </w:r>
            <w:r w:rsidR="00CF3CA3">
              <w:rPr>
                <w:lang w:val="fr-CA"/>
              </w:rPr>
              <w:t xml:space="preserve"> d’actif</w:t>
            </w:r>
            <w:r w:rsidR="00BC476A">
              <w:rPr>
                <w:lang w:val="fr-CA"/>
              </w:rPr>
              <w:t>s</w:t>
            </w:r>
            <w:r w:rsidRPr="00835F4B">
              <w:rPr>
                <w:lang w:val="fr-CA"/>
              </w:rPr>
              <w:t xml:space="preserve"> dans maSGE</w:t>
            </w:r>
          </w:p>
        </w:tc>
        <w:tc>
          <w:tcPr>
            <w:tcW w:w="1275" w:type="dxa"/>
            <w:hideMark/>
          </w:tcPr>
          <w:p w:rsidR="002E39A5" w:rsidRPr="00EF2562" w:rsidRDefault="002E39A5" w:rsidP="00EF2562">
            <w:r>
              <w:t>3</w:t>
            </w:r>
          </w:p>
        </w:tc>
        <w:tc>
          <w:tcPr>
            <w:tcW w:w="2070" w:type="dxa"/>
            <w:hideMark/>
          </w:tcPr>
          <w:p w:rsidR="002E39A5" w:rsidRPr="00EF2562" w:rsidRDefault="00AE4747">
            <w:r w:rsidRPr="00AE4747">
              <w:rPr>
                <w:lang w:val="fr-CA"/>
              </w:rPr>
              <w:t>À tous les mois</w:t>
            </w:r>
          </w:p>
        </w:tc>
      </w:tr>
      <w:tr w:rsidR="002E39A5" w:rsidRPr="00EF2562" w:rsidTr="00F82D95">
        <w:trPr>
          <w:trHeight w:val="315"/>
        </w:trPr>
        <w:tc>
          <w:tcPr>
            <w:tcW w:w="1287" w:type="dxa"/>
            <w:vMerge/>
          </w:tcPr>
          <w:p w:rsidR="002E39A5" w:rsidRPr="00EF2562" w:rsidRDefault="002E39A5" w:rsidP="00EF2562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:rsidR="002E39A5" w:rsidRPr="00835F4B" w:rsidRDefault="00835F4B" w:rsidP="00835F4B">
            <w:pPr>
              <w:rPr>
                <w:lang w:val="fr-CA"/>
              </w:rPr>
            </w:pPr>
            <w:r w:rsidRPr="00835F4B">
              <w:rPr>
                <w:lang w:val="fr-CA"/>
              </w:rPr>
              <w:t>S’assurer que l’autorité A131 est correctement ajusté</w:t>
            </w:r>
            <w:r w:rsidR="002B01BA">
              <w:rPr>
                <w:lang w:val="fr-CA"/>
              </w:rPr>
              <w:t>e</w:t>
            </w:r>
          </w:p>
        </w:tc>
        <w:tc>
          <w:tcPr>
            <w:tcW w:w="1275" w:type="dxa"/>
          </w:tcPr>
          <w:p w:rsidR="002E39A5" w:rsidRPr="00EF2562" w:rsidRDefault="002E39A5" w:rsidP="001020A3">
            <w:r>
              <w:t>7</w:t>
            </w:r>
          </w:p>
        </w:tc>
        <w:tc>
          <w:tcPr>
            <w:tcW w:w="2070" w:type="dxa"/>
          </w:tcPr>
          <w:p w:rsidR="002E39A5" w:rsidRPr="00EF2562" w:rsidRDefault="00AE4747" w:rsidP="001020A3">
            <w:r w:rsidRPr="00AE4747">
              <w:rPr>
                <w:lang w:val="fr-CA"/>
              </w:rPr>
              <w:t>À tous les mois</w:t>
            </w:r>
          </w:p>
        </w:tc>
      </w:tr>
      <w:tr w:rsidR="002E39A5" w:rsidRPr="00EF2562" w:rsidTr="00BF46AA">
        <w:trPr>
          <w:trHeight w:val="835"/>
        </w:trPr>
        <w:tc>
          <w:tcPr>
            <w:tcW w:w="1287" w:type="dxa"/>
            <w:vMerge/>
          </w:tcPr>
          <w:p w:rsidR="002E39A5" w:rsidRPr="00EF2562" w:rsidRDefault="002E39A5" w:rsidP="00EF2562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:rsidR="00CB189D" w:rsidRPr="00835F4B" w:rsidRDefault="00835F4B" w:rsidP="00835F4B">
            <w:pPr>
              <w:rPr>
                <w:lang w:val="fr-CA"/>
              </w:rPr>
            </w:pPr>
            <w:r w:rsidRPr="00835F4B">
              <w:rPr>
                <w:lang w:val="fr-CA"/>
              </w:rPr>
              <w:t>Stratégie de communication avec les FMA</w:t>
            </w:r>
            <w:r>
              <w:rPr>
                <w:lang w:val="fr-CA"/>
              </w:rPr>
              <w:t xml:space="preserve"> et les autres intervenants</w:t>
            </w:r>
            <w:r w:rsidRPr="00835F4B">
              <w:rPr>
                <w:lang w:val="fr-CA"/>
              </w:rPr>
              <w:t xml:space="preserve"> (envoyer des courriels au besoin</w:t>
            </w:r>
            <w:r>
              <w:rPr>
                <w:lang w:val="fr-CA"/>
              </w:rPr>
              <w:t xml:space="preserve"> et envoyer la liste de vérification avec les échéanciers finaux avant la fin d’année</w:t>
            </w:r>
            <w:r w:rsidR="002E39A5" w:rsidRPr="00835F4B">
              <w:rPr>
                <w:lang w:val="fr-CA"/>
              </w:rPr>
              <w:t>)</w:t>
            </w:r>
          </w:p>
        </w:tc>
        <w:tc>
          <w:tcPr>
            <w:tcW w:w="1275" w:type="dxa"/>
          </w:tcPr>
          <w:p w:rsidR="002E39A5" w:rsidRDefault="002E39A5" w:rsidP="001020A3">
            <w:r>
              <w:t>3</w:t>
            </w:r>
          </w:p>
        </w:tc>
        <w:tc>
          <w:tcPr>
            <w:tcW w:w="2070" w:type="dxa"/>
          </w:tcPr>
          <w:p w:rsidR="002E39A5" w:rsidRPr="00AE4747" w:rsidRDefault="00AE4747" w:rsidP="001020A3">
            <w:pPr>
              <w:rPr>
                <w:lang w:val="fr-CA"/>
              </w:rPr>
            </w:pPr>
            <w:r w:rsidRPr="00AE4747">
              <w:rPr>
                <w:lang w:val="fr-CA"/>
              </w:rPr>
              <w:t>Lorsque nécessaire</w:t>
            </w:r>
          </w:p>
        </w:tc>
      </w:tr>
    </w:tbl>
    <w:p w:rsidR="00BF46AA" w:rsidRDefault="00F75BF0" w:rsidP="00BF46AA">
      <w:pPr>
        <w:rPr>
          <w:lang w:val="fr-CA"/>
        </w:rPr>
      </w:pPr>
      <w:r>
        <w:rPr>
          <w:vertAlign w:val="superscript"/>
          <w:lang w:val="fr-CA"/>
        </w:rPr>
        <w:t>1</w:t>
      </w:r>
      <w:r w:rsidRPr="00F75BF0">
        <w:rPr>
          <w:lang w:val="fr-CA"/>
        </w:rPr>
        <w:t xml:space="preserve">myEMS ne sera pas disponible le 1 au 5 avril, </w:t>
      </w:r>
      <w:r>
        <w:rPr>
          <w:lang w:val="fr-CA"/>
        </w:rPr>
        <w:t>et</w:t>
      </w:r>
      <w:r w:rsidRPr="00F75BF0">
        <w:rPr>
          <w:lang w:val="fr-CA"/>
        </w:rPr>
        <w:t xml:space="preserve"> </w:t>
      </w:r>
      <w:r>
        <w:rPr>
          <w:lang w:val="fr-CA"/>
        </w:rPr>
        <w:t xml:space="preserve">l’échéancier pour P12 est le </w:t>
      </w:r>
      <w:r w:rsidRPr="00F75BF0">
        <w:rPr>
          <w:b/>
          <w:lang w:val="fr-CA"/>
        </w:rPr>
        <w:t>8 avril</w:t>
      </w:r>
      <w:r>
        <w:rPr>
          <w:lang w:val="fr-CA"/>
        </w:rPr>
        <w:t xml:space="preserve">. </w:t>
      </w:r>
      <w:r w:rsidRPr="00F75BF0">
        <w:rPr>
          <w:lang w:val="fr-CA"/>
        </w:rPr>
        <w:t xml:space="preserve"> </w:t>
      </w:r>
    </w:p>
    <w:p w:rsidR="00F75BF0" w:rsidRPr="00F75BF0" w:rsidRDefault="00F75BF0" w:rsidP="00BF46AA">
      <w:pPr>
        <w:rPr>
          <w:lang w:val="fr-CA"/>
        </w:rPr>
      </w:pPr>
      <w:r>
        <w:rPr>
          <w:vertAlign w:val="superscript"/>
          <w:lang w:val="fr-CA"/>
        </w:rPr>
        <w:t>2</w:t>
      </w:r>
      <w:r w:rsidRPr="00F75BF0">
        <w:rPr>
          <w:lang w:val="fr-CA"/>
        </w:rPr>
        <w:t xml:space="preserve">myEMS ne sera pas disponible le 1 au 5 avril, </w:t>
      </w:r>
      <w:r>
        <w:rPr>
          <w:lang w:val="fr-CA"/>
        </w:rPr>
        <w:t>et</w:t>
      </w:r>
      <w:r w:rsidRPr="00F75BF0">
        <w:rPr>
          <w:lang w:val="fr-CA"/>
        </w:rPr>
        <w:t xml:space="preserve"> </w:t>
      </w:r>
      <w:r>
        <w:rPr>
          <w:lang w:val="fr-CA"/>
        </w:rPr>
        <w:t xml:space="preserve">l’échéancier pour P12 est le </w:t>
      </w:r>
      <w:r w:rsidRPr="00F75BF0">
        <w:rPr>
          <w:b/>
          <w:lang w:val="fr-CA"/>
        </w:rPr>
        <w:t>12 avril</w:t>
      </w:r>
      <w:r>
        <w:rPr>
          <w:lang w:val="fr-CA"/>
        </w:rPr>
        <w:t>.</w:t>
      </w:r>
    </w:p>
    <w:p w:rsidR="00BF46AA" w:rsidRPr="00F75BF0" w:rsidRDefault="00F75BF0">
      <w:pPr>
        <w:rPr>
          <w:lang w:val="fr-CA"/>
        </w:rPr>
      </w:pPr>
      <w:r>
        <w:rPr>
          <w:vertAlign w:val="superscript"/>
          <w:lang w:val="fr-CA"/>
        </w:rPr>
        <w:t>3</w:t>
      </w:r>
      <w:r w:rsidRPr="00F75BF0">
        <w:rPr>
          <w:lang w:val="fr-CA"/>
        </w:rPr>
        <w:t xml:space="preserve">myEMS ne sera pas disponible le 1 au 5 avril, </w:t>
      </w:r>
      <w:r>
        <w:rPr>
          <w:lang w:val="fr-CA"/>
        </w:rPr>
        <w:t>et</w:t>
      </w:r>
      <w:r w:rsidRPr="00F75BF0">
        <w:rPr>
          <w:lang w:val="fr-CA"/>
        </w:rPr>
        <w:t xml:space="preserve"> </w:t>
      </w:r>
      <w:r>
        <w:rPr>
          <w:lang w:val="fr-CA"/>
        </w:rPr>
        <w:t xml:space="preserve">l’échéancier pour P12 est le </w:t>
      </w:r>
      <w:r w:rsidRPr="00F75BF0">
        <w:rPr>
          <w:b/>
          <w:lang w:val="fr-CA"/>
        </w:rPr>
        <w:t>13 avril</w:t>
      </w:r>
      <w:r>
        <w:rPr>
          <w:lang w:val="fr-CA"/>
        </w:rPr>
        <w:t>.</w:t>
      </w:r>
    </w:p>
    <w:p w:rsidR="00BF46AA" w:rsidRPr="00F75BF0" w:rsidRDefault="00BF46AA">
      <w:pPr>
        <w:rPr>
          <w:lang w:val="fr-CA"/>
        </w:rPr>
      </w:pPr>
      <w:bookmarkStart w:id="1" w:name="_GoBack"/>
      <w:bookmarkEnd w:id="1"/>
    </w:p>
    <w:tbl>
      <w:tblPr>
        <w:tblStyle w:val="TableGrid"/>
        <w:tblW w:w="1064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53"/>
        <w:gridCol w:w="7138"/>
        <w:gridCol w:w="1276"/>
        <w:gridCol w:w="1277"/>
      </w:tblGrid>
      <w:tr w:rsidR="00A868E6" w:rsidRPr="00F75BF0" w:rsidTr="00BF46AA">
        <w:trPr>
          <w:trHeight w:val="525"/>
        </w:trPr>
        <w:tc>
          <w:tcPr>
            <w:tcW w:w="953" w:type="dxa"/>
            <w:tcBorders>
              <w:top w:val="single" w:sz="4" w:space="0" w:color="auto"/>
            </w:tcBorders>
            <w:shd w:val="clear" w:color="auto" w:fill="BFBFBF" w:themeFill="background1" w:themeFillShade="BF"/>
            <w:hideMark/>
          </w:tcPr>
          <w:p w:rsidR="00A868E6" w:rsidRPr="00CD10D5" w:rsidRDefault="00F259C4" w:rsidP="00CD10D5">
            <w:pPr>
              <w:jc w:val="center"/>
              <w:rPr>
                <w:b/>
                <w:bCs/>
                <w:lang w:val="fr-CA"/>
              </w:rPr>
            </w:pPr>
            <w:r w:rsidRPr="00CD10D5">
              <w:rPr>
                <w:lang w:val="fr-CA"/>
              </w:rPr>
              <w:lastRenderedPageBreak/>
              <w:br w:type="page"/>
            </w:r>
            <w:r w:rsidR="00A868E6" w:rsidRPr="00CD10D5">
              <w:rPr>
                <w:b/>
                <w:bCs/>
                <w:lang w:val="fr-CA"/>
              </w:rPr>
              <w:t>P</w:t>
            </w:r>
            <w:r w:rsidR="00CD10D5" w:rsidRPr="00CD10D5">
              <w:rPr>
                <w:b/>
                <w:bCs/>
                <w:lang w:val="fr-CA"/>
              </w:rPr>
              <w:t>é</w:t>
            </w:r>
            <w:r w:rsidR="00A868E6" w:rsidRPr="00CD10D5">
              <w:rPr>
                <w:b/>
                <w:bCs/>
                <w:lang w:val="fr-CA"/>
              </w:rPr>
              <w:t>riod</w:t>
            </w:r>
            <w:r w:rsidR="00CD10D5" w:rsidRPr="00CD10D5">
              <w:rPr>
                <w:b/>
                <w:bCs/>
                <w:lang w:val="fr-CA"/>
              </w:rPr>
              <w:t>e</w:t>
            </w:r>
          </w:p>
        </w:tc>
        <w:tc>
          <w:tcPr>
            <w:tcW w:w="7138" w:type="dxa"/>
            <w:tcBorders>
              <w:top w:val="single" w:sz="4" w:space="0" w:color="auto"/>
            </w:tcBorders>
            <w:shd w:val="clear" w:color="auto" w:fill="BFBFBF" w:themeFill="background1" w:themeFillShade="BF"/>
            <w:hideMark/>
          </w:tcPr>
          <w:p w:rsidR="00A868E6" w:rsidRPr="00CD10D5" w:rsidRDefault="00CD10D5" w:rsidP="005C15FD">
            <w:pPr>
              <w:jc w:val="center"/>
              <w:rPr>
                <w:b/>
                <w:bCs/>
                <w:lang w:val="fr-CA"/>
              </w:rPr>
            </w:pPr>
            <w:r w:rsidRPr="00CD10D5">
              <w:rPr>
                <w:b/>
                <w:bCs/>
                <w:lang w:val="fr-CA"/>
              </w:rPr>
              <w:t>Tâches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hideMark/>
          </w:tcPr>
          <w:p w:rsidR="00A868E6" w:rsidRPr="00CD10D5" w:rsidRDefault="00CD10D5" w:rsidP="005C15FD">
            <w:pPr>
              <w:jc w:val="center"/>
              <w:rPr>
                <w:b/>
                <w:bCs/>
                <w:lang w:val="fr-CA"/>
              </w:rPr>
            </w:pPr>
            <w:r w:rsidRPr="00CD10D5">
              <w:rPr>
                <w:b/>
                <w:bCs/>
                <w:lang w:val="fr-CA"/>
              </w:rPr>
              <w:t>Équipes impliquées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FBFBF" w:themeFill="background1" w:themeFillShade="BF"/>
            <w:hideMark/>
          </w:tcPr>
          <w:p w:rsidR="00A868E6" w:rsidRPr="00CD10D5" w:rsidRDefault="00CD10D5" w:rsidP="005C15FD">
            <w:pPr>
              <w:rPr>
                <w:b/>
                <w:bCs/>
                <w:lang w:val="fr-CA"/>
              </w:rPr>
            </w:pPr>
            <w:r w:rsidRPr="00CD10D5">
              <w:rPr>
                <w:b/>
                <w:bCs/>
                <w:lang w:val="fr-CA"/>
              </w:rPr>
              <w:t>Échéancier</w:t>
            </w:r>
          </w:p>
        </w:tc>
      </w:tr>
      <w:tr w:rsidR="000E14F4" w:rsidRPr="00EF2562" w:rsidTr="00BF46AA">
        <w:trPr>
          <w:trHeight w:val="438"/>
        </w:trPr>
        <w:tc>
          <w:tcPr>
            <w:tcW w:w="953" w:type="dxa"/>
            <w:vMerge w:val="restart"/>
            <w:tcBorders>
              <w:top w:val="nil"/>
            </w:tcBorders>
            <w:noWrap/>
          </w:tcPr>
          <w:p w:rsidR="000E14F4" w:rsidRPr="00F75BF0" w:rsidRDefault="000E14F4" w:rsidP="003317EC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P12-1</w:t>
            </w:r>
          </w:p>
          <w:p w:rsidR="000E14F4" w:rsidRPr="00F75BF0" w:rsidRDefault="00BF46AA" w:rsidP="00EF2562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(P13)</w:t>
            </w:r>
          </w:p>
          <w:p w:rsidR="000E14F4" w:rsidRPr="00F75BF0" w:rsidRDefault="000E14F4" w:rsidP="00EF2562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 </w:t>
            </w:r>
          </w:p>
          <w:p w:rsidR="000E14F4" w:rsidRPr="00F75BF0" w:rsidRDefault="000E14F4" w:rsidP="00EF2562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 </w:t>
            </w:r>
          </w:p>
          <w:p w:rsidR="000E14F4" w:rsidRPr="00F75BF0" w:rsidRDefault="000E14F4" w:rsidP="00EF2562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 </w:t>
            </w:r>
          </w:p>
          <w:p w:rsidR="000E14F4" w:rsidRPr="00F75BF0" w:rsidRDefault="000E14F4" w:rsidP="00EF2562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 </w:t>
            </w:r>
          </w:p>
          <w:p w:rsidR="000E14F4" w:rsidRPr="00F75BF0" w:rsidRDefault="000E14F4" w:rsidP="00EF2562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 </w:t>
            </w:r>
          </w:p>
          <w:p w:rsidR="000E14F4" w:rsidRPr="00F75BF0" w:rsidRDefault="000E14F4" w:rsidP="00EF2562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 </w:t>
            </w:r>
          </w:p>
          <w:p w:rsidR="000E14F4" w:rsidRPr="00F75BF0" w:rsidRDefault="000E14F4" w:rsidP="00EF2562">
            <w:pPr>
              <w:rPr>
                <w:b/>
                <w:bCs/>
                <w:lang w:val="fr-CA"/>
              </w:rPr>
            </w:pPr>
            <w:r w:rsidRPr="00F75BF0">
              <w:rPr>
                <w:b/>
                <w:bCs/>
                <w:lang w:val="fr-CA"/>
              </w:rPr>
              <w:t> </w:t>
            </w:r>
          </w:p>
        </w:tc>
        <w:tc>
          <w:tcPr>
            <w:tcW w:w="7138" w:type="dxa"/>
          </w:tcPr>
          <w:p w:rsidR="000E14F4" w:rsidRPr="006771E7" w:rsidRDefault="006771E7" w:rsidP="006771E7">
            <w:pPr>
              <w:rPr>
                <w:lang w:val="fr-CA"/>
              </w:rPr>
            </w:pPr>
            <w:r w:rsidRPr="006771E7">
              <w:rPr>
                <w:lang w:val="fr-CA"/>
              </w:rPr>
              <w:t xml:space="preserve">S’assurer que toutes les exigences P1 </w:t>
            </w:r>
            <w:r>
              <w:rPr>
                <w:lang w:val="fr-CA"/>
              </w:rPr>
              <w:t>à P12 ont été complétées ou mises à jour pour les changements P12-1</w:t>
            </w:r>
          </w:p>
        </w:tc>
        <w:tc>
          <w:tcPr>
            <w:tcW w:w="1276" w:type="dxa"/>
          </w:tcPr>
          <w:p w:rsidR="000E14F4" w:rsidRPr="00CD10D5" w:rsidRDefault="00CD10D5" w:rsidP="001020A3">
            <w:pPr>
              <w:rPr>
                <w:lang w:val="fr-CA"/>
              </w:rPr>
            </w:pPr>
            <w:r w:rsidRPr="00CD10D5">
              <w:rPr>
                <w:lang w:val="fr-CA"/>
              </w:rPr>
              <w:t>Tous</w:t>
            </w:r>
          </w:p>
        </w:tc>
        <w:tc>
          <w:tcPr>
            <w:tcW w:w="1277" w:type="dxa"/>
          </w:tcPr>
          <w:p w:rsidR="000E14F4" w:rsidRPr="00CD10D5" w:rsidRDefault="00BF46AA" w:rsidP="00CD10D5">
            <w:pPr>
              <w:rPr>
                <w:lang w:val="fr-CA"/>
              </w:rPr>
            </w:pPr>
            <w:r>
              <w:rPr>
                <w:lang w:val="fr-CA"/>
              </w:rPr>
              <w:t>21 avril</w:t>
            </w:r>
          </w:p>
        </w:tc>
      </w:tr>
      <w:tr w:rsidR="000E14F4" w:rsidRPr="00F8355F" w:rsidTr="00BF46AA">
        <w:trPr>
          <w:trHeight w:val="630"/>
        </w:trPr>
        <w:tc>
          <w:tcPr>
            <w:tcW w:w="953" w:type="dxa"/>
            <w:vMerge/>
            <w:noWrap/>
          </w:tcPr>
          <w:p w:rsidR="000E14F4" w:rsidRPr="00EF2562" w:rsidRDefault="000E14F4" w:rsidP="00EF2562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:rsidR="000E14F4" w:rsidRPr="006771E7" w:rsidRDefault="006771E7" w:rsidP="006771E7">
            <w:pPr>
              <w:rPr>
                <w:lang w:val="fr-CA"/>
              </w:rPr>
            </w:pPr>
            <w:r w:rsidRPr="004F75DB">
              <w:rPr>
                <w:lang w:val="fr-CA"/>
              </w:rPr>
              <w:t>S’assurer que tous les coûts salariaux</w:t>
            </w:r>
            <w:r>
              <w:rPr>
                <w:lang w:val="fr-CA"/>
              </w:rPr>
              <w:t xml:space="preserve"> finaux</w:t>
            </w:r>
            <w:r w:rsidRPr="004F75DB">
              <w:rPr>
                <w:lang w:val="fr-CA"/>
              </w:rPr>
              <w:t xml:space="preserve"> (feuilles de temps CATS pour les employés de la DG</w:t>
            </w:r>
            <w:r>
              <w:rPr>
                <w:lang w:val="fr-CA"/>
              </w:rPr>
              <w:t>I</w:t>
            </w:r>
            <w:r w:rsidRPr="004F75DB">
              <w:rPr>
                <w:lang w:val="fr-CA"/>
              </w:rPr>
              <w:t>IT) et non salariaux sont</w:t>
            </w:r>
            <w:r>
              <w:rPr>
                <w:lang w:val="fr-CA"/>
              </w:rPr>
              <w:t xml:space="preserve"> saisis dans les </w:t>
            </w:r>
            <w:r w:rsidRPr="004F75DB">
              <w:rPr>
                <w:lang w:val="fr-CA"/>
              </w:rPr>
              <w:t>IO/WBS</w:t>
            </w:r>
            <w:r>
              <w:rPr>
                <w:lang w:val="fr-CA"/>
              </w:rPr>
              <w:t xml:space="preserve"> appropriés. </w:t>
            </w:r>
            <w:r>
              <w:rPr>
                <w:u w:val="single"/>
                <w:lang w:val="fr-CA"/>
              </w:rPr>
              <w:t xml:space="preserve">Incluant </w:t>
            </w:r>
            <w:r w:rsidRPr="006771E7">
              <w:rPr>
                <w:u w:val="single"/>
                <w:lang w:val="fr-CA"/>
              </w:rPr>
              <w:t xml:space="preserve">les </w:t>
            </w:r>
            <w:r>
              <w:rPr>
                <w:u w:val="single"/>
                <w:lang w:val="fr-CA"/>
              </w:rPr>
              <w:t>CAFE</w:t>
            </w:r>
            <w:r w:rsidRPr="006771E7">
              <w:rPr>
                <w:u w:val="single"/>
                <w:lang w:val="fr-CA"/>
              </w:rPr>
              <w:t xml:space="preserve"> et le réalignement final des coûts des projets</w:t>
            </w:r>
          </w:p>
        </w:tc>
        <w:tc>
          <w:tcPr>
            <w:tcW w:w="1276" w:type="dxa"/>
          </w:tcPr>
          <w:p w:rsidR="000E14F4" w:rsidRPr="00CD10D5" w:rsidRDefault="000E14F4" w:rsidP="001020A3">
            <w:pPr>
              <w:rPr>
                <w:lang w:val="fr-CA"/>
              </w:rPr>
            </w:pPr>
            <w:r w:rsidRPr="00CD10D5">
              <w:rPr>
                <w:lang w:val="fr-CA"/>
              </w:rPr>
              <w:t>1 &amp; 2</w:t>
            </w:r>
          </w:p>
        </w:tc>
        <w:tc>
          <w:tcPr>
            <w:tcW w:w="1277" w:type="dxa"/>
          </w:tcPr>
          <w:p w:rsidR="000E14F4" w:rsidRPr="00BF46AA" w:rsidRDefault="00BF46AA" w:rsidP="00F8355F">
            <w:pPr>
              <w:rPr>
                <w:vertAlign w:val="superscript"/>
                <w:lang w:val="fr-CA"/>
              </w:rPr>
            </w:pPr>
            <w:r>
              <w:rPr>
                <w:lang w:val="fr-CA"/>
              </w:rPr>
              <w:t>12 avril</w:t>
            </w:r>
            <w:r>
              <w:rPr>
                <w:vertAlign w:val="superscript"/>
                <w:lang w:val="fr-CA"/>
              </w:rPr>
              <w:t>4</w:t>
            </w:r>
          </w:p>
          <w:p w:rsidR="00BF46AA" w:rsidRDefault="00BF46AA" w:rsidP="00F8355F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ou</w:t>
            </w:r>
            <w:proofErr w:type="gramEnd"/>
          </w:p>
          <w:p w:rsidR="00BF46AA" w:rsidRPr="00BF46AA" w:rsidRDefault="00BF46AA" w:rsidP="00F8355F">
            <w:pPr>
              <w:rPr>
                <w:vertAlign w:val="superscript"/>
                <w:lang w:val="fr-CA"/>
              </w:rPr>
            </w:pPr>
            <w:r>
              <w:rPr>
                <w:lang w:val="fr-CA"/>
              </w:rPr>
              <w:t>21 avril</w:t>
            </w:r>
            <w:r>
              <w:rPr>
                <w:vertAlign w:val="superscript"/>
                <w:lang w:val="fr-CA"/>
              </w:rPr>
              <w:t>5</w:t>
            </w:r>
          </w:p>
        </w:tc>
      </w:tr>
      <w:tr w:rsidR="000E14F4" w:rsidRPr="00EF2562" w:rsidTr="00BF46AA">
        <w:trPr>
          <w:trHeight w:val="529"/>
        </w:trPr>
        <w:tc>
          <w:tcPr>
            <w:tcW w:w="953" w:type="dxa"/>
            <w:vMerge/>
            <w:noWrap/>
          </w:tcPr>
          <w:p w:rsidR="000E14F4" w:rsidRPr="00EF2562" w:rsidRDefault="000E14F4" w:rsidP="00EF2562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:rsidR="000E14F4" w:rsidRPr="006771E7" w:rsidRDefault="006771E7" w:rsidP="00B66022">
            <w:pPr>
              <w:rPr>
                <w:lang w:val="fr-CA"/>
              </w:rPr>
            </w:pPr>
            <w:r w:rsidRPr="006319DB">
              <w:rPr>
                <w:lang w:val="fr-CA"/>
              </w:rPr>
              <w:t>Envoyer</w:t>
            </w:r>
            <w:r>
              <w:rPr>
                <w:lang w:val="fr-CA"/>
              </w:rPr>
              <w:t xml:space="preserve"> à la Comptabilité ministérielle</w:t>
            </w:r>
            <w:r w:rsidRPr="006319DB">
              <w:rPr>
                <w:lang w:val="fr-CA"/>
              </w:rPr>
              <w:t xml:space="preserve"> la liste </w:t>
            </w:r>
            <w:r>
              <w:rPr>
                <w:lang w:val="fr-CA"/>
              </w:rPr>
              <w:t>final</w:t>
            </w:r>
            <w:r w:rsidRPr="006319DB">
              <w:rPr>
                <w:lang w:val="fr-CA"/>
              </w:rPr>
              <w:t xml:space="preserve">e des </w:t>
            </w:r>
            <w:r>
              <w:rPr>
                <w:lang w:val="fr-CA"/>
              </w:rPr>
              <w:t xml:space="preserve">biens vendus par les services de disposition de TPSGC (incluant les transactions de mars et </w:t>
            </w:r>
            <w:r w:rsidR="00B66022">
              <w:rPr>
                <w:lang w:val="fr-CA"/>
              </w:rPr>
              <w:t>DA</w:t>
            </w:r>
            <w:r>
              <w:rPr>
                <w:lang w:val="fr-CA"/>
              </w:rPr>
              <w:t>FE)</w:t>
            </w:r>
          </w:p>
        </w:tc>
        <w:tc>
          <w:tcPr>
            <w:tcW w:w="1276" w:type="dxa"/>
          </w:tcPr>
          <w:p w:rsidR="000E14F4" w:rsidRPr="00CD10D5" w:rsidRDefault="000E14F4" w:rsidP="00375FF8">
            <w:pPr>
              <w:rPr>
                <w:lang w:val="fr-CA"/>
              </w:rPr>
            </w:pPr>
            <w:r w:rsidRPr="00CD10D5">
              <w:rPr>
                <w:lang w:val="fr-CA"/>
              </w:rPr>
              <w:t>4</w:t>
            </w:r>
          </w:p>
        </w:tc>
        <w:tc>
          <w:tcPr>
            <w:tcW w:w="1277" w:type="dxa"/>
          </w:tcPr>
          <w:p w:rsidR="000E14F4" w:rsidRPr="00CD10D5" w:rsidRDefault="00BF46AA" w:rsidP="001C06D7">
            <w:pPr>
              <w:rPr>
                <w:lang w:val="fr-CA"/>
              </w:rPr>
            </w:pPr>
            <w:r>
              <w:t xml:space="preserve">13 </w:t>
            </w:r>
            <w:proofErr w:type="spellStart"/>
            <w:r>
              <w:t>avril</w:t>
            </w:r>
            <w:proofErr w:type="spellEnd"/>
          </w:p>
        </w:tc>
      </w:tr>
      <w:tr w:rsidR="000E14F4" w:rsidRPr="00EF2562" w:rsidTr="00BF46AA">
        <w:trPr>
          <w:trHeight w:val="467"/>
        </w:trPr>
        <w:tc>
          <w:tcPr>
            <w:tcW w:w="953" w:type="dxa"/>
            <w:vMerge/>
            <w:noWrap/>
          </w:tcPr>
          <w:p w:rsidR="000E14F4" w:rsidRPr="00EF2562" w:rsidRDefault="000E14F4" w:rsidP="00EF2562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:rsidR="000E14F4" w:rsidRPr="00B66022" w:rsidRDefault="00B66022" w:rsidP="00B66022">
            <w:pPr>
              <w:rPr>
                <w:lang w:val="fr-CA"/>
              </w:rPr>
            </w:pPr>
            <w:r w:rsidRPr="00B66022">
              <w:rPr>
                <w:lang w:val="fr-CA"/>
              </w:rPr>
              <w:t>Enregist</w:t>
            </w:r>
            <w:r>
              <w:rPr>
                <w:lang w:val="fr-CA"/>
              </w:rPr>
              <w:t>r</w:t>
            </w:r>
            <w:r w:rsidRPr="00B66022">
              <w:rPr>
                <w:lang w:val="fr-CA"/>
              </w:rPr>
              <w:t>er manuellement le DAFE (doc de type YA) pour la vente des biens (RI avec TPSGC</w:t>
            </w:r>
            <w:r>
              <w:rPr>
                <w:lang w:val="fr-CA"/>
              </w:rPr>
              <w:t xml:space="preserve"> dans la nouvelle année)</w:t>
            </w:r>
          </w:p>
        </w:tc>
        <w:tc>
          <w:tcPr>
            <w:tcW w:w="1276" w:type="dxa"/>
          </w:tcPr>
          <w:p w:rsidR="000E14F4" w:rsidRPr="00CD10D5" w:rsidRDefault="000E14F4" w:rsidP="00EF2562">
            <w:pPr>
              <w:rPr>
                <w:lang w:val="fr-CA"/>
              </w:rPr>
            </w:pPr>
            <w:r w:rsidRPr="00CD10D5">
              <w:rPr>
                <w:lang w:val="fr-CA"/>
              </w:rPr>
              <w:t>3</w:t>
            </w:r>
          </w:p>
        </w:tc>
        <w:tc>
          <w:tcPr>
            <w:tcW w:w="1277" w:type="dxa"/>
          </w:tcPr>
          <w:p w:rsidR="000E14F4" w:rsidRPr="00CD10D5" w:rsidRDefault="00BF46AA" w:rsidP="001C06D7">
            <w:pPr>
              <w:rPr>
                <w:lang w:val="fr-CA"/>
              </w:rPr>
            </w:pPr>
            <w:r>
              <w:t xml:space="preserve">27 </w:t>
            </w:r>
            <w:proofErr w:type="spellStart"/>
            <w:r>
              <w:t>avril</w:t>
            </w:r>
            <w:proofErr w:type="spellEnd"/>
          </w:p>
        </w:tc>
      </w:tr>
      <w:tr w:rsidR="007818FD" w:rsidRPr="00EF2562" w:rsidTr="00BF46AA">
        <w:trPr>
          <w:trHeight w:val="427"/>
        </w:trPr>
        <w:tc>
          <w:tcPr>
            <w:tcW w:w="953" w:type="dxa"/>
            <w:vMerge/>
            <w:noWrap/>
          </w:tcPr>
          <w:p w:rsidR="007818FD" w:rsidRPr="00EF2562" w:rsidRDefault="007818FD" w:rsidP="00EF2562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:rsidR="007818FD" w:rsidRPr="006771E7" w:rsidRDefault="007818FD" w:rsidP="007F198C">
            <w:pPr>
              <w:rPr>
                <w:lang w:val="fr-CA"/>
              </w:rPr>
            </w:pPr>
            <w:r w:rsidRPr="00A71C41">
              <w:rPr>
                <w:lang w:val="fr-CA"/>
              </w:rPr>
              <w:t>Établir les règles d’imputation</w:t>
            </w:r>
            <w:r>
              <w:rPr>
                <w:lang w:val="fr-CA"/>
              </w:rPr>
              <w:t xml:space="preserve"> finales</w:t>
            </w:r>
            <w:r w:rsidRPr="00A71C41">
              <w:rPr>
                <w:lang w:val="fr-CA"/>
              </w:rPr>
              <w:t xml:space="preserve"> pour </w:t>
            </w:r>
            <w:r>
              <w:rPr>
                <w:lang w:val="fr-CA"/>
              </w:rPr>
              <w:t>chaque projet et au besoin, établir les imputations manuelles pour des projets spécifiques</w:t>
            </w:r>
          </w:p>
        </w:tc>
        <w:tc>
          <w:tcPr>
            <w:tcW w:w="1276" w:type="dxa"/>
          </w:tcPr>
          <w:p w:rsidR="007818FD" w:rsidRPr="00CD10D5" w:rsidRDefault="007818FD" w:rsidP="007F198C">
            <w:pPr>
              <w:rPr>
                <w:lang w:val="fr-CA"/>
              </w:rPr>
            </w:pPr>
            <w:r w:rsidRPr="00CD10D5">
              <w:rPr>
                <w:lang w:val="fr-CA"/>
              </w:rPr>
              <w:t>1 &amp; 2</w:t>
            </w:r>
          </w:p>
        </w:tc>
        <w:tc>
          <w:tcPr>
            <w:tcW w:w="1277" w:type="dxa"/>
          </w:tcPr>
          <w:p w:rsidR="007818FD" w:rsidRPr="00CD10D5" w:rsidRDefault="00BF46AA" w:rsidP="00B44F23">
            <w:pPr>
              <w:rPr>
                <w:lang w:val="fr-CA"/>
              </w:rPr>
            </w:pPr>
            <w:r>
              <w:rPr>
                <w:lang w:val="fr-CA"/>
              </w:rPr>
              <w:t>21 avril</w:t>
            </w:r>
          </w:p>
        </w:tc>
      </w:tr>
      <w:tr w:rsidR="007818FD" w:rsidRPr="00EF2562" w:rsidTr="00BF46AA">
        <w:trPr>
          <w:trHeight w:val="427"/>
        </w:trPr>
        <w:tc>
          <w:tcPr>
            <w:tcW w:w="953" w:type="dxa"/>
            <w:vMerge/>
            <w:noWrap/>
            <w:hideMark/>
          </w:tcPr>
          <w:p w:rsidR="007818FD" w:rsidRPr="00EF2562" w:rsidRDefault="007818FD" w:rsidP="00EF2562">
            <w:pPr>
              <w:rPr>
                <w:b/>
                <w:bCs/>
              </w:rPr>
            </w:pPr>
          </w:p>
        </w:tc>
        <w:tc>
          <w:tcPr>
            <w:tcW w:w="7138" w:type="dxa"/>
            <w:hideMark/>
          </w:tcPr>
          <w:p w:rsidR="007818FD" w:rsidRPr="00B66022" w:rsidRDefault="007818FD" w:rsidP="00B66022">
            <w:pPr>
              <w:rPr>
                <w:lang w:val="fr-CA"/>
              </w:rPr>
            </w:pPr>
            <w:r w:rsidRPr="00835F4B">
              <w:rPr>
                <w:lang w:val="fr-CA"/>
              </w:rPr>
              <w:t>S’assurer que l’autorité A131 est correctement ajusté</w:t>
            </w:r>
            <w:r>
              <w:rPr>
                <w:lang w:val="fr-CA"/>
              </w:rPr>
              <w:t>e</w:t>
            </w:r>
          </w:p>
        </w:tc>
        <w:tc>
          <w:tcPr>
            <w:tcW w:w="1276" w:type="dxa"/>
          </w:tcPr>
          <w:p w:rsidR="007818FD" w:rsidRPr="00CD10D5" w:rsidRDefault="007818FD" w:rsidP="00EF2562">
            <w:pPr>
              <w:rPr>
                <w:lang w:val="fr-CA"/>
              </w:rPr>
            </w:pPr>
            <w:r w:rsidRPr="00CD10D5">
              <w:rPr>
                <w:lang w:val="fr-CA"/>
              </w:rPr>
              <w:t>7</w:t>
            </w:r>
          </w:p>
        </w:tc>
        <w:tc>
          <w:tcPr>
            <w:tcW w:w="1277" w:type="dxa"/>
          </w:tcPr>
          <w:p w:rsidR="007818FD" w:rsidRPr="00CD10D5" w:rsidRDefault="00BF46AA" w:rsidP="00F8355F">
            <w:pPr>
              <w:rPr>
                <w:lang w:val="fr-CA"/>
              </w:rPr>
            </w:pPr>
            <w:r>
              <w:rPr>
                <w:lang w:val="fr-CA"/>
              </w:rPr>
              <w:t>21 avril</w:t>
            </w:r>
          </w:p>
        </w:tc>
      </w:tr>
      <w:tr w:rsidR="007818FD" w:rsidRPr="00EF2562" w:rsidTr="00BF46AA">
        <w:trPr>
          <w:trHeight w:val="419"/>
        </w:trPr>
        <w:tc>
          <w:tcPr>
            <w:tcW w:w="953" w:type="dxa"/>
            <w:vMerge/>
            <w:noWrap/>
          </w:tcPr>
          <w:p w:rsidR="007818FD" w:rsidRPr="00EF2562" w:rsidRDefault="007818FD" w:rsidP="00EF2562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:rsidR="007818FD" w:rsidRPr="00B66022" w:rsidRDefault="007818FD" w:rsidP="00B66022">
            <w:pPr>
              <w:rPr>
                <w:lang w:val="fr-CA"/>
              </w:rPr>
            </w:pPr>
            <w:r w:rsidRPr="006319DB">
              <w:rPr>
                <w:lang w:val="fr-CA"/>
              </w:rPr>
              <w:t xml:space="preserve">S’assurer que les informations </w:t>
            </w:r>
            <w:r>
              <w:rPr>
                <w:lang w:val="fr-CA"/>
              </w:rPr>
              <w:t xml:space="preserve">finales </w:t>
            </w:r>
            <w:r w:rsidRPr="006319DB">
              <w:rPr>
                <w:lang w:val="fr-CA"/>
              </w:rPr>
              <w:t xml:space="preserve">de disposition sont exactes et </w:t>
            </w:r>
            <w:r>
              <w:rPr>
                <w:lang w:val="fr-CA"/>
              </w:rPr>
              <w:t>mises à jour dans maSGE</w:t>
            </w:r>
          </w:p>
        </w:tc>
        <w:tc>
          <w:tcPr>
            <w:tcW w:w="1276" w:type="dxa"/>
          </w:tcPr>
          <w:p w:rsidR="007818FD" w:rsidRPr="00CD10D5" w:rsidRDefault="007818FD" w:rsidP="00EF2562">
            <w:pPr>
              <w:rPr>
                <w:lang w:val="fr-CA"/>
              </w:rPr>
            </w:pPr>
            <w:r w:rsidRPr="00CD10D5">
              <w:rPr>
                <w:lang w:val="fr-CA"/>
              </w:rPr>
              <w:t>6</w:t>
            </w:r>
          </w:p>
        </w:tc>
        <w:tc>
          <w:tcPr>
            <w:tcW w:w="1277" w:type="dxa"/>
          </w:tcPr>
          <w:p w:rsidR="007818FD" w:rsidRPr="00CD10D5" w:rsidRDefault="00BF46AA">
            <w:pPr>
              <w:rPr>
                <w:lang w:val="fr-CA"/>
              </w:rPr>
            </w:pPr>
            <w:r>
              <w:rPr>
                <w:lang w:val="fr-CA"/>
              </w:rPr>
              <w:t>13 avril</w:t>
            </w:r>
          </w:p>
        </w:tc>
      </w:tr>
      <w:tr w:rsidR="004470E3" w:rsidRPr="00EF2562" w:rsidTr="00BF46AA">
        <w:trPr>
          <w:trHeight w:val="315"/>
        </w:trPr>
        <w:tc>
          <w:tcPr>
            <w:tcW w:w="953" w:type="dxa"/>
            <w:vMerge/>
            <w:noWrap/>
            <w:hideMark/>
          </w:tcPr>
          <w:p w:rsidR="004470E3" w:rsidRPr="00EF2562" w:rsidRDefault="004470E3" w:rsidP="004470E3">
            <w:pPr>
              <w:rPr>
                <w:b/>
                <w:bCs/>
              </w:rPr>
            </w:pPr>
          </w:p>
        </w:tc>
        <w:tc>
          <w:tcPr>
            <w:tcW w:w="7138" w:type="dxa"/>
            <w:hideMark/>
          </w:tcPr>
          <w:p w:rsidR="004470E3" w:rsidRPr="00B66022" w:rsidRDefault="004470E3" w:rsidP="004470E3">
            <w:pPr>
              <w:rPr>
                <w:lang w:val="fr-CA"/>
              </w:rPr>
            </w:pPr>
            <w:r w:rsidRPr="00B66022">
              <w:rPr>
                <w:lang w:val="fr-CA"/>
              </w:rPr>
              <w:t>Date de fermeture P12-1 pour tous les utilisateurs (sauf pour la Comptabilité ministérielle)</w:t>
            </w:r>
          </w:p>
        </w:tc>
        <w:tc>
          <w:tcPr>
            <w:tcW w:w="1276" w:type="dxa"/>
            <w:hideMark/>
          </w:tcPr>
          <w:p w:rsidR="004470E3" w:rsidRPr="00CD10D5" w:rsidRDefault="004470E3" w:rsidP="004470E3">
            <w:pPr>
              <w:rPr>
                <w:lang w:val="fr-CA"/>
              </w:rPr>
            </w:pPr>
            <w:r w:rsidRPr="00CD10D5">
              <w:rPr>
                <w:lang w:val="fr-CA"/>
              </w:rPr>
              <w:t>Tous</w:t>
            </w:r>
          </w:p>
        </w:tc>
        <w:tc>
          <w:tcPr>
            <w:tcW w:w="1277" w:type="dxa"/>
            <w:hideMark/>
          </w:tcPr>
          <w:p w:rsidR="004470E3" w:rsidRDefault="00BF46AA" w:rsidP="004470E3">
            <w:r>
              <w:rPr>
                <w:lang w:val="fr-CA"/>
              </w:rPr>
              <w:t>21 avril</w:t>
            </w:r>
          </w:p>
        </w:tc>
      </w:tr>
      <w:tr w:rsidR="007818FD" w:rsidRPr="00FA4A8E" w:rsidTr="00BF46AA">
        <w:trPr>
          <w:trHeight w:val="315"/>
        </w:trPr>
        <w:tc>
          <w:tcPr>
            <w:tcW w:w="953" w:type="dxa"/>
            <w:vMerge/>
            <w:noWrap/>
            <w:hideMark/>
          </w:tcPr>
          <w:p w:rsidR="007818FD" w:rsidRPr="00EF2562" w:rsidRDefault="007818FD" w:rsidP="00EF2562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:rsidR="007818FD" w:rsidRPr="00FB1D15" w:rsidRDefault="007818FD" w:rsidP="00BC476A">
            <w:pPr>
              <w:rPr>
                <w:lang w:val="fr-CA"/>
              </w:rPr>
            </w:pPr>
            <w:r>
              <w:rPr>
                <w:lang w:val="fr-CA"/>
              </w:rPr>
              <w:t xml:space="preserve">Exécuter </w:t>
            </w:r>
            <w:r w:rsidRPr="00FB1D15">
              <w:rPr>
                <w:lang w:val="fr-CA"/>
              </w:rPr>
              <w:t xml:space="preserve"> l</w:t>
            </w:r>
            <w:r>
              <w:rPr>
                <w:lang w:val="fr-CA"/>
              </w:rPr>
              <w:t>a répartition</w:t>
            </w:r>
            <w:r w:rsidRPr="00FB1D15">
              <w:rPr>
                <w:lang w:val="fr-CA"/>
              </w:rPr>
              <w:t xml:space="preserve"> finale des coûts (temps non productif, cotisations de l’employeur, etc.);</w:t>
            </w:r>
            <w:r>
              <w:rPr>
                <w:lang w:val="fr-CA"/>
              </w:rPr>
              <w:t xml:space="preserve"> exécuter </w:t>
            </w:r>
            <w:r w:rsidRPr="00FB1D15">
              <w:rPr>
                <w:lang w:val="fr-CA"/>
              </w:rPr>
              <w:t>les imputations finales en s’assurant que tous les coûts sont imputés (suivis avec les FMA au besoin); et ferm</w:t>
            </w:r>
            <w:r>
              <w:rPr>
                <w:lang w:val="fr-CA"/>
              </w:rPr>
              <w:t>er l</w:t>
            </w:r>
            <w:r w:rsidRPr="00FB1D15">
              <w:rPr>
                <w:lang w:val="fr-CA"/>
              </w:rPr>
              <w:t>es transactions</w:t>
            </w:r>
            <w:r>
              <w:rPr>
                <w:lang w:val="fr-CA"/>
              </w:rPr>
              <w:t xml:space="preserve"> d’imputation</w:t>
            </w:r>
            <w:r w:rsidRPr="00FB1D15">
              <w:rPr>
                <w:lang w:val="fr-CA"/>
              </w:rPr>
              <w:t xml:space="preserve"> du module CO</w:t>
            </w:r>
          </w:p>
        </w:tc>
        <w:tc>
          <w:tcPr>
            <w:tcW w:w="1276" w:type="dxa"/>
          </w:tcPr>
          <w:p w:rsidR="007818FD" w:rsidRPr="00CD10D5" w:rsidRDefault="007818FD" w:rsidP="001020A3">
            <w:pPr>
              <w:rPr>
                <w:lang w:val="fr-CA"/>
              </w:rPr>
            </w:pPr>
            <w:r w:rsidRPr="00CD10D5">
              <w:rPr>
                <w:lang w:val="fr-CA"/>
              </w:rPr>
              <w:t>9</w:t>
            </w:r>
          </w:p>
        </w:tc>
        <w:tc>
          <w:tcPr>
            <w:tcW w:w="1277" w:type="dxa"/>
          </w:tcPr>
          <w:p w:rsidR="007818FD" w:rsidRPr="00CD10D5" w:rsidRDefault="00BF46AA" w:rsidP="001020A3">
            <w:pPr>
              <w:rPr>
                <w:lang w:val="fr-CA"/>
              </w:rPr>
            </w:pPr>
            <w:r>
              <w:rPr>
                <w:lang w:val="fr-CA"/>
              </w:rPr>
              <w:t>26 avril</w:t>
            </w:r>
          </w:p>
        </w:tc>
      </w:tr>
      <w:tr w:rsidR="00086CB9" w:rsidRPr="00086CB9" w:rsidTr="00BF46AA">
        <w:trPr>
          <w:trHeight w:val="315"/>
        </w:trPr>
        <w:tc>
          <w:tcPr>
            <w:tcW w:w="953" w:type="dxa"/>
            <w:vMerge/>
            <w:noWrap/>
          </w:tcPr>
          <w:p w:rsidR="00086CB9" w:rsidRPr="00FA4A8E" w:rsidRDefault="00086CB9" w:rsidP="00EF2562">
            <w:pPr>
              <w:rPr>
                <w:b/>
                <w:bCs/>
                <w:lang w:val="fr-CA"/>
              </w:rPr>
            </w:pPr>
          </w:p>
        </w:tc>
        <w:tc>
          <w:tcPr>
            <w:tcW w:w="7138" w:type="dxa"/>
          </w:tcPr>
          <w:p w:rsidR="00086CB9" w:rsidRPr="00835F4B" w:rsidRDefault="00086CB9" w:rsidP="00086CB9">
            <w:pPr>
              <w:rPr>
                <w:lang w:val="fr-CA"/>
              </w:rPr>
            </w:pPr>
            <w:r>
              <w:rPr>
                <w:lang w:val="fr-CA"/>
              </w:rPr>
              <w:t xml:space="preserve">Fermer </w:t>
            </w:r>
            <w:r w:rsidR="00CB189D">
              <w:rPr>
                <w:rFonts w:ascii="Calibri" w:hAnsi="Calibri"/>
                <w:color w:val="000000"/>
                <w:lang w:val="fr-CA"/>
              </w:rPr>
              <w:t>l’année financière 2020-21</w:t>
            </w:r>
            <w:r>
              <w:rPr>
                <w:rFonts w:ascii="Calibri" w:hAnsi="Calibri"/>
                <w:color w:val="000000"/>
                <w:lang w:val="fr-CA"/>
              </w:rPr>
              <w:t xml:space="preserve"> </w:t>
            </w:r>
            <w:r w:rsidRPr="00797D5E">
              <w:rPr>
                <w:rFonts w:ascii="Calibri" w:hAnsi="Calibri"/>
                <w:color w:val="000000"/>
                <w:lang w:val="fr-CA"/>
              </w:rPr>
              <w:t>dans le module</w:t>
            </w:r>
            <w:r>
              <w:rPr>
                <w:rFonts w:ascii="Calibri" w:hAnsi="Calibri"/>
                <w:color w:val="000000"/>
                <w:lang w:val="fr-CA"/>
              </w:rPr>
              <w:t xml:space="preserve"> « </w:t>
            </w:r>
            <w:proofErr w:type="spellStart"/>
            <w:r w:rsidRPr="00797D5E">
              <w:rPr>
                <w:rFonts w:ascii="Calibri" w:hAnsi="Calibri"/>
                <w:color w:val="000000"/>
                <w:lang w:val="fr-CA"/>
              </w:rPr>
              <w:t>Asset</w:t>
            </w:r>
            <w:proofErr w:type="spellEnd"/>
            <w:r w:rsidRPr="00797D5E">
              <w:rPr>
                <w:rFonts w:ascii="Calibri" w:hAnsi="Calibri"/>
                <w:color w:val="000000"/>
                <w:lang w:val="fr-CA"/>
              </w:rPr>
              <w:t xml:space="preserve"> </w:t>
            </w:r>
            <w:proofErr w:type="spellStart"/>
            <w:r w:rsidRPr="00797D5E">
              <w:rPr>
                <w:rFonts w:ascii="Calibri" w:hAnsi="Calibri"/>
                <w:color w:val="000000"/>
                <w:lang w:val="fr-CA"/>
              </w:rPr>
              <w:t>Accounting</w:t>
            </w:r>
            <w:proofErr w:type="spellEnd"/>
            <w:r>
              <w:rPr>
                <w:rFonts w:ascii="Calibri" w:hAnsi="Calibri"/>
                <w:color w:val="000000"/>
                <w:lang w:val="fr-CA"/>
              </w:rPr>
              <w:t> »</w:t>
            </w:r>
          </w:p>
        </w:tc>
        <w:tc>
          <w:tcPr>
            <w:tcW w:w="1276" w:type="dxa"/>
          </w:tcPr>
          <w:p w:rsidR="00086CB9" w:rsidRPr="00CD10D5" w:rsidRDefault="00086CB9" w:rsidP="00EF2562">
            <w:pPr>
              <w:rPr>
                <w:lang w:val="fr-CA"/>
              </w:rPr>
            </w:pPr>
            <w:r>
              <w:rPr>
                <w:lang w:val="fr-CA"/>
              </w:rPr>
              <w:t>8</w:t>
            </w:r>
          </w:p>
        </w:tc>
        <w:tc>
          <w:tcPr>
            <w:tcW w:w="1277" w:type="dxa"/>
          </w:tcPr>
          <w:p w:rsidR="00086CB9" w:rsidRDefault="00CB189D">
            <w:pPr>
              <w:rPr>
                <w:lang w:val="fr-CA"/>
              </w:rPr>
            </w:pPr>
            <w:r>
              <w:rPr>
                <w:lang w:val="fr-CA"/>
              </w:rPr>
              <w:t>TBD</w:t>
            </w:r>
          </w:p>
        </w:tc>
      </w:tr>
      <w:tr w:rsidR="007818FD" w:rsidRPr="00FA4A8E" w:rsidTr="00BF46AA">
        <w:trPr>
          <w:trHeight w:val="315"/>
        </w:trPr>
        <w:tc>
          <w:tcPr>
            <w:tcW w:w="953" w:type="dxa"/>
            <w:vMerge/>
            <w:noWrap/>
            <w:hideMark/>
          </w:tcPr>
          <w:p w:rsidR="007818FD" w:rsidRPr="00FA4A8E" w:rsidRDefault="007818FD" w:rsidP="00EF2562">
            <w:pPr>
              <w:rPr>
                <w:b/>
                <w:bCs/>
                <w:lang w:val="fr-CA"/>
              </w:rPr>
            </w:pPr>
          </w:p>
        </w:tc>
        <w:tc>
          <w:tcPr>
            <w:tcW w:w="7138" w:type="dxa"/>
            <w:hideMark/>
          </w:tcPr>
          <w:p w:rsidR="007818FD" w:rsidRPr="00FB1D15" w:rsidRDefault="007818FD" w:rsidP="00FB1D15">
            <w:pPr>
              <w:rPr>
                <w:lang w:val="fr-CA"/>
              </w:rPr>
            </w:pPr>
            <w:r w:rsidRPr="00835F4B">
              <w:rPr>
                <w:lang w:val="fr-CA"/>
              </w:rPr>
              <w:t xml:space="preserve">Enregistrer les transactions </w:t>
            </w:r>
            <w:r>
              <w:rPr>
                <w:lang w:val="fr-CA"/>
              </w:rPr>
              <w:t xml:space="preserve">finales </w:t>
            </w:r>
            <w:r w:rsidRPr="00835F4B">
              <w:rPr>
                <w:lang w:val="fr-CA"/>
              </w:rPr>
              <w:t>de dispo</w:t>
            </w:r>
            <w:r>
              <w:rPr>
                <w:lang w:val="fr-CA"/>
              </w:rPr>
              <w:t>s</w:t>
            </w:r>
            <w:r w:rsidRPr="00835F4B">
              <w:rPr>
                <w:lang w:val="fr-CA"/>
              </w:rPr>
              <w:t xml:space="preserve">ition </w:t>
            </w:r>
            <w:r>
              <w:rPr>
                <w:lang w:val="fr-CA"/>
              </w:rPr>
              <w:t xml:space="preserve">d’actifs </w:t>
            </w:r>
            <w:r w:rsidRPr="00835F4B">
              <w:rPr>
                <w:lang w:val="fr-CA"/>
              </w:rPr>
              <w:t>dans maSGE</w:t>
            </w:r>
            <w:r>
              <w:rPr>
                <w:lang w:val="fr-CA"/>
              </w:rPr>
              <w:t xml:space="preserve"> (incluant les DAFE)</w:t>
            </w:r>
          </w:p>
        </w:tc>
        <w:tc>
          <w:tcPr>
            <w:tcW w:w="1276" w:type="dxa"/>
            <w:hideMark/>
          </w:tcPr>
          <w:p w:rsidR="007818FD" w:rsidRPr="00CD10D5" w:rsidRDefault="007818FD" w:rsidP="00EF2562">
            <w:pPr>
              <w:rPr>
                <w:lang w:val="fr-CA"/>
              </w:rPr>
            </w:pPr>
            <w:r w:rsidRPr="00CD10D5">
              <w:rPr>
                <w:lang w:val="fr-CA"/>
              </w:rPr>
              <w:t>3</w:t>
            </w:r>
          </w:p>
        </w:tc>
        <w:tc>
          <w:tcPr>
            <w:tcW w:w="1277" w:type="dxa"/>
            <w:hideMark/>
          </w:tcPr>
          <w:p w:rsidR="007818FD" w:rsidRPr="00CD10D5" w:rsidRDefault="00BF46AA">
            <w:pPr>
              <w:rPr>
                <w:lang w:val="fr-CA"/>
              </w:rPr>
            </w:pPr>
            <w:r>
              <w:rPr>
                <w:lang w:val="fr-CA"/>
              </w:rPr>
              <w:t>27 avril</w:t>
            </w:r>
          </w:p>
        </w:tc>
      </w:tr>
      <w:tr w:rsidR="007818FD" w:rsidRPr="00EF2562" w:rsidTr="00BF46AA">
        <w:trPr>
          <w:trHeight w:val="484"/>
        </w:trPr>
        <w:tc>
          <w:tcPr>
            <w:tcW w:w="953" w:type="dxa"/>
            <w:vMerge/>
            <w:noWrap/>
            <w:hideMark/>
          </w:tcPr>
          <w:p w:rsidR="007818FD" w:rsidRPr="00FA4A8E" w:rsidRDefault="007818FD" w:rsidP="00EF2562">
            <w:pPr>
              <w:rPr>
                <w:b/>
                <w:bCs/>
                <w:lang w:val="fr-CA"/>
              </w:rPr>
            </w:pPr>
          </w:p>
        </w:tc>
        <w:tc>
          <w:tcPr>
            <w:tcW w:w="7138" w:type="dxa"/>
            <w:hideMark/>
          </w:tcPr>
          <w:p w:rsidR="007818FD" w:rsidRPr="00FB1D15" w:rsidRDefault="007818FD" w:rsidP="00BC476A">
            <w:pPr>
              <w:rPr>
                <w:lang w:val="fr-CA"/>
              </w:rPr>
            </w:pPr>
            <w:r w:rsidRPr="00FB1D15">
              <w:rPr>
                <w:lang w:val="fr-CA"/>
              </w:rPr>
              <w:t>S’assurer que le compte en suspend (GL 216701) est</w:t>
            </w:r>
            <w:r>
              <w:rPr>
                <w:lang w:val="fr-CA"/>
              </w:rPr>
              <w:t xml:space="preserve"> concilié</w:t>
            </w:r>
            <w:r w:rsidRPr="00FB1D15">
              <w:rPr>
                <w:lang w:val="fr-CA"/>
              </w:rPr>
              <w:t xml:space="preserve">  avec le GL 216702 (le FRA 21627 doit-</w:t>
            </w:r>
            <w:r>
              <w:rPr>
                <w:lang w:val="fr-CA"/>
              </w:rPr>
              <w:t>être à 0$ à la fin de l’exercice)</w:t>
            </w:r>
          </w:p>
        </w:tc>
        <w:tc>
          <w:tcPr>
            <w:tcW w:w="1276" w:type="dxa"/>
            <w:hideMark/>
          </w:tcPr>
          <w:p w:rsidR="007818FD" w:rsidRPr="00CD10D5" w:rsidRDefault="007818FD" w:rsidP="00EF2562">
            <w:pPr>
              <w:rPr>
                <w:lang w:val="fr-CA"/>
              </w:rPr>
            </w:pPr>
            <w:r w:rsidRPr="00CD10D5">
              <w:rPr>
                <w:lang w:val="fr-CA"/>
              </w:rPr>
              <w:t>3</w:t>
            </w:r>
          </w:p>
        </w:tc>
        <w:tc>
          <w:tcPr>
            <w:tcW w:w="1277" w:type="dxa"/>
            <w:hideMark/>
          </w:tcPr>
          <w:p w:rsidR="007818FD" w:rsidRPr="00CD10D5" w:rsidRDefault="00BF46AA">
            <w:pPr>
              <w:rPr>
                <w:lang w:val="fr-CA"/>
              </w:rPr>
            </w:pPr>
            <w:r>
              <w:rPr>
                <w:lang w:val="fr-CA"/>
              </w:rPr>
              <w:t>27 avril</w:t>
            </w:r>
          </w:p>
        </w:tc>
      </w:tr>
      <w:tr w:rsidR="007818FD" w:rsidRPr="00EF2562" w:rsidTr="00BF46AA">
        <w:trPr>
          <w:trHeight w:val="315"/>
        </w:trPr>
        <w:tc>
          <w:tcPr>
            <w:tcW w:w="953" w:type="dxa"/>
            <w:vMerge/>
            <w:noWrap/>
            <w:hideMark/>
          </w:tcPr>
          <w:p w:rsidR="007818FD" w:rsidRPr="00EF2562" w:rsidRDefault="007818FD" w:rsidP="00EF2562">
            <w:pPr>
              <w:rPr>
                <w:b/>
                <w:bCs/>
              </w:rPr>
            </w:pPr>
          </w:p>
        </w:tc>
        <w:tc>
          <w:tcPr>
            <w:tcW w:w="7138" w:type="dxa"/>
            <w:hideMark/>
          </w:tcPr>
          <w:p w:rsidR="007818FD" w:rsidRPr="00797D5E" w:rsidRDefault="007818FD" w:rsidP="00CB189D">
            <w:pPr>
              <w:rPr>
                <w:lang w:val="fr-CA"/>
              </w:rPr>
            </w:pPr>
            <w:r w:rsidRPr="002E39A5">
              <w:rPr>
                <w:lang w:val="fr-CA"/>
              </w:rPr>
              <w:t xml:space="preserve">Imputation des projets </w:t>
            </w:r>
            <w:r>
              <w:rPr>
                <w:lang w:val="fr-CA"/>
              </w:rPr>
              <w:t xml:space="preserve">finaux </w:t>
            </w:r>
            <w:r w:rsidRPr="002E39A5">
              <w:rPr>
                <w:lang w:val="fr-CA"/>
              </w:rPr>
              <w:t>complét</w:t>
            </w:r>
            <w:r>
              <w:rPr>
                <w:lang w:val="fr-CA"/>
              </w:rPr>
              <w:t>é</w:t>
            </w:r>
            <w:r w:rsidRPr="002E39A5">
              <w:rPr>
                <w:lang w:val="fr-CA"/>
              </w:rPr>
              <w:t xml:space="preserve">s </w:t>
            </w:r>
            <w:r>
              <w:rPr>
                <w:lang w:val="fr-CA"/>
              </w:rPr>
              <w:t>de l’AEC à la fiche d’immobilisation</w:t>
            </w:r>
            <w:r w:rsidRPr="002E39A5">
              <w:rPr>
                <w:lang w:val="fr-CA"/>
              </w:rPr>
              <w:t xml:space="preserve"> final</w:t>
            </w:r>
            <w:r>
              <w:rPr>
                <w:lang w:val="fr-CA"/>
              </w:rPr>
              <w:t xml:space="preserve">e (s’assurer qu’aucun projet de moins de 10 000$ n’est capitalisé) et enregistrement de la dépense finale d’amortissement pour </w:t>
            </w:r>
            <w:r w:rsidR="00CB189D">
              <w:rPr>
                <w:lang w:val="fr-CA"/>
              </w:rPr>
              <w:t>2020-21</w:t>
            </w:r>
          </w:p>
        </w:tc>
        <w:tc>
          <w:tcPr>
            <w:tcW w:w="1276" w:type="dxa"/>
            <w:hideMark/>
          </w:tcPr>
          <w:p w:rsidR="007818FD" w:rsidRPr="00CD10D5" w:rsidRDefault="007818FD" w:rsidP="00EF2562">
            <w:pPr>
              <w:rPr>
                <w:lang w:val="fr-CA"/>
              </w:rPr>
            </w:pPr>
            <w:r w:rsidRPr="00CD10D5">
              <w:rPr>
                <w:lang w:val="fr-CA"/>
              </w:rPr>
              <w:t>3</w:t>
            </w:r>
          </w:p>
        </w:tc>
        <w:tc>
          <w:tcPr>
            <w:tcW w:w="1277" w:type="dxa"/>
            <w:hideMark/>
          </w:tcPr>
          <w:p w:rsidR="007818FD" w:rsidRPr="00CD10D5" w:rsidRDefault="00BF46AA" w:rsidP="004470E3">
            <w:pPr>
              <w:rPr>
                <w:lang w:val="fr-CA"/>
              </w:rPr>
            </w:pPr>
            <w:r>
              <w:rPr>
                <w:lang w:val="fr-CA"/>
              </w:rPr>
              <w:t>27 avril</w:t>
            </w:r>
            <w:r w:rsidR="004470E3">
              <w:rPr>
                <w:lang w:val="fr-CA"/>
              </w:rPr>
              <w:t xml:space="preserve"> </w:t>
            </w:r>
          </w:p>
        </w:tc>
      </w:tr>
      <w:tr w:rsidR="007818FD" w:rsidRPr="00EF2562" w:rsidTr="00BF46AA">
        <w:trPr>
          <w:trHeight w:val="544"/>
        </w:trPr>
        <w:tc>
          <w:tcPr>
            <w:tcW w:w="953" w:type="dxa"/>
            <w:tcBorders>
              <w:top w:val="single" w:sz="4" w:space="0" w:color="auto"/>
            </w:tcBorders>
            <w:noWrap/>
            <w:hideMark/>
          </w:tcPr>
          <w:p w:rsidR="007818FD" w:rsidRPr="00EF2562" w:rsidRDefault="00CB189D" w:rsidP="00797D5E">
            <w:pPr>
              <w:rPr>
                <w:b/>
                <w:bCs/>
              </w:rPr>
            </w:pPr>
            <w:r>
              <w:rPr>
                <w:b/>
                <w:bCs/>
              </w:rPr>
              <w:t>P01 2021-22</w:t>
            </w:r>
          </w:p>
        </w:tc>
        <w:tc>
          <w:tcPr>
            <w:tcW w:w="7138" w:type="dxa"/>
            <w:tcBorders>
              <w:top w:val="single" w:sz="4" w:space="0" w:color="auto"/>
            </w:tcBorders>
            <w:noWrap/>
            <w:hideMark/>
          </w:tcPr>
          <w:p w:rsidR="007818FD" w:rsidRPr="00797D5E" w:rsidRDefault="00CB189D" w:rsidP="00797D5E">
            <w:pPr>
              <w:rPr>
                <w:rFonts w:ascii="Calibri" w:hAnsi="Calibri"/>
                <w:color w:val="000000"/>
                <w:lang w:val="fr-CA"/>
              </w:rPr>
            </w:pPr>
            <w:r>
              <w:rPr>
                <w:rFonts w:ascii="Calibri" w:hAnsi="Calibri"/>
                <w:color w:val="000000"/>
                <w:lang w:val="fr-CA"/>
              </w:rPr>
              <w:t>Ouvrir l’année financière 2021-22</w:t>
            </w:r>
            <w:r w:rsidR="007818FD" w:rsidRPr="00797D5E">
              <w:rPr>
                <w:rFonts w:ascii="Calibri" w:hAnsi="Calibri"/>
                <w:color w:val="000000"/>
                <w:lang w:val="fr-CA"/>
              </w:rPr>
              <w:t xml:space="preserve"> dans le module</w:t>
            </w:r>
            <w:r w:rsidR="007818FD">
              <w:rPr>
                <w:rFonts w:ascii="Calibri" w:hAnsi="Calibri"/>
                <w:color w:val="000000"/>
                <w:lang w:val="fr-CA"/>
              </w:rPr>
              <w:t xml:space="preserve"> « </w:t>
            </w:r>
            <w:proofErr w:type="spellStart"/>
            <w:r w:rsidR="007818FD" w:rsidRPr="00797D5E">
              <w:rPr>
                <w:rFonts w:ascii="Calibri" w:hAnsi="Calibri"/>
                <w:color w:val="000000"/>
                <w:lang w:val="fr-CA"/>
              </w:rPr>
              <w:t>Asset</w:t>
            </w:r>
            <w:proofErr w:type="spellEnd"/>
            <w:r w:rsidR="007818FD" w:rsidRPr="00797D5E">
              <w:rPr>
                <w:rFonts w:ascii="Calibri" w:hAnsi="Calibri"/>
                <w:color w:val="000000"/>
                <w:lang w:val="fr-CA"/>
              </w:rPr>
              <w:t xml:space="preserve"> </w:t>
            </w:r>
            <w:proofErr w:type="spellStart"/>
            <w:r w:rsidR="007818FD" w:rsidRPr="00797D5E">
              <w:rPr>
                <w:rFonts w:ascii="Calibri" w:hAnsi="Calibri"/>
                <w:color w:val="000000"/>
                <w:lang w:val="fr-CA"/>
              </w:rPr>
              <w:t>Accounting</w:t>
            </w:r>
            <w:proofErr w:type="spellEnd"/>
            <w:r w:rsidR="007818FD">
              <w:rPr>
                <w:rFonts w:ascii="Calibri" w:hAnsi="Calibri"/>
                <w:color w:val="000000"/>
                <w:lang w:val="fr-CA"/>
              </w:rPr>
              <w:t> »</w:t>
            </w:r>
          </w:p>
        </w:tc>
        <w:tc>
          <w:tcPr>
            <w:tcW w:w="1276" w:type="dxa"/>
            <w:noWrap/>
            <w:hideMark/>
          </w:tcPr>
          <w:p w:rsidR="007818FD" w:rsidRPr="00CD10D5" w:rsidRDefault="007818FD" w:rsidP="00EF2562">
            <w:pPr>
              <w:rPr>
                <w:lang w:val="fr-CA"/>
              </w:rPr>
            </w:pPr>
            <w:r w:rsidRPr="00CD10D5">
              <w:rPr>
                <w:lang w:val="fr-CA"/>
              </w:rPr>
              <w:t>8</w:t>
            </w:r>
          </w:p>
        </w:tc>
        <w:tc>
          <w:tcPr>
            <w:tcW w:w="1277" w:type="dxa"/>
            <w:noWrap/>
            <w:hideMark/>
          </w:tcPr>
          <w:p w:rsidR="007818FD" w:rsidRPr="00CD10D5" w:rsidRDefault="004470E3" w:rsidP="00EE53A1">
            <w:pPr>
              <w:rPr>
                <w:lang w:val="fr-CA"/>
              </w:rPr>
            </w:pPr>
            <w:r>
              <w:rPr>
                <w:lang w:val="fr-CA"/>
              </w:rPr>
              <w:t>1</w:t>
            </w:r>
            <w:r w:rsidRPr="004470E3">
              <w:rPr>
                <w:vertAlign w:val="superscript"/>
                <w:lang w:val="fr-CA"/>
              </w:rPr>
              <w:t>er</w:t>
            </w:r>
            <w:r>
              <w:rPr>
                <w:lang w:val="fr-CA"/>
              </w:rPr>
              <w:t xml:space="preserve"> </w:t>
            </w:r>
            <w:r w:rsidR="007818FD" w:rsidRPr="00CD10D5">
              <w:rPr>
                <w:lang w:val="fr-CA"/>
              </w:rPr>
              <w:t xml:space="preserve"> avril</w:t>
            </w:r>
          </w:p>
        </w:tc>
      </w:tr>
    </w:tbl>
    <w:p w:rsidR="005C5AA8" w:rsidRDefault="005C5AA8" w:rsidP="001C06D7">
      <w:pPr>
        <w:pStyle w:val="Footer"/>
        <w:tabs>
          <w:tab w:val="clear" w:pos="4320"/>
          <w:tab w:val="clear" w:pos="8640"/>
        </w:tabs>
        <w:spacing w:after="120"/>
        <w:ind w:left="-720"/>
        <w:rPr>
          <w:b/>
          <w:i/>
        </w:rPr>
      </w:pPr>
    </w:p>
    <w:p w:rsidR="00F259C4" w:rsidRPr="009C7D79" w:rsidRDefault="009C7D79" w:rsidP="001C06D7">
      <w:pPr>
        <w:pStyle w:val="Footer"/>
        <w:tabs>
          <w:tab w:val="clear" w:pos="4320"/>
          <w:tab w:val="clear" w:pos="8640"/>
        </w:tabs>
        <w:spacing w:after="120"/>
        <w:ind w:left="-720"/>
        <w:rPr>
          <w:b/>
          <w:i/>
          <w:lang w:val="fr-CA"/>
        </w:rPr>
      </w:pPr>
      <w:r w:rsidRPr="009C7D79">
        <w:rPr>
          <w:b/>
          <w:i/>
          <w:lang w:val="fr-CA"/>
        </w:rPr>
        <w:t xml:space="preserve">Svp prendre note que les transactions </w:t>
      </w:r>
      <w:proofErr w:type="gramStart"/>
      <w:r w:rsidRPr="009C7D79">
        <w:rPr>
          <w:b/>
          <w:i/>
          <w:lang w:val="fr-CA"/>
        </w:rPr>
        <w:t xml:space="preserve">de </w:t>
      </w:r>
      <w:r w:rsidR="00F259C4" w:rsidRPr="009C7D79">
        <w:rPr>
          <w:b/>
          <w:i/>
          <w:lang w:val="fr-CA"/>
        </w:rPr>
        <w:t xml:space="preserve"> P</w:t>
      </w:r>
      <w:proofErr w:type="gramEnd"/>
      <w:r w:rsidR="00F259C4" w:rsidRPr="009C7D79">
        <w:rPr>
          <w:b/>
          <w:i/>
          <w:lang w:val="fr-CA"/>
        </w:rPr>
        <w:t>12-1</w:t>
      </w:r>
      <w:r w:rsidRPr="009C7D79">
        <w:rPr>
          <w:b/>
          <w:i/>
          <w:lang w:val="fr-CA"/>
        </w:rPr>
        <w:t xml:space="preserve"> de maSGE</w:t>
      </w:r>
      <w:r w:rsidR="00F259C4" w:rsidRPr="009C7D79">
        <w:rPr>
          <w:b/>
          <w:i/>
          <w:lang w:val="fr-CA"/>
        </w:rPr>
        <w:t xml:space="preserve"> (SAP) </w:t>
      </w:r>
      <w:r w:rsidRPr="009C7D79">
        <w:rPr>
          <w:b/>
          <w:i/>
          <w:u w:val="single"/>
          <w:lang w:val="fr-CA"/>
        </w:rPr>
        <w:t>doivent</w:t>
      </w:r>
      <w:r w:rsidR="00F259C4" w:rsidRPr="009C7D79">
        <w:rPr>
          <w:lang w:val="fr-CA"/>
        </w:rPr>
        <w:t xml:space="preserve"> </w:t>
      </w:r>
      <w:r w:rsidRPr="009C7D79">
        <w:rPr>
          <w:b/>
          <w:i/>
          <w:lang w:val="fr-CA"/>
        </w:rPr>
        <w:t>être enregistrées avec une date du mois de mars</w:t>
      </w:r>
      <w:r w:rsidR="00F259C4" w:rsidRPr="009C7D79">
        <w:rPr>
          <w:b/>
          <w:i/>
          <w:lang w:val="fr-CA"/>
        </w:rPr>
        <w:t xml:space="preserve"> (</w:t>
      </w:r>
      <w:r w:rsidR="00BB3360" w:rsidRPr="009C7D79">
        <w:rPr>
          <w:b/>
          <w:i/>
          <w:lang w:val="fr-CA"/>
        </w:rPr>
        <w:t>normalement</w:t>
      </w:r>
      <w:r w:rsidR="00CB189D">
        <w:rPr>
          <w:b/>
          <w:i/>
          <w:lang w:val="fr-CA"/>
        </w:rPr>
        <w:t xml:space="preserve"> avec la date du 31 mars 2021</w:t>
      </w:r>
      <w:r w:rsidRPr="009C7D79">
        <w:rPr>
          <w:b/>
          <w:i/>
          <w:lang w:val="fr-CA"/>
        </w:rPr>
        <w:t xml:space="preserve"> pour les transactions enregistrées en avril</w:t>
      </w:r>
      <w:r w:rsidR="00F259C4" w:rsidRPr="009C7D79">
        <w:rPr>
          <w:b/>
          <w:i/>
          <w:lang w:val="fr-CA"/>
        </w:rPr>
        <w:t>)</w:t>
      </w:r>
    </w:p>
    <w:p w:rsidR="00F259C4" w:rsidRPr="00B44F23" w:rsidRDefault="00BF46AA" w:rsidP="00402DF2">
      <w:pPr>
        <w:pStyle w:val="ListParagraph"/>
        <w:ind w:left="-567" w:hanging="142"/>
        <w:rPr>
          <w:lang w:val="fr-CA"/>
        </w:rPr>
      </w:pPr>
      <w:r>
        <w:rPr>
          <w:vertAlign w:val="superscript"/>
          <w:lang w:val="fr-CA"/>
        </w:rPr>
        <w:t>4</w:t>
      </w:r>
      <w:r w:rsidR="00BB3360" w:rsidRPr="0012234B">
        <w:rPr>
          <w:lang w:val="fr-CA"/>
        </w:rPr>
        <w:t>L</w:t>
      </w:r>
      <w:r w:rsidR="009C7D79" w:rsidRPr="0012234B">
        <w:rPr>
          <w:lang w:val="fr-CA"/>
        </w:rPr>
        <w:t>es coûts enregistrés avec une pièce de journal</w:t>
      </w:r>
      <w:r w:rsidR="00F259C4" w:rsidRPr="0012234B">
        <w:rPr>
          <w:lang w:val="fr-CA"/>
        </w:rPr>
        <w:t xml:space="preserve">, </w:t>
      </w:r>
      <w:r w:rsidR="009C7D79" w:rsidRPr="0012234B">
        <w:rPr>
          <w:lang w:val="fr-CA"/>
        </w:rPr>
        <w:t xml:space="preserve">soit un </w:t>
      </w:r>
      <w:r w:rsidR="00BB3360" w:rsidRPr="0012234B">
        <w:rPr>
          <w:lang w:val="fr-CA"/>
        </w:rPr>
        <w:t>transfert</w:t>
      </w:r>
      <w:r w:rsidR="009C7D79" w:rsidRPr="0012234B">
        <w:rPr>
          <w:lang w:val="fr-CA"/>
        </w:rPr>
        <w:t xml:space="preserve"> de fonds entre différentes directions générales</w:t>
      </w:r>
      <w:r w:rsidR="00BB3360" w:rsidRPr="0012234B">
        <w:rPr>
          <w:lang w:val="fr-CA"/>
        </w:rPr>
        <w:t>,</w:t>
      </w:r>
      <w:r w:rsidR="009C7D79" w:rsidRPr="0012234B">
        <w:rPr>
          <w:lang w:val="fr-CA"/>
        </w:rPr>
        <w:t xml:space="preserve"> doivent</w:t>
      </w:r>
      <w:r w:rsidR="00BB3360" w:rsidRPr="0012234B">
        <w:rPr>
          <w:lang w:val="fr-CA"/>
        </w:rPr>
        <w:t>-</w:t>
      </w:r>
      <w:r w:rsidR="009C7D79" w:rsidRPr="0012234B">
        <w:rPr>
          <w:lang w:val="fr-CA"/>
        </w:rPr>
        <w:t>être transmis aux Opérations comptables</w:t>
      </w:r>
      <w:r w:rsidR="00F259C4" w:rsidRPr="0012234B">
        <w:rPr>
          <w:lang w:val="fr-CA"/>
        </w:rPr>
        <w:t xml:space="preserve"> </w:t>
      </w:r>
      <w:r w:rsidR="00F8355F" w:rsidRPr="0012234B">
        <w:rPr>
          <w:lang w:val="fr-CA"/>
        </w:rPr>
        <w:t xml:space="preserve">nationales </w:t>
      </w:r>
      <w:r w:rsidR="00F259C4" w:rsidRPr="0012234B">
        <w:rPr>
          <w:lang w:val="fr-CA"/>
        </w:rPr>
        <w:t>(</w:t>
      </w:r>
      <w:hyperlink r:id="rId8" w:history="1">
        <w:r w:rsidR="00402DF2" w:rsidRPr="0012234B">
          <w:rPr>
            <w:rStyle w:val="Hyperlink"/>
            <w:lang w:val="fr-CA"/>
          </w:rPr>
          <w:t>http://iservice.prv/fra/catalogue_services/index.shtml</w:t>
        </w:r>
      </w:hyperlink>
      <w:r w:rsidR="00F259C4" w:rsidRPr="0012234B">
        <w:rPr>
          <w:rStyle w:val="Hyperlink"/>
          <w:color w:val="auto"/>
          <w:u w:val="none"/>
          <w:lang w:val="fr-CA"/>
        </w:rPr>
        <w:t>)</w:t>
      </w:r>
      <w:r w:rsidR="00F259C4" w:rsidRPr="0012234B">
        <w:rPr>
          <w:lang w:val="fr-CA"/>
        </w:rPr>
        <w:t xml:space="preserve"> </w:t>
      </w:r>
      <w:r w:rsidR="009C7D79" w:rsidRPr="0012234B">
        <w:rPr>
          <w:lang w:val="fr-CA"/>
        </w:rPr>
        <w:t xml:space="preserve">au plus tard le </w:t>
      </w:r>
      <w:r>
        <w:rPr>
          <w:lang w:val="fr-CA"/>
        </w:rPr>
        <w:t>12 avril</w:t>
      </w:r>
      <w:r w:rsidR="00F259C4" w:rsidRPr="0012234B">
        <w:rPr>
          <w:lang w:val="fr-CA"/>
        </w:rPr>
        <w:t xml:space="preserve">. </w:t>
      </w:r>
      <w:r w:rsidR="00402DF2" w:rsidRPr="0012234B">
        <w:rPr>
          <w:lang w:val="fr-CA"/>
        </w:rPr>
        <w:t xml:space="preserve">La transaction sera traitée par eux avant </w:t>
      </w:r>
      <w:r>
        <w:rPr>
          <w:lang w:val="fr-CA"/>
        </w:rPr>
        <w:t>21 avril</w:t>
      </w:r>
      <w:r w:rsidR="0012234B" w:rsidRPr="0012234B">
        <w:rPr>
          <w:lang w:val="fr-CA"/>
        </w:rPr>
        <w:t>.</w:t>
      </w:r>
    </w:p>
    <w:p w:rsidR="00F259C4" w:rsidRPr="009C7D79" w:rsidRDefault="00BF46AA" w:rsidP="00BB5413">
      <w:pPr>
        <w:spacing w:after="0"/>
        <w:ind w:left="-720"/>
        <w:rPr>
          <w:lang w:val="fr-CA"/>
        </w:rPr>
      </w:pPr>
      <w:r>
        <w:rPr>
          <w:vertAlign w:val="superscript"/>
          <w:lang w:val="fr-CA"/>
        </w:rPr>
        <w:t>5</w:t>
      </w:r>
      <w:r w:rsidR="009C7D79" w:rsidRPr="009C7D79">
        <w:rPr>
          <w:lang w:val="fr-CA"/>
        </w:rPr>
        <w:t>L’échéancier interne pour les feui</w:t>
      </w:r>
      <w:r w:rsidR="009C7D79">
        <w:rPr>
          <w:lang w:val="fr-CA"/>
        </w:rPr>
        <w:t>l</w:t>
      </w:r>
      <w:r w:rsidR="009C7D79" w:rsidRPr="009C7D79">
        <w:rPr>
          <w:lang w:val="fr-CA"/>
        </w:rPr>
        <w:t xml:space="preserve">les de temps </w:t>
      </w:r>
      <w:r w:rsidR="00F259C4" w:rsidRPr="009C7D79">
        <w:rPr>
          <w:lang w:val="fr-CA"/>
        </w:rPr>
        <w:t xml:space="preserve">CATS </w:t>
      </w:r>
      <w:r w:rsidR="009C7D79">
        <w:rPr>
          <w:lang w:val="fr-CA"/>
        </w:rPr>
        <w:t>doit-être déterminé par les</w:t>
      </w:r>
      <w:r w:rsidR="00F259C4" w:rsidRPr="009C7D79">
        <w:rPr>
          <w:lang w:val="fr-CA"/>
        </w:rPr>
        <w:t xml:space="preserve"> FMA.</w:t>
      </w:r>
    </w:p>
    <w:p w:rsidR="00841EE9" w:rsidRPr="009C7D79" w:rsidRDefault="00841EE9" w:rsidP="00BB5413">
      <w:pPr>
        <w:spacing w:after="0"/>
        <w:ind w:left="-720"/>
        <w:rPr>
          <w:lang w:val="fr-CA"/>
        </w:rPr>
      </w:pPr>
    </w:p>
    <w:sectPr w:rsidR="00841EE9" w:rsidRPr="009C7D79" w:rsidSect="00EF7852">
      <w:headerReference w:type="default" r:id="rId9"/>
      <w:footerReference w:type="default" r:id="rId10"/>
      <w:pgSz w:w="12240" w:h="20160" w:code="5"/>
      <w:pgMar w:top="720" w:right="720" w:bottom="72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80" w:rsidRDefault="00816A80" w:rsidP="00816A80">
      <w:pPr>
        <w:spacing w:after="0" w:line="240" w:lineRule="auto"/>
      </w:pPr>
      <w:r>
        <w:separator/>
      </w:r>
    </w:p>
  </w:endnote>
  <w:endnote w:type="continuationSeparator" w:id="0">
    <w:p w:rsidR="00816A80" w:rsidRDefault="00816A80" w:rsidP="0081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A8" w:rsidRPr="00E92C9E" w:rsidRDefault="005C5AA8" w:rsidP="005C5AA8">
    <w:pPr>
      <w:spacing w:before="120" w:after="0"/>
      <w:ind w:left="-720"/>
      <w:rPr>
        <w:lang w:val="fr-CA"/>
      </w:rPr>
    </w:pPr>
    <w:r w:rsidRPr="00797D5E">
      <w:rPr>
        <w:b/>
        <w:lang w:val="fr-CA"/>
      </w:rPr>
      <w:t>1</w:t>
    </w:r>
    <w:r w:rsidRPr="00797D5E">
      <w:rPr>
        <w:lang w:val="fr-CA"/>
      </w:rPr>
      <w:tab/>
    </w:r>
    <w:r w:rsidR="00E92C9E" w:rsidRPr="00E92C9E">
      <w:rPr>
        <w:lang w:val="fr-CA"/>
      </w:rPr>
      <w:t xml:space="preserve">Tous les </w:t>
    </w:r>
    <w:r w:rsidRPr="00E92C9E">
      <w:rPr>
        <w:lang w:val="fr-CA"/>
      </w:rPr>
      <w:t>FMA</w:t>
    </w:r>
    <w:r w:rsidRPr="00E92C9E">
      <w:rPr>
        <w:lang w:val="fr-CA"/>
      </w:rPr>
      <w:tab/>
    </w:r>
  </w:p>
  <w:p w:rsidR="005C5AA8" w:rsidRPr="00E92C9E" w:rsidRDefault="005C5AA8" w:rsidP="005C5AA8">
    <w:pPr>
      <w:spacing w:after="0"/>
      <w:ind w:left="-720"/>
      <w:rPr>
        <w:lang w:val="fr-CA"/>
      </w:rPr>
    </w:pPr>
    <w:r w:rsidRPr="00E92C9E">
      <w:rPr>
        <w:b/>
        <w:lang w:val="fr-CA"/>
      </w:rPr>
      <w:t>2</w:t>
    </w:r>
    <w:r w:rsidRPr="00E92C9E">
      <w:rPr>
        <w:lang w:val="fr-CA"/>
      </w:rPr>
      <w:tab/>
    </w:r>
    <w:r w:rsidR="00BF46AA">
      <w:rPr>
        <w:lang w:val="fr-CA"/>
      </w:rPr>
      <w:t xml:space="preserve">GNBI </w:t>
    </w:r>
    <w:r w:rsidR="00BF46AA" w:rsidRPr="00BF46AA">
      <w:rPr>
        <w:lang w:val="fr-CA"/>
      </w:rPr>
      <w:t xml:space="preserve">Gestion des installations ministérielles </w:t>
    </w:r>
    <w:r w:rsidRPr="00E92C9E">
      <w:rPr>
        <w:lang w:val="fr-CA"/>
      </w:rPr>
      <w:t>(</w:t>
    </w:r>
    <w:r w:rsidR="00CB189D">
      <w:rPr>
        <w:lang w:val="fr-CA"/>
      </w:rPr>
      <w:t>St</w:t>
    </w:r>
    <w:r w:rsidR="00BF46AA" w:rsidRPr="00E92C9E">
      <w:rPr>
        <w:lang w:val="fr-CA"/>
      </w:rPr>
      <w:t>é</w:t>
    </w:r>
    <w:r w:rsidR="00CB189D">
      <w:rPr>
        <w:lang w:val="fr-CA"/>
      </w:rPr>
      <w:t>phanie Doiron</w:t>
    </w:r>
    <w:r w:rsidRPr="00E92C9E">
      <w:rPr>
        <w:lang w:val="fr-CA"/>
      </w:rPr>
      <w:t>)</w:t>
    </w:r>
    <w:r w:rsidRPr="00E92C9E">
      <w:rPr>
        <w:lang w:val="fr-CA"/>
      </w:rPr>
      <w:tab/>
    </w:r>
  </w:p>
  <w:p w:rsidR="005C5AA8" w:rsidRPr="00E92C9E" w:rsidRDefault="005C5AA8" w:rsidP="005C5AA8">
    <w:pPr>
      <w:spacing w:after="0"/>
      <w:ind w:left="-720"/>
      <w:rPr>
        <w:lang w:val="fr-CA"/>
      </w:rPr>
    </w:pPr>
    <w:r w:rsidRPr="00E92C9E">
      <w:rPr>
        <w:b/>
        <w:lang w:val="fr-CA"/>
      </w:rPr>
      <w:t>3</w:t>
    </w:r>
    <w:r w:rsidRPr="00E92C9E">
      <w:rPr>
        <w:lang w:val="fr-CA"/>
      </w:rPr>
      <w:tab/>
    </w:r>
    <w:r w:rsidR="00BF46AA">
      <w:rPr>
        <w:lang w:val="fr-CA"/>
      </w:rPr>
      <w:t>DIRCM</w:t>
    </w:r>
    <w:r w:rsidRPr="00E92C9E">
      <w:rPr>
        <w:lang w:val="fr-CA"/>
      </w:rPr>
      <w:t xml:space="preserve"> C</w:t>
    </w:r>
    <w:r w:rsidR="00E92C9E">
      <w:rPr>
        <w:lang w:val="fr-CA"/>
      </w:rPr>
      <w:t>omptabilité ministérielle</w:t>
    </w:r>
    <w:r w:rsidRPr="00E92C9E">
      <w:rPr>
        <w:lang w:val="fr-CA"/>
      </w:rPr>
      <w:t xml:space="preserve"> (</w:t>
    </w:r>
    <w:r w:rsidR="00973F04" w:rsidRPr="00973F04">
      <w:rPr>
        <w:lang w:val="fr-CA"/>
      </w:rPr>
      <w:t>Seana Cerson</w:t>
    </w:r>
    <w:r w:rsidR="00CB189D">
      <w:rPr>
        <w:lang w:val="fr-CA"/>
      </w:rPr>
      <w:tab/>
      <w:t>)</w:t>
    </w:r>
  </w:p>
  <w:p w:rsidR="005C5AA8" w:rsidRPr="00E92C9E" w:rsidRDefault="005C5AA8" w:rsidP="005C5AA8">
    <w:pPr>
      <w:spacing w:after="0"/>
      <w:ind w:left="-720"/>
      <w:rPr>
        <w:lang w:val="fr-CA"/>
      </w:rPr>
    </w:pPr>
    <w:r w:rsidRPr="00E92C9E">
      <w:rPr>
        <w:b/>
        <w:lang w:val="fr-CA"/>
      </w:rPr>
      <w:t>4</w:t>
    </w:r>
    <w:r w:rsidRPr="00E92C9E">
      <w:rPr>
        <w:lang w:val="fr-CA"/>
      </w:rPr>
      <w:tab/>
    </w:r>
    <w:r w:rsidR="00E92C9E">
      <w:rPr>
        <w:lang w:val="fr-CA"/>
      </w:rPr>
      <w:t xml:space="preserve">GIBA Gestion des installations de la RCN </w:t>
    </w:r>
    <w:r w:rsidRPr="00E92C9E">
      <w:rPr>
        <w:lang w:val="fr-CA"/>
      </w:rPr>
      <w:t>(</w:t>
    </w:r>
    <w:r w:rsidR="00B44F23">
      <w:rPr>
        <w:lang w:val="fr-CA"/>
      </w:rPr>
      <w:t>Susan Hall</w:t>
    </w:r>
    <w:r w:rsidRPr="00E92C9E">
      <w:rPr>
        <w:lang w:val="fr-CA"/>
      </w:rPr>
      <w:t>)</w:t>
    </w:r>
    <w:r w:rsidRPr="00E92C9E">
      <w:rPr>
        <w:lang w:val="fr-CA"/>
      </w:rPr>
      <w:tab/>
    </w:r>
  </w:p>
  <w:p w:rsidR="005C5AA8" w:rsidRPr="00E92C9E" w:rsidRDefault="005C5AA8" w:rsidP="005C5AA8">
    <w:pPr>
      <w:spacing w:after="0"/>
      <w:ind w:hanging="709"/>
      <w:rPr>
        <w:lang w:val="fr-CA"/>
      </w:rPr>
    </w:pPr>
    <w:r w:rsidRPr="00E92C9E">
      <w:rPr>
        <w:b/>
        <w:lang w:val="fr-CA"/>
      </w:rPr>
      <w:t>6</w:t>
    </w:r>
    <w:r w:rsidRPr="00E92C9E">
      <w:rPr>
        <w:b/>
        <w:lang w:val="fr-CA"/>
      </w:rPr>
      <w:tab/>
    </w:r>
    <w:r w:rsidR="00BF46AA" w:rsidRPr="00BF46AA">
      <w:rPr>
        <w:lang w:val="fr-CA"/>
      </w:rPr>
      <w:t>GNBI</w:t>
    </w:r>
    <w:r w:rsidR="00BF46AA">
      <w:rPr>
        <w:b/>
        <w:lang w:val="fr-CA"/>
      </w:rPr>
      <w:t xml:space="preserve"> </w:t>
    </w:r>
    <w:r w:rsidR="00CD10D5">
      <w:rPr>
        <w:lang w:val="fr-CA"/>
      </w:rPr>
      <w:t>Services</w:t>
    </w:r>
    <w:r w:rsidR="00151E29">
      <w:rPr>
        <w:lang w:val="fr-CA"/>
      </w:rPr>
      <w:t xml:space="preserve"> régionaux de gestion des biens</w:t>
    </w:r>
  </w:p>
  <w:p w:rsidR="005C5AA8" w:rsidRPr="00973F04" w:rsidRDefault="005C5AA8" w:rsidP="005C5AA8">
    <w:pPr>
      <w:spacing w:after="0"/>
      <w:ind w:left="-720"/>
      <w:rPr>
        <w:lang w:val="fr-CA"/>
      </w:rPr>
    </w:pPr>
    <w:r w:rsidRPr="00E92C9E">
      <w:rPr>
        <w:b/>
        <w:lang w:val="fr-CA"/>
      </w:rPr>
      <w:t>7</w:t>
    </w:r>
    <w:r w:rsidRPr="00E92C9E">
      <w:rPr>
        <w:lang w:val="fr-CA"/>
      </w:rPr>
      <w:tab/>
    </w:r>
    <w:r w:rsidR="00BF46AA">
      <w:rPr>
        <w:lang w:val="fr-CA"/>
      </w:rPr>
      <w:t>SCGF</w:t>
    </w:r>
    <w:r w:rsidRPr="00E92C9E">
      <w:rPr>
        <w:lang w:val="fr-CA"/>
      </w:rPr>
      <w:t xml:space="preserve"> </w:t>
    </w:r>
    <w:r w:rsidR="00CD10D5">
      <w:rPr>
        <w:lang w:val="fr-CA"/>
      </w:rPr>
      <w:t xml:space="preserve">Unité de la planification et de la gestion des dépenses </w:t>
    </w:r>
    <w:r w:rsidR="00973F04" w:rsidRPr="00973F04">
      <w:rPr>
        <w:lang w:val="fr-CA"/>
      </w:rPr>
      <w:t>(Lyne Julien)</w:t>
    </w:r>
  </w:p>
  <w:p w:rsidR="005C5AA8" w:rsidRPr="00797D5E" w:rsidRDefault="005C5AA8" w:rsidP="005C5AA8">
    <w:pPr>
      <w:spacing w:after="0"/>
      <w:ind w:left="-720"/>
    </w:pPr>
    <w:r w:rsidRPr="00797D5E">
      <w:rPr>
        <w:b/>
      </w:rPr>
      <w:t>8</w:t>
    </w:r>
    <w:r w:rsidRPr="00797D5E">
      <w:tab/>
    </w:r>
    <w:r w:rsidR="00CD10D5" w:rsidRPr="00797D5E">
      <w:t>O</w:t>
    </w:r>
    <w:r w:rsidRPr="00797D5E">
      <w:t>SS SAP – module</w:t>
    </w:r>
    <w:r w:rsidR="00CD10D5" w:rsidRPr="00797D5E">
      <w:t xml:space="preserve"> AA</w:t>
    </w:r>
    <w:r w:rsidRPr="00797D5E">
      <w:t xml:space="preserve"> (</w:t>
    </w:r>
    <w:r w:rsidR="00B44F23">
      <w:t>Mark Gardner</w:t>
    </w:r>
    <w:r w:rsidRPr="00797D5E">
      <w:t>)</w:t>
    </w:r>
  </w:p>
  <w:p w:rsidR="005C5AA8" w:rsidRPr="00973F04" w:rsidRDefault="005C5AA8" w:rsidP="00EF7852">
    <w:pPr>
      <w:spacing w:after="120"/>
      <w:ind w:left="-720"/>
      <w:rPr>
        <w:lang w:val="en-US"/>
      </w:rPr>
    </w:pPr>
    <w:r w:rsidRPr="00973F04">
      <w:rPr>
        <w:b/>
        <w:lang w:val="en-US"/>
      </w:rPr>
      <w:t>9</w:t>
    </w:r>
    <w:r w:rsidRPr="00973F04">
      <w:rPr>
        <w:b/>
        <w:lang w:val="en-US"/>
      </w:rPr>
      <w:tab/>
    </w:r>
    <w:r w:rsidRPr="00973F04">
      <w:rPr>
        <w:lang w:val="en-US"/>
      </w:rPr>
      <w:t>O</w:t>
    </w:r>
    <w:r w:rsidR="00CD10D5" w:rsidRPr="00973F04">
      <w:rPr>
        <w:lang w:val="en-US"/>
      </w:rPr>
      <w:t>SS</w:t>
    </w:r>
    <w:r w:rsidRPr="00973F04">
      <w:rPr>
        <w:lang w:val="en-US"/>
      </w:rPr>
      <w:t xml:space="preserve"> SAP – module</w:t>
    </w:r>
    <w:r w:rsidR="00CD10D5" w:rsidRPr="00973F04">
      <w:rPr>
        <w:lang w:val="en-US"/>
      </w:rPr>
      <w:t xml:space="preserve"> CO/PS</w:t>
    </w:r>
    <w:r w:rsidRPr="00973F04">
      <w:rPr>
        <w:lang w:val="en-US"/>
      </w:rPr>
      <w:t xml:space="preserve"> </w:t>
    </w:r>
    <w:r w:rsidR="00973F04" w:rsidRPr="00973F04">
      <w:rPr>
        <w:lang w:val="en-US"/>
      </w:rPr>
      <w:t>(</w:t>
    </w:r>
    <w:r w:rsidR="00BF46AA">
      <w:rPr>
        <w:lang w:val="en-US"/>
      </w:rPr>
      <w:t>Janet Hayes</w:t>
    </w:r>
    <w:r w:rsidR="00973F04" w:rsidRPr="00973F04">
      <w:rPr>
        <w:lang w:val="en-US"/>
      </w:rPr>
      <w:t xml:space="preserve"> / Zia Nathoo)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80" w:rsidRDefault="00816A80" w:rsidP="00816A80">
      <w:pPr>
        <w:spacing w:after="0" w:line="240" w:lineRule="auto"/>
      </w:pPr>
      <w:r>
        <w:separator/>
      </w:r>
    </w:p>
  </w:footnote>
  <w:footnote w:type="continuationSeparator" w:id="0">
    <w:p w:rsidR="00816A80" w:rsidRDefault="00816A80" w:rsidP="0081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80" w:rsidRPr="00226701" w:rsidRDefault="00226701" w:rsidP="00816A80">
    <w:pPr>
      <w:pStyle w:val="Header"/>
      <w:jc w:val="center"/>
      <w:rPr>
        <w:b/>
        <w:lang w:val="fr-CA"/>
      </w:rPr>
    </w:pPr>
    <w:r w:rsidRPr="00226701">
      <w:rPr>
        <w:b/>
        <w:lang w:val="fr-CA"/>
      </w:rPr>
      <w:t xml:space="preserve">Liste de vérification mensuelle et de fin d’année </w:t>
    </w:r>
    <w:r w:rsidR="00CB189D">
      <w:rPr>
        <w:b/>
        <w:lang w:val="fr-CA"/>
      </w:rPr>
      <w:t>2020-21</w:t>
    </w:r>
  </w:p>
  <w:p w:rsidR="00A868E6" w:rsidRPr="00816A80" w:rsidRDefault="00226701" w:rsidP="00816A80">
    <w:pPr>
      <w:pStyle w:val="Header"/>
      <w:jc w:val="center"/>
      <w:rPr>
        <w:b/>
      </w:rPr>
    </w:pPr>
    <w:r>
      <w:rPr>
        <w:b/>
      </w:rPr>
      <w:t>Immobilisations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EF4"/>
    <w:multiLevelType w:val="hybridMultilevel"/>
    <w:tmpl w:val="477A6906"/>
    <w:lvl w:ilvl="0" w:tplc="FFFFFFFF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  <w:strike w:val="0"/>
        <w:sz w:val="20"/>
        <w:szCs w:val="20"/>
        <w:lang w:val="fr-CA"/>
      </w:rPr>
    </w:lvl>
    <w:lvl w:ilvl="1" w:tplc="FFFFFFFF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1" w15:restartNumberingAfterBreak="0">
    <w:nsid w:val="49D07CF9"/>
    <w:multiLevelType w:val="hybridMultilevel"/>
    <w:tmpl w:val="B1D4B2CA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62"/>
    <w:rsid w:val="000142B4"/>
    <w:rsid w:val="00034B42"/>
    <w:rsid w:val="00052B15"/>
    <w:rsid w:val="00056BC2"/>
    <w:rsid w:val="0005793C"/>
    <w:rsid w:val="00066EB9"/>
    <w:rsid w:val="00086CB9"/>
    <w:rsid w:val="000903D4"/>
    <w:rsid w:val="000A69A3"/>
    <w:rsid w:val="000D1418"/>
    <w:rsid w:val="000E14F4"/>
    <w:rsid w:val="000F532E"/>
    <w:rsid w:val="001034B7"/>
    <w:rsid w:val="001137F0"/>
    <w:rsid w:val="0012234B"/>
    <w:rsid w:val="00151E29"/>
    <w:rsid w:val="00180B7C"/>
    <w:rsid w:val="00185E79"/>
    <w:rsid w:val="00186FDF"/>
    <w:rsid w:val="00192128"/>
    <w:rsid w:val="001A0BE1"/>
    <w:rsid w:val="001B564F"/>
    <w:rsid w:val="001C06D7"/>
    <w:rsid w:val="001F4106"/>
    <w:rsid w:val="00206139"/>
    <w:rsid w:val="00226701"/>
    <w:rsid w:val="00236E05"/>
    <w:rsid w:val="0025631B"/>
    <w:rsid w:val="00263754"/>
    <w:rsid w:val="00284836"/>
    <w:rsid w:val="00290F7B"/>
    <w:rsid w:val="002A6D2A"/>
    <w:rsid w:val="002B01BA"/>
    <w:rsid w:val="002B1435"/>
    <w:rsid w:val="002E39A5"/>
    <w:rsid w:val="003005C9"/>
    <w:rsid w:val="00300A09"/>
    <w:rsid w:val="00304A02"/>
    <w:rsid w:val="00311119"/>
    <w:rsid w:val="00320CD3"/>
    <w:rsid w:val="003317EC"/>
    <w:rsid w:val="00372798"/>
    <w:rsid w:val="003728E7"/>
    <w:rsid w:val="0037543E"/>
    <w:rsid w:val="0038200F"/>
    <w:rsid w:val="003A796E"/>
    <w:rsid w:val="003B0411"/>
    <w:rsid w:val="003E0835"/>
    <w:rsid w:val="003E590E"/>
    <w:rsid w:val="00402793"/>
    <w:rsid w:val="00402DF2"/>
    <w:rsid w:val="00421687"/>
    <w:rsid w:val="0043635A"/>
    <w:rsid w:val="0044303D"/>
    <w:rsid w:val="004470E3"/>
    <w:rsid w:val="00484405"/>
    <w:rsid w:val="004A2B81"/>
    <w:rsid w:val="004A56FB"/>
    <w:rsid w:val="004C376A"/>
    <w:rsid w:val="004C4350"/>
    <w:rsid w:val="004E0842"/>
    <w:rsid w:val="004F75DB"/>
    <w:rsid w:val="00533146"/>
    <w:rsid w:val="00536A0D"/>
    <w:rsid w:val="00576828"/>
    <w:rsid w:val="005951B3"/>
    <w:rsid w:val="005971AC"/>
    <w:rsid w:val="005A39BF"/>
    <w:rsid w:val="005B2B9D"/>
    <w:rsid w:val="005B3915"/>
    <w:rsid w:val="005C3D53"/>
    <w:rsid w:val="005C5AA8"/>
    <w:rsid w:val="005E46B5"/>
    <w:rsid w:val="005F5C28"/>
    <w:rsid w:val="0061195B"/>
    <w:rsid w:val="00626D5D"/>
    <w:rsid w:val="006319DB"/>
    <w:rsid w:val="0063538D"/>
    <w:rsid w:val="006754FD"/>
    <w:rsid w:val="006771E7"/>
    <w:rsid w:val="00685AAA"/>
    <w:rsid w:val="006C717A"/>
    <w:rsid w:val="006F4345"/>
    <w:rsid w:val="007204F3"/>
    <w:rsid w:val="0074187C"/>
    <w:rsid w:val="00751A9A"/>
    <w:rsid w:val="007774F0"/>
    <w:rsid w:val="007818FD"/>
    <w:rsid w:val="00797D5E"/>
    <w:rsid w:val="007E1DB1"/>
    <w:rsid w:val="00816A80"/>
    <w:rsid w:val="00821E32"/>
    <w:rsid w:val="00826DF9"/>
    <w:rsid w:val="00835F4B"/>
    <w:rsid w:val="008371B3"/>
    <w:rsid w:val="00841EE9"/>
    <w:rsid w:val="0085151D"/>
    <w:rsid w:val="00897C47"/>
    <w:rsid w:val="008B077F"/>
    <w:rsid w:val="00914F57"/>
    <w:rsid w:val="00922FE4"/>
    <w:rsid w:val="00925AF8"/>
    <w:rsid w:val="0093201E"/>
    <w:rsid w:val="009535DE"/>
    <w:rsid w:val="00964CD1"/>
    <w:rsid w:val="00973F04"/>
    <w:rsid w:val="00973FB6"/>
    <w:rsid w:val="009854A5"/>
    <w:rsid w:val="009B5E7F"/>
    <w:rsid w:val="009C697F"/>
    <w:rsid w:val="009C7D79"/>
    <w:rsid w:val="009E31FE"/>
    <w:rsid w:val="00A225F0"/>
    <w:rsid w:val="00A32B61"/>
    <w:rsid w:val="00A37F08"/>
    <w:rsid w:val="00A418DE"/>
    <w:rsid w:val="00A4518C"/>
    <w:rsid w:val="00A71C41"/>
    <w:rsid w:val="00A80004"/>
    <w:rsid w:val="00A868E6"/>
    <w:rsid w:val="00A91054"/>
    <w:rsid w:val="00AA160F"/>
    <w:rsid w:val="00AE22C7"/>
    <w:rsid w:val="00AE4747"/>
    <w:rsid w:val="00B34B23"/>
    <w:rsid w:val="00B41106"/>
    <w:rsid w:val="00B44F23"/>
    <w:rsid w:val="00B66022"/>
    <w:rsid w:val="00B72742"/>
    <w:rsid w:val="00B75DCF"/>
    <w:rsid w:val="00B805D7"/>
    <w:rsid w:val="00BB3360"/>
    <w:rsid w:val="00BB40D0"/>
    <w:rsid w:val="00BB5413"/>
    <w:rsid w:val="00BC476A"/>
    <w:rsid w:val="00BC78A6"/>
    <w:rsid w:val="00BF46AA"/>
    <w:rsid w:val="00C03D5B"/>
    <w:rsid w:val="00C12A0B"/>
    <w:rsid w:val="00C34A9D"/>
    <w:rsid w:val="00C416C3"/>
    <w:rsid w:val="00C86C09"/>
    <w:rsid w:val="00CB189D"/>
    <w:rsid w:val="00CB322C"/>
    <w:rsid w:val="00CC41A8"/>
    <w:rsid w:val="00CD10D5"/>
    <w:rsid w:val="00CF3CA3"/>
    <w:rsid w:val="00D532DD"/>
    <w:rsid w:val="00D82C16"/>
    <w:rsid w:val="00DC6364"/>
    <w:rsid w:val="00DD2D62"/>
    <w:rsid w:val="00DD3B1B"/>
    <w:rsid w:val="00DE7F59"/>
    <w:rsid w:val="00DF0E76"/>
    <w:rsid w:val="00E05E9D"/>
    <w:rsid w:val="00E27EF0"/>
    <w:rsid w:val="00E52286"/>
    <w:rsid w:val="00E71D8D"/>
    <w:rsid w:val="00E7737D"/>
    <w:rsid w:val="00E92C9E"/>
    <w:rsid w:val="00EA21E9"/>
    <w:rsid w:val="00EA2BCF"/>
    <w:rsid w:val="00EA498E"/>
    <w:rsid w:val="00ED765C"/>
    <w:rsid w:val="00EE53A1"/>
    <w:rsid w:val="00EF2477"/>
    <w:rsid w:val="00EF2562"/>
    <w:rsid w:val="00EF7852"/>
    <w:rsid w:val="00F259C4"/>
    <w:rsid w:val="00F75BF0"/>
    <w:rsid w:val="00F82D95"/>
    <w:rsid w:val="00F8355F"/>
    <w:rsid w:val="00FA4A8E"/>
    <w:rsid w:val="00FB1D15"/>
    <w:rsid w:val="00FD1F4C"/>
    <w:rsid w:val="00FD410A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B5E2A83"/>
  <w15:docId w15:val="{D14B93E5-F8D2-432C-B759-F636A4F7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80"/>
  </w:style>
  <w:style w:type="paragraph" w:styleId="Footer">
    <w:name w:val="footer"/>
    <w:basedOn w:val="Normal"/>
    <w:link w:val="FooterChar"/>
    <w:uiPriority w:val="99"/>
    <w:unhideWhenUsed/>
    <w:rsid w:val="00816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80"/>
  </w:style>
  <w:style w:type="character" w:styleId="CommentReference">
    <w:name w:val="annotation reference"/>
    <w:basedOn w:val="DefaultParagraphFont"/>
    <w:uiPriority w:val="99"/>
    <w:semiHidden/>
    <w:unhideWhenUsed/>
    <w:rsid w:val="00851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5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86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FD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36E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371B3"/>
    <w:pPr>
      <w:spacing w:after="0" w:line="240" w:lineRule="auto"/>
    </w:pPr>
  </w:style>
  <w:style w:type="character" w:customStyle="1" w:styleId="normal1">
    <w:name w:val="normal1"/>
    <w:basedOn w:val="DefaultParagraphFont"/>
    <w:rsid w:val="00CD10D5"/>
    <w:rPr>
      <w:b w:val="0"/>
      <w:bCs w:val="0"/>
    </w:rPr>
  </w:style>
  <w:style w:type="paragraph" w:customStyle="1" w:styleId="Default">
    <w:name w:val="Default"/>
    <w:rsid w:val="00311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ervice.prv/fra/catalogue_service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D93E-4C31-4C9F-9F81-4D67A178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Patrick [NC]</dc:creator>
  <cp:lastModifiedBy>Cerson, Seana S [NC]</cp:lastModifiedBy>
  <cp:revision>28</cp:revision>
  <cp:lastPrinted>2015-01-22T14:28:00Z</cp:lastPrinted>
  <dcterms:created xsi:type="dcterms:W3CDTF">2015-10-29T13:00:00Z</dcterms:created>
  <dcterms:modified xsi:type="dcterms:W3CDTF">2021-02-10T18:25:00Z</dcterms:modified>
</cp:coreProperties>
</file>