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626A7" w14:textId="27B121C4" w:rsidR="00745F45" w:rsidRDefault="00745F45" w:rsidP="004E23F7">
      <w:pPr>
        <w:pStyle w:val="ListParagraph"/>
        <w:numPr>
          <w:ilvl w:val="0"/>
          <w:numId w:val="4"/>
        </w:numPr>
        <w:ind w:left="284" w:hanging="284"/>
        <w:rPr>
          <w:b/>
          <w:lang w:val="fr-CA" w:eastAsia="en-CA"/>
        </w:rPr>
      </w:pPr>
      <w:r w:rsidRPr="00D91CD1">
        <w:rPr>
          <w:b/>
          <w:lang w:val="fr-CA" w:eastAsia="en-CA"/>
        </w:rPr>
        <w:t>Application</w:t>
      </w:r>
    </w:p>
    <w:p w14:paraId="5169336B" w14:textId="77777777" w:rsidR="004E23F7" w:rsidRPr="00D91CD1" w:rsidRDefault="004E23F7" w:rsidP="004E23F7">
      <w:pPr>
        <w:pStyle w:val="ListParagraph"/>
        <w:ind w:left="284"/>
        <w:rPr>
          <w:b/>
          <w:lang w:val="fr-CA" w:eastAsia="en-CA"/>
        </w:rPr>
      </w:pPr>
    </w:p>
    <w:p w14:paraId="2155A37F" w14:textId="2A7F47AB" w:rsidR="00993847" w:rsidRDefault="00993847" w:rsidP="004E23F7">
      <w:pPr>
        <w:spacing w:after="0" w:line="240" w:lineRule="auto"/>
        <w:rPr>
          <w:lang w:val="fr-CA" w:eastAsia="en-CA"/>
        </w:rPr>
      </w:pPr>
      <w:r>
        <w:rPr>
          <w:lang w:val="fr-CA" w:eastAsia="en-CA"/>
        </w:rPr>
        <w:t xml:space="preserve">Le processus actuel </w:t>
      </w:r>
      <w:r w:rsidR="00607778" w:rsidRPr="00D91CD1">
        <w:rPr>
          <w:lang w:val="fr-CA" w:eastAsia="en-CA"/>
        </w:rPr>
        <w:t>s’applique à l’ensemble des projets de</w:t>
      </w:r>
      <w:r w:rsidR="00AC646E" w:rsidRPr="00D91CD1">
        <w:rPr>
          <w:lang w:val="fr-CA" w:eastAsia="en-CA"/>
        </w:rPr>
        <w:t xml:space="preserve"> </w:t>
      </w:r>
      <w:r w:rsidR="00252272" w:rsidRPr="00D91CD1">
        <w:rPr>
          <w:lang w:val="fr-CA" w:eastAsia="en-CA"/>
        </w:rPr>
        <w:t>subventions et de contributions</w:t>
      </w:r>
      <w:r w:rsidR="005865F0" w:rsidRPr="00D91CD1">
        <w:rPr>
          <w:lang w:val="fr-CA" w:eastAsia="en-CA"/>
        </w:rPr>
        <w:t xml:space="preserve"> (</w:t>
      </w:r>
      <w:r w:rsidR="00252272" w:rsidRPr="00D91CD1">
        <w:rPr>
          <w:lang w:val="fr-CA" w:eastAsia="en-CA"/>
        </w:rPr>
        <w:t>S et C</w:t>
      </w:r>
      <w:r w:rsidR="005865F0" w:rsidRPr="00D91CD1">
        <w:rPr>
          <w:lang w:val="fr-CA" w:eastAsia="en-CA"/>
        </w:rPr>
        <w:t>)</w:t>
      </w:r>
      <w:r>
        <w:rPr>
          <w:lang w:val="fr-CA" w:eastAsia="en-CA"/>
        </w:rPr>
        <w:t xml:space="preserve"> </w:t>
      </w:r>
      <w:r w:rsidR="00252272" w:rsidRPr="00D91CD1">
        <w:rPr>
          <w:lang w:val="fr-CA" w:eastAsia="en-CA"/>
        </w:rPr>
        <w:t>du</w:t>
      </w:r>
      <w:r w:rsidR="006B14E6" w:rsidRPr="00D91CD1">
        <w:rPr>
          <w:lang w:val="fr-CA" w:eastAsia="en-CA"/>
        </w:rPr>
        <w:t xml:space="preserve"> </w:t>
      </w:r>
      <w:r w:rsidR="00252272" w:rsidRPr="00D91CD1">
        <w:rPr>
          <w:lang w:val="fr-CA" w:eastAsia="en-CA"/>
        </w:rPr>
        <w:t>Système commun des subventions et contributions</w:t>
      </w:r>
      <w:r w:rsidR="006B14E6" w:rsidRPr="00D91CD1">
        <w:rPr>
          <w:lang w:val="fr-CA" w:eastAsia="en-CA"/>
        </w:rPr>
        <w:t xml:space="preserve"> </w:t>
      </w:r>
      <w:r w:rsidR="00F766A9">
        <w:rPr>
          <w:lang w:val="fr-CA" w:eastAsia="en-CA"/>
        </w:rPr>
        <w:t xml:space="preserve">(SCSC) pour lequel un projet </w:t>
      </w:r>
      <w:r w:rsidR="00252272" w:rsidRPr="00D91CD1">
        <w:rPr>
          <w:lang w:val="fr-CA" w:eastAsia="en-CA"/>
        </w:rPr>
        <w:t xml:space="preserve">nécessite qu’un paiement soit traité </w:t>
      </w:r>
      <w:r w:rsidR="00252272" w:rsidRPr="00D91CD1">
        <w:rPr>
          <w:u w:val="single"/>
          <w:lang w:val="fr-CA" w:eastAsia="en-CA"/>
        </w:rPr>
        <w:t>de façon manuelle</w:t>
      </w:r>
      <w:r w:rsidR="00623F4D" w:rsidRPr="00D91CD1">
        <w:rPr>
          <w:lang w:val="fr-CA" w:eastAsia="en-CA"/>
        </w:rPr>
        <w:t xml:space="preserve"> </w:t>
      </w:r>
      <w:r w:rsidR="00252272" w:rsidRPr="00D91CD1">
        <w:rPr>
          <w:lang w:val="fr-CA" w:eastAsia="en-CA"/>
        </w:rPr>
        <w:t xml:space="preserve">directement dans </w:t>
      </w:r>
      <w:proofErr w:type="spellStart"/>
      <w:r w:rsidR="00252272" w:rsidRPr="00D91CD1">
        <w:rPr>
          <w:lang w:val="fr-CA" w:eastAsia="en-CA"/>
        </w:rPr>
        <w:t>maSGE</w:t>
      </w:r>
      <w:proofErr w:type="spellEnd"/>
      <w:r w:rsidR="00EA3D3E" w:rsidRPr="00D91CD1">
        <w:rPr>
          <w:lang w:val="fr-CA" w:eastAsia="en-CA"/>
        </w:rPr>
        <w:t xml:space="preserve"> (</w:t>
      </w:r>
      <w:r w:rsidR="00AC646E" w:rsidRPr="00D91CD1">
        <w:rPr>
          <w:lang w:val="fr-CA" w:eastAsia="en-CA"/>
        </w:rPr>
        <w:t>SAP</w:t>
      </w:r>
      <w:r w:rsidR="00EA3D3E" w:rsidRPr="00D91CD1">
        <w:rPr>
          <w:lang w:val="fr-CA" w:eastAsia="en-CA"/>
        </w:rPr>
        <w:t>)</w:t>
      </w:r>
      <w:r w:rsidR="00AC646E" w:rsidRPr="00D91CD1">
        <w:rPr>
          <w:lang w:val="fr-CA" w:eastAsia="en-CA"/>
        </w:rPr>
        <w:t xml:space="preserve"> </w:t>
      </w:r>
      <w:r w:rsidR="00252272" w:rsidRPr="00D91CD1">
        <w:rPr>
          <w:lang w:val="fr-CA" w:eastAsia="en-CA"/>
        </w:rPr>
        <w:t>et non au moyen de l’interface du SCSC</w:t>
      </w:r>
      <w:r w:rsidR="00F005DC">
        <w:rPr>
          <w:lang w:val="fr-CA" w:eastAsia="en-CA"/>
        </w:rPr>
        <w:t>, due à des circonstances exceptionnelles.</w:t>
      </w:r>
      <w:r w:rsidR="00A83E06" w:rsidRPr="00D91CD1">
        <w:rPr>
          <w:lang w:val="fr-CA" w:eastAsia="en-CA"/>
        </w:rPr>
        <w:t xml:space="preserve"> </w:t>
      </w:r>
    </w:p>
    <w:p w14:paraId="6FED3CA4" w14:textId="77777777" w:rsidR="004E23F7" w:rsidRDefault="004E23F7" w:rsidP="004E23F7">
      <w:pPr>
        <w:spacing w:after="0" w:line="240" w:lineRule="auto"/>
        <w:rPr>
          <w:lang w:val="fr-CA" w:eastAsia="en-CA"/>
        </w:rPr>
      </w:pPr>
    </w:p>
    <w:p w14:paraId="6D6DF5E8" w14:textId="0F79D687" w:rsidR="00AC646E" w:rsidRDefault="00252272" w:rsidP="004E23F7">
      <w:pPr>
        <w:spacing w:after="0" w:line="240" w:lineRule="auto"/>
        <w:rPr>
          <w:lang w:val="fr-CA" w:eastAsia="en-CA"/>
        </w:rPr>
      </w:pPr>
      <w:r w:rsidRPr="00D91CD1">
        <w:rPr>
          <w:lang w:val="fr-CA" w:eastAsia="en-CA"/>
        </w:rPr>
        <w:t xml:space="preserve">Les exceptions au présent </w:t>
      </w:r>
      <w:r w:rsidR="00B71ED5" w:rsidRPr="00D91CD1">
        <w:rPr>
          <w:lang w:val="fr-CA" w:eastAsia="en-CA"/>
        </w:rPr>
        <w:t>processus sont</w:t>
      </w:r>
      <w:r w:rsidRPr="00D91CD1">
        <w:rPr>
          <w:lang w:val="fr-CA" w:eastAsia="en-CA"/>
        </w:rPr>
        <w:t xml:space="preserve"> énumérées à </w:t>
      </w:r>
      <w:r w:rsidRPr="00483214">
        <w:rPr>
          <w:b/>
          <w:color w:val="1F497D" w:themeColor="text2"/>
          <w:lang w:val="fr-CA" w:eastAsia="en-CA"/>
        </w:rPr>
        <w:t>l’annexe</w:t>
      </w:r>
      <w:r w:rsidR="00977390" w:rsidRPr="00483214">
        <w:rPr>
          <w:b/>
          <w:color w:val="1F497D" w:themeColor="text2"/>
          <w:lang w:val="fr-CA" w:eastAsia="en-CA"/>
        </w:rPr>
        <w:t xml:space="preserve"> </w:t>
      </w:r>
      <w:r w:rsidR="00CE0072" w:rsidRPr="00483214">
        <w:rPr>
          <w:b/>
          <w:color w:val="1F497D" w:themeColor="text2"/>
          <w:lang w:val="fr-CA" w:eastAsia="en-CA"/>
        </w:rPr>
        <w:t>C</w:t>
      </w:r>
      <w:r w:rsidR="00993847">
        <w:rPr>
          <w:lang w:val="fr-CA" w:eastAsia="en-CA"/>
        </w:rPr>
        <w:t>.</w:t>
      </w:r>
    </w:p>
    <w:p w14:paraId="289AE009" w14:textId="77777777" w:rsidR="004E23F7" w:rsidRPr="00D91CD1" w:rsidRDefault="004E23F7" w:rsidP="004E23F7">
      <w:pPr>
        <w:spacing w:after="0" w:line="240" w:lineRule="auto"/>
        <w:rPr>
          <w:lang w:val="fr-CA" w:eastAsia="en-CA"/>
        </w:rPr>
      </w:pPr>
    </w:p>
    <w:p w14:paraId="2E7FBD05" w14:textId="784DB5F7" w:rsidR="00563B90" w:rsidRDefault="00563B90" w:rsidP="004E23F7">
      <w:pPr>
        <w:pStyle w:val="ListParagraph"/>
        <w:numPr>
          <w:ilvl w:val="0"/>
          <w:numId w:val="4"/>
        </w:numPr>
        <w:ind w:left="284" w:hanging="284"/>
        <w:rPr>
          <w:b/>
          <w:lang w:val="fr-CA" w:eastAsia="en-CA"/>
        </w:rPr>
      </w:pPr>
      <w:r w:rsidRPr="00D91CD1">
        <w:rPr>
          <w:b/>
          <w:lang w:val="fr-CA" w:eastAsia="en-CA"/>
        </w:rPr>
        <w:t>Context</w:t>
      </w:r>
      <w:r w:rsidR="00DF7816" w:rsidRPr="00D91CD1">
        <w:rPr>
          <w:b/>
          <w:lang w:val="fr-CA" w:eastAsia="en-CA"/>
        </w:rPr>
        <w:t>e</w:t>
      </w:r>
    </w:p>
    <w:p w14:paraId="584ABD5E" w14:textId="77777777" w:rsidR="004E23F7" w:rsidRPr="00D91CD1" w:rsidRDefault="004E23F7" w:rsidP="004E23F7">
      <w:pPr>
        <w:pStyle w:val="ListParagraph"/>
        <w:ind w:left="284"/>
        <w:rPr>
          <w:b/>
          <w:lang w:val="fr-CA" w:eastAsia="en-CA"/>
        </w:rPr>
      </w:pPr>
    </w:p>
    <w:p w14:paraId="7583267B" w14:textId="64E309E0" w:rsidR="00DF643B" w:rsidRDefault="00F005DC" w:rsidP="004E23F7">
      <w:pPr>
        <w:spacing w:after="0"/>
        <w:rPr>
          <w:lang w:val="fr-CA" w:eastAsia="en-CA"/>
        </w:rPr>
      </w:pPr>
      <w:r>
        <w:rPr>
          <w:lang w:val="fr-CA" w:eastAsia="en-CA"/>
        </w:rPr>
        <w:t xml:space="preserve">Le SCSC est le </w:t>
      </w:r>
      <w:r w:rsidRPr="00D91CD1">
        <w:rPr>
          <w:lang w:val="fr-CA" w:eastAsia="en-CA"/>
        </w:rPr>
        <w:t xml:space="preserve">système </w:t>
      </w:r>
      <w:r>
        <w:rPr>
          <w:lang w:val="fr-CA" w:eastAsia="en-CA"/>
        </w:rPr>
        <w:t xml:space="preserve">ministériel </w:t>
      </w:r>
      <w:r w:rsidRPr="00D91CD1">
        <w:rPr>
          <w:lang w:val="fr-CA" w:eastAsia="en-CA"/>
        </w:rPr>
        <w:t>officiel de gestion des S et C</w:t>
      </w:r>
      <w:r>
        <w:rPr>
          <w:lang w:val="fr-CA" w:eastAsia="en-CA"/>
        </w:rPr>
        <w:t xml:space="preserve">. </w:t>
      </w:r>
      <w:r w:rsidR="00670061" w:rsidRPr="00D91CD1">
        <w:rPr>
          <w:lang w:val="fr-CA" w:eastAsia="en-CA"/>
        </w:rPr>
        <w:t xml:space="preserve">Le SCSC </w:t>
      </w:r>
      <w:r w:rsidR="00F04F16">
        <w:rPr>
          <w:lang w:val="fr-CA" w:eastAsia="en-CA"/>
        </w:rPr>
        <w:t xml:space="preserve">appuie </w:t>
      </w:r>
      <w:r w:rsidR="00670061" w:rsidRPr="00D91CD1">
        <w:rPr>
          <w:lang w:val="fr-CA" w:eastAsia="en-CA"/>
        </w:rPr>
        <w:t>la gestion</w:t>
      </w:r>
      <w:r w:rsidR="00DF643B" w:rsidRPr="00D91CD1">
        <w:rPr>
          <w:lang w:val="fr-CA" w:eastAsia="en-CA"/>
        </w:rPr>
        <w:t xml:space="preserve"> </w:t>
      </w:r>
      <w:r w:rsidR="00670061" w:rsidRPr="00D91CD1">
        <w:rPr>
          <w:lang w:val="fr-CA" w:eastAsia="en-CA"/>
        </w:rPr>
        <w:t>et l’</w:t>
      </w:r>
      <w:r w:rsidR="00DF643B" w:rsidRPr="00D91CD1">
        <w:rPr>
          <w:lang w:val="fr-CA" w:eastAsia="en-CA"/>
        </w:rPr>
        <w:t xml:space="preserve">administration </w:t>
      </w:r>
      <w:r w:rsidR="00670061" w:rsidRPr="00D91CD1">
        <w:rPr>
          <w:lang w:val="fr-CA" w:eastAsia="en-CA"/>
        </w:rPr>
        <w:t>des programmes de S et C du ministère</w:t>
      </w:r>
      <w:r w:rsidR="00DF643B" w:rsidRPr="00D91CD1">
        <w:rPr>
          <w:lang w:val="fr-CA" w:eastAsia="en-CA"/>
        </w:rPr>
        <w:t xml:space="preserve">. </w:t>
      </w:r>
      <w:r w:rsidR="00670061" w:rsidRPr="00D91CD1">
        <w:rPr>
          <w:lang w:val="fr-CA" w:eastAsia="en-CA"/>
        </w:rPr>
        <w:t xml:space="preserve">Le </w:t>
      </w:r>
      <w:r>
        <w:rPr>
          <w:lang w:val="fr-CA" w:eastAsia="en-CA"/>
        </w:rPr>
        <w:t>SCSC</w:t>
      </w:r>
      <w:r w:rsidR="00670061" w:rsidRPr="00D91CD1">
        <w:rPr>
          <w:lang w:val="fr-CA" w:eastAsia="en-CA"/>
        </w:rPr>
        <w:t xml:space="preserve"> est conçu pour répondre aux besoins des secteurs d’activité du ministère</w:t>
      </w:r>
      <w:r w:rsidR="00BC1D90">
        <w:rPr>
          <w:lang w:val="fr-CA" w:eastAsia="en-CA"/>
        </w:rPr>
        <w:t>, incluant le module Cy</w:t>
      </w:r>
      <w:r w:rsidR="00670061" w:rsidRPr="00D91CD1">
        <w:rPr>
          <w:lang w:val="fr-CA" w:eastAsia="en-CA"/>
        </w:rPr>
        <w:t>cle de vie d</w:t>
      </w:r>
      <w:r w:rsidR="00BC1D90">
        <w:rPr>
          <w:lang w:val="fr-CA" w:eastAsia="en-CA"/>
        </w:rPr>
        <w:t>’un</w:t>
      </w:r>
      <w:r w:rsidR="00670061" w:rsidRPr="00D91CD1">
        <w:rPr>
          <w:lang w:val="fr-CA" w:eastAsia="en-CA"/>
        </w:rPr>
        <w:t xml:space="preserve"> projet </w:t>
      </w:r>
      <w:r w:rsidR="008843E0" w:rsidRPr="00D91CD1">
        <w:rPr>
          <w:lang w:val="fr-CA" w:eastAsia="en-CA"/>
        </w:rPr>
        <w:t xml:space="preserve">(CVP) </w:t>
      </w:r>
      <w:r w:rsidR="00670061" w:rsidRPr="00D91CD1">
        <w:rPr>
          <w:lang w:val="fr-CA" w:eastAsia="en-CA"/>
        </w:rPr>
        <w:t xml:space="preserve">et le </w:t>
      </w:r>
      <w:r w:rsidR="008843E0" w:rsidRPr="00D91CD1">
        <w:rPr>
          <w:lang w:val="fr-CA" w:eastAsia="en-CA"/>
        </w:rPr>
        <w:t>module</w:t>
      </w:r>
      <w:r w:rsidR="00BC1D90">
        <w:rPr>
          <w:lang w:val="fr-CA" w:eastAsia="en-CA"/>
        </w:rPr>
        <w:t xml:space="preserve"> Client </w:t>
      </w:r>
      <w:r w:rsidR="00DF643B" w:rsidRPr="00D91CD1">
        <w:rPr>
          <w:lang w:val="fr-CA" w:eastAsia="en-CA"/>
        </w:rPr>
        <w:t>(</w:t>
      </w:r>
      <w:r w:rsidR="008843E0" w:rsidRPr="00D91CD1">
        <w:rPr>
          <w:lang w:val="fr-CA" w:eastAsia="en-CA"/>
        </w:rPr>
        <w:t>MC</w:t>
      </w:r>
      <w:r w:rsidR="00DF643B" w:rsidRPr="00D91CD1">
        <w:rPr>
          <w:lang w:val="fr-CA" w:eastAsia="en-CA"/>
        </w:rPr>
        <w:t>).</w:t>
      </w:r>
      <w:r>
        <w:rPr>
          <w:lang w:val="fr-CA" w:eastAsia="en-CA"/>
        </w:rPr>
        <w:t xml:space="preserve"> Tous les paiements de S et C doivent être traités dans le SCSC</w:t>
      </w:r>
      <w:r w:rsidRPr="00D91CD1">
        <w:rPr>
          <w:lang w:val="fr-CA" w:eastAsia="en-CA"/>
        </w:rPr>
        <w:t>.</w:t>
      </w:r>
      <w:r>
        <w:rPr>
          <w:lang w:val="fr-CA" w:eastAsia="en-CA"/>
        </w:rPr>
        <w:t xml:space="preserve"> Dans des circonstances exceptionnelles, lorsqu’un projet du SCSC nécessite qu’un paiement soit traité </w:t>
      </w:r>
      <w:r w:rsidRPr="00E32C5F">
        <w:rPr>
          <w:u w:val="single"/>
          <w:lang w:val="fr-CA" w:eastAsia="en-CA"/>
        </w:rPr>
        <w:t>de façon manuelle</w:t>
      </w:r>
      <w:r>
        <w:rPr>
          <w:lang w:val="fr-CA" w:eastAsia="en-CA"/>
        </w:rPr>
        <w:t xml:space="preserve"> directement dans SAP, le processus suivant doit être appliqué.</w:t>
      </w:r>
    </w:p>
    <w:p w14:paraId="74FED454" w14:textId="31BFDEB8" w:rsidR="004E23F7" w:rsidRDefault="004E23F7" w:rsidP="004E23F7">
      <w:pPr>
        <w:spacing w:after="0"/>
        <w:rPr>
          <w:lang w:val="fr-CA" w:eastAsia="en-CA"/>
        </w:rPr>
      </w:pPr>
    </w:p>
    <w:p w14:paraId="28D00845" w14:textId="77777777" w:rsidR="004E23F7" w:rsidRPr="00D91CD1" w:rsidRDefault="004E23F7" w:rsidP="004E23F7">
      <w:pPr>
        <w:spacing w:after="0"/>
        <w:rPr>
          <w:lang w:val="fr-CA" w:eastAsia="en-CA"/>
        </w:rPr>
      </w:pPr>
    </w:p>
    <w:p w14:paraId="47CC9D5B" w14:textId="5F38B795" w:rsidR="004F4441" w:rsidRDefault="00DF7816" w:rsidP="004E23F7">
      <w:pPr>
        <w:pStyle w:val="ListParagraph"/>
        <w:numPr>
          <w:ilvl w:val="0"/>
          <w:numId w:val="4"/>
        </w:numPr>
        <w:ind w:left="426" w:hanging="426"/>
        <w:rPr>
          <w:b/>
          <w:lang w:val="fr-CA" w:eastAsia="en-CA"/>
        </w:rPr>
      </w:pPr>
      <w:r w:rsidRPr="00D91CD1">
        <w:rPr>
          <w:b/>
          <w:lang w:val="fr-CA" w:eastAsia="en-CA"/>
        </w:rPr>
        <w:t>Objectifs</w:t>
      </w:r>
    </w:p>
    <w:p w14:paraId="1DE7AD9E" w14:textId="77777777" w:rsidR="004E23F7" w:rsidRPr="00D91CD1" w:rsidRDefault="004E23F7" w:rsidP="004E23F7">
      <w:pPr>
        <w:pStyle w:val="ListParagraph"/>
        <w:ind w:left="426"/>
        <w:rPr>
          <w:b/>
          <w:lang w:val="fr-CA" w:eastAsia="en-CA"/>
        </w:rPr>
      </w:pPr>
    </w:p>
    <w:p w14:paraId="0FBD792A" w14:textId="77777777" w:rsidR="007C4613" w:rsidRPr="00D91CD1" w:rsidRDefault="0073562F" w:rsidP="004E23F7">
      <w:pPr>
        <w:spacing w:after="0"/>
        <w:rPr>
          <w:lang w:val="fr-CA" w:eastAsia="en-CA"/>
        </w:rPr>
      </w:pPr>
      <w:r w:rsidRPr="00D91CD1">
        <w:rPr>
          <w:lang w:val="fr-CA" w:eastAsia="en-CA"/>
        </w:rPr>
        <w:t>Les objectifs de la présente directive sont notamment </w:t>
      </w:r>
      <w:r w:rsidR="007C4613" w:rsidRPr="00D91CD1">
        <w:rPr>
          <w:lang w:val="fr-CA" w:eastAsia="en-CA"/>
        </w:rPr>
        <w:t>:</w:t>
      </w:r>
    </w:p>
    <w:p w14:paraId="43D32692" w14:textId="2877D87B" w:rsidR="00ED7764" w:rsidRDefault="00D358F0" w:rsidP="004E23F7">
      <w:pPr>
        <w:pStyle w:val="ListParagraph"/>
        <w:numPr>
          <w:ilvl w:val="0"/>
          <w:numId w:val="21"/>
        </w:numPr>
        <w:ind w:left="284" w:hanging="284"/>
        <w:rPr>
          <w:lang w:val="fr-CA" w:eastAsia="en-CA"/>
        </w:rPr>
      </w:pPr>
      <w:proofErr w:type="gramStart"/>
      <w:r>
        <w:rPr>
          <w:lang w:val="fr-CA" w:eastAsia="en-CA"/>
        </w:rPr>
        <w:t>s</w:t>
      </w:r>
      <w:r w:rsidR="00ED7764">
        <w:rPr>
          <w:lang w:val="fr-CA" w:eastAsia="en-CA"/>
        </w:rPr>
        <w:t>’assurer</w:t>
      </w:r>
      <w:proofErr w:type="gramEnd"/>
      <w:r w:rsidR="00ED7764">
        <w:rPr>
          <w:lang w:val="fr-CA" w:eastAsia="en-CA"/>
        </w:rPr>
        <w:t xml:space="preserve"> que des contrôles internes appropriés et que le processus en place soit suivi pour l’émission des paiements manuels d</w:t>
      </w:r>
      <w:r w:rsidR="00627128">
        <w:rPr>
          <w:lang w:val="fr-CA" w:eastAsia="en-CA"/>
        </w:rPr>
        <w:t>u</w:t>
      </w:r>
      <w:r w:rsidR="00ED7764">
        <w:rPr>
          <w:lang w:val="fr-CA" w:eastAsia="en-CA"/>
        </w:rPr>
        <w:t xml:space="preserve"> SCSC;</w:t>
      </w:r>
    </w:p>
    <w:p w14:paraId="47552B0C" w14:textId="77777777" w:rsidR="007C4613" w:rsidRPr="00D91CD1" w:rsidRDefault="0073562F" w:rsidP="004E23F7">
      <w:pPr>
        <w:pStyle w:val="ListParagraph"/>
        <w:numPr>
          <w:ilvl w:val="0"/>
          <w:numId w:val="21"/>
        </w:numPr>
        <w:ind w:left="284" w:hanging="284"/>
        <w:rPr>
          <w:lang w:val="fr-CA" w:eastAsia="en-CA"/>
        </w:rPr>
      </w:pPr>
      <w:proofErr w:type="gramStart"/>
      <w:r w:rsidRPr="00D91CD1">
        <w:rPr>
          <w:lang w:val="fr-CA" w:eastAsia="en-CA"/>
        </w:rPr>
        <w:t>renforcer</w:t>
      </w:r>
      <w:proofErr w:type="gramEnd"/>
      <w:r w:rsidRPr="00D91CD1">
        <w:rPr>
          <w:lang w:val="fr-CA" w:eastAsia="en-CA"/>
        </w:rPr>
        <w:t xml:space="preserve"> le rôle du SCSC à titre de système officiel de gestion des S et C</w:t>
      </w:r>
      <w:r w:rsidR="00DF7816" w:rsidRPr="00D91CD1">
        <w:rPr>
          <w:lang w:val="fr-CA" w:eastAsia="en-CA"/>
        </w:rPr>
        <w:t>;</w:t>
      </w:r>
    </w:p>
    <w:p w14:paraId="296146B3" w14:textId="56E6DE1F" w:rsidR="007C4613" w:rsidRPr="00D91CD1" w:rsidRDefault="0073562F" w:rsidP="004E23F7">
      <w:pPr>
        <w:pStyle w:val="ListParagraph"/>
        <w:numPr>
          <w:ilvl w:val="0"/>
          <w:numId w:val="21"/>
        </w:numPr>
        <w:ind w:left="284" w:hanging="284"/>
        <w:rPr>
          <w:lang w:val="fr-CA" w:eastAsia="en-CA"/>
        </w:rPr>
      </w:pPr>
      <w:proofErr w:type="gramStart"/>
      <w:r w:rsidRPr="00D91CD1">
        <w:rPr>
          <w:lang w:val="fr-CA" w:eastAsia="en-CA"/>
        </w:rPr>
        <w:t>réduire</w:t>
      </w:r>
      <w:proofErr w:type="gramEnd"/>
      <w:r w:rsidRPr="00D91CD1">
        <w:rPr>
          <w:lang w:val="fr-CA" w:eastAsia="en-CA"/>
        </w:rPr>
        <w:t xml:space="preserve"> au minimum le nombre de paiements manuels effectués </w:t>
      </w:r>
      <w:r w:rsidR="00F766A9">
        <w:rPr>
          <w:lang w:val="fr-CA" w:eastAsia="en-CA"/>
        </w:rPr>
        <w:t xml:space="preserve">dans </w:t>
      </w:r>
      <w:r w:rsidRPr="00D91CD1">
        <w:rPr>
          <w:lang w:val="fr-CA" w:eastAsia="en-CA"/>
        </w:rPr>
        <w:t>SAP</w:t>
      </w:r>
      <w:r w:rsidR="00DF7816" w:rsidRPr="00D91CD1">
        <w:rPr>
          <w:lang w:val="fr-CA" w:eastAsia="en-CA"/>
        </w:rPr>
        <w:t>;</w:t>
      </w:r>
    </w:p>
    <w:p w14:paraId="13E2049E" w14:textId="2E98FC7E" w:rsidR="007C4613" w:rsidRPr="00D91CD1" w:rsidRDefault="0073562F" w:rsidP="004E23F7">
      <w:pPr>
        <w:pStyle w:val="ListParagraph"/>
        <w:numPr>
          <w:ilvl w:val="0"/>
          <w:numId w:val="21"/>
        </w:numPr>
        <w:ind w:left="284" w:hanging="284"/>
        <w:rPr>
          <w:lang w:val="fr-CA" w:eastAsia="en-CA"/>
        </w:rPr>
      </w:pPr>
      <w:proofErr w:type="gramStart"/>
      <w:r w:rsidRPr="00D91CD1">
        <w:rPr>
          <w:lang w:val="fr-CA" w:eastAsia="en-CA"/>
        </w:rPr>
        <w:t>améliorer</w:t>
      </w:r>
      <w:proofErr w:type="gramEnd"/>
      <w:r w:rsidRPr="00D91CD1">
        <w:rPr>
          <w:lang w:val="fr-CA" w:eastAsia="en-CA"/>
        </w:rPr>
        <w:t xml:space="preserve"> les rapports et l’intégration en réduisant les activités de rapprochement entre le SCSC et SAP</w:t>
      </w:r>
      <w:r w:rsidR="00DF7816" w:rsidRPr="00D91CD1">
        <w:rPr>
          <w:lang w:val="fr-CA" w:eastAsia="en-CA"/>
        </w:rPr>
        <w:t>.</w:t>
      </w:r>
    </w:p>
    <w:p w14:paraId="60D7CEBA" w14:textId="77777777" w:rsidR="00266115" w:rsidRPr="00D91CD1" w:rsidRDefault="00266115" w:rsidP="004E23F7">
      <w:pPr>
        <w:spacing w:after="0"/>
        <w:rPr>
          <w:rFonts w:cstheme="minorHAnsi"/>
          <w:lang w:val="fr-CA" w:eastAsia="en-CA"/>
        </w:rPr>
      </w:pPr>
    </w:p>
    <w:p w14:paraId="5222B1A7" w14:textId="77777777" w:rsidR="00413811" w:rsidRPr="00D91CD1" w:rsidRDefault="006247E4" w:rsidP="004E23F7">
      <w:pPr>
        <w:spacing w:after="0"/>
        <w:rPr>
          <w:rFonts w:cstheme="minorHAnsi"/>
          <w:lang w:val="fr-CA"/>
        </w:rPr>
      </w:pPr>
      <w:r w:rsidRPr="00D91CD1">
        <w:rPr>
          <w:rFonts w:cstheme="minorHAnsi"/>
          <w:lang w:val="fr-CA"/>
        </w:rPr>
        <w:t>Ces objectifs sont conformes aux politiques et aux directives du Conseil du Trésor et du ministère, notamment </w:t>
      </w:r>
      <w:r w:rsidR="00413811" w:rsidRPr="00D91CD1">
        <w:rPr>
          <w:rFonts w:cstheme="minorHAnsi"/>
          <w:lang w:val="fr-CA"/>
        </w:rPr>
        <w:t>:</w:t>
      </w:r>
    </w:p>
    <w:p w14:paraId="180625B8" w14:textId="77777777" w:rsidR="00413811" w:rsidRPr="00D274E0" w:rsidRDefault="006247E4" w:rsidP="004E23F7">
      <w:pPr>
        <w:pStyle w:val="ListParagraph"/>
        <w:numPr>
          <w:ilvl w:val="0"/>
          <w:numId w:val="21"/>
        </w:numPr>
        <w:ind w:left="284" w:hanging="284"/>
        <w:rPr>
          <w:rFonts w:asciiTheme="minorHAnsi" w:hAnsiTheme="minorHAnsi" w:cstheme="minorHAnsi"/>
          <w:i/>
          <w:lang w:val="fr-CA"/>
        </w:rPr>
      </w:pPr>
      <w:r w:rsidRPr="00D274E0">
        <w:rPr>
          <w:rFonts w:asciiTheme="minorHAnsi" w:hAnsiTheme="minorHAnsi" w:cstheme="minorHAnsi"/>
          <w:lang w:val="fr-CA"/>
        </w:rPr>
        <w:t>les articles</w:t>
      </w:r>
      <w:r w:rsidR="00413811" w:rsidRPr="00D274E0">
        <w:rPr>
          <w:rFonts w:asciiTheme="minorHAnsi" w:hAnsiTheme="minorHAnsi" w:cstheme="minorHAnsi"/>
          <w:lang w:val="fr-CA"/>
        </w:rPr>
        <w:t xml:space="preserve"> 32, 33 </w:t>
      </w:r>
      <w:r w:rsidRPr="00D274E0">
        <w:rPr>
          <w:rFonts w:asciiTheme="minorHAnsi" w:hAnsiTheme="minorHAnsi" w:cstheme="minorHAnsi"/>
          <w:lang w:val="fr-CA"/>
        </w:rPr>
        <w:t>et</w:t>
      </w:r>
      <w:r w:rsidR="00413811" w:rsidRPr="00D274E0">
        <w:rPr>
          <w:rFonts w:asciiTheme="minorHAnsi" w:hAnsiTheme="minorHAnsi" w:cstheme="minorHAnsi"/>
          <w:lang w:val="fr-CA"/>
        </w:rPr>
        <w:t xml:space="preserve"> 34 </w:t>
      </w:r>
      <w:r w:rsidRPr="00D274E0">
        <w:rPr>
          <w:rFonts w:asciiTheme="minorHAnsi" w:hAnsiTheme="minorHAnsi" w:cstheme="minorHAnsi"/>
          <w:lang w:val="fr-CA"/>
        </w:rPr>
        <w:t>de la</w:t>
      </w:r>
      <w:r w:rsidR="00413811" w:rsidRPr="00D274E0">
        <w:rPr>
          <w:rFonts w:asciiTheme="minorHAnsi" w:hAnsiTheme="minorHAnsi" w:cstheme="minorHAnsi"/>
          <w:lang w:val="fr-CA"/>
        </w:rPr>
        <w:t xml:space="preserve"> </w:t>
      </w:r>
      <w:hyperlink r:id="rId8" w:history="1">
        <w:r w:rsidRPr="00F005DC">
          <w:rPr>
            <w:rStyle w:val="Hyperlink"/>
            <w:rFonts w:asciiTheme="minorHAnsi" w:hAnsiTheme="minorHAnsi" w:cstheme="minorHAnsi"/>
            <w:i/>
            <w:color w:val="auto"/>
            <w:lang w:val="fr-CA"/>
          </w:rPr>
          <w:t>Loi sur la gestion des finances publiques</w:t>
        </w:r>
      </w:hyperlink>
      <w:r w:rsidR="00413811" w:rsidRPr="00B71ED5">
        <w:rPr>
          <w:rFonts w:asciiTheme="minorHAnsi" w:hAnsiTheme="minorHAnsi" w:cstheme="minorHAnsi"/>
          <w:i/>
          <w:u w:val="single"/>
          <w:lang w:val="fr-CA"/>
        </w:rPr>
        <w:t xml:space="preserve"> (</w:t>
      </w:r>
      <w:r w:rsidRPr="00B71ED5">
        <w:rPr>
          <w:rFonts w:asciiTheme="minorHAnsi" w:hAnsiTheme="minorHAnsi" w:cstheme="minorHAnsi"/>
          <w:i/>
          <w:u w:val="single"/>
          <w:lang w:val="fr-CA"/>
        </w:rPr>
        <w:t>LGFP</w:t>
      </w:r>
      <w:r w:rsidR="00413811" w:rsidRPr="00B71ED5">
        <w:rPr>
          <w:rFonts w:asciiTheme="minorHAnsi" w:hAnsiTheme="minorHAnsi" w:cstheme="minorHAnsi"/>
          <w:i/>
          <w:u w:val="single"/>
          <w:lang w:val="fr-CA"/>
        </w:rPr>
        <w:t>)</w:t>
      </w:r>
    </w:p>
    <w:p w14:paraId="3EE1B359" w14:textId="1A5BD9BE" w:rsidR="00413811" w:rsidRPr="00D274E0" w:rsidRDefault="005D56F4" w:rsidP="004E23F7">
      <w:pPr>
        <w:pStyle w:val="ListParagraph"/>
        <w:numPr>
          <w:ilvl w:val="0"/>
          <w:numId w:val="21"/>
        </w:numPr>
        <w:ind w:left="284" w:hanging="284"/>
        <w:rPr>
          <w:rFonts w:asciiTheme="minorHAnsi" w:hAnsiTheme="minorHAnsi" w:cstheme="minorHAnsi"/>
          <w:i/>
          <w:lang w:val="fr-CA"/>
        </w:rPr>
      </w:pPr>
      <w:r w:rsidRPr="00D274E0">
        <w:rPr>
          <w:rFonts w:asciiTheme="minorHAnsi" w:hAnsiTheme="minorHAnsi" w:cstheme="minorHAnsi"/>
          <w:lang w:val="fr-CA"/>
        </w:rPr>
        <w:t xml:space="preserve">la </w:t>
      </w:r>
      <w:hyperlink r:id="rId9" w:history="1">
        <w:r w:rsidR="001841EC" w:rsidRPr="00D274E0">
          <w:rPr>
            <w:rStyle w:val="Hyperlink"/>
            <w:rFonts w:asciiTheme="minorHAnsi" w:hAnsiTheme="minorHAnsi" w:cstheme="minorHAnsi"/>
            <w:i/>
            <w:color w:val="auto"/>
            <w:lang w:val="fr-CA"/>
          </w:rPr>
          <w:t>Directive sur les normes comptables : GC 5100 Créditeurs à la fin de l’exercice</w:t>
        </w:r>
      </w:hyperlink>
      <w:r w:rsidR="002B45BE">
        <w:rPr>
          <w:rStyle w:val="Hyperlink"/>
          <w:rFonts w:asciiTheme="minorHAnsi" w:hAnsiTheme="minorHAnsi" w:cstheme="minorHAnsi"/>
          <w:i/>
          <w:color w:val="auto"/>
          <w:lang w:val="fr-CA"/>
        </w:rPr>
        <w:t xml:space="preserve"> (CAFE)</w:t>
      </w:r>
      <w:r w:rsidRPr="00D274E0">
        <w:rPr>
          <w:rFonts w:asciiTheme="minorHAnsi" w:hAnsiTheme="minorHAnsi" w:cstheme="minorHAnsi"/>
          <w:lang w:val="fr-CA"/>
        </w:rPr>
        <w:t>;</w:t>
      </w:r>
    </w:p>
    <w:p w14:paraId="64FF1A0D" w14:textId="77777777" w:rsidR="00413811" w:rsidRPr="00D274E0" w:rsidRDefault="005D56F4" w:rsidP="004E23F7">
      <w:pPr>
        <w:pStyle w:val="ListParagraph"/>
        <w:numPr>
          <w:ilvl w:val="0"/>
          <w:numId w:val="21"/>
        </w:numPr>
        <w:ind w:left="284" w:hanging="284"/>
        <w:rPr>
          <w:rFonts w:asciiTheme="minorHAnsi" w:hAnsiTheme="minorHAnsi" w:cstheme="minorHAnsi"/>
          <w:i/>
          <w:lang w:val="fr-CA"/>
        </w:rPr>
      </w:pPr>
      <w:r w:rsidRPr="00D274E0">
        <w:rPr>
          <w:rFonts w:asciiTheme="minorHAnsi" w:hAnsiTheme="minorHAnsi" w:cstheme="minorHAnsi"/>
          <w:lang w:val="fr-CA"/>
        </w:rPr>
        <w:t xml:space="preserve">la </w:t>
      </w:r>
      <w:hyperlink r:id="rId10" w:history="1">
        <w:r w:rsidRPr="00D274E0">
          <w:rPr>
            <w:rStyle w:val="Hyperlink"/>
            <w:rFonts w:asciiTheme="minorHAnsi" w:hAnsiTheme="minorHAnsi" w:cstheme="minorHAnsi"/>
            <w:i/>
            <w:color w:val="auto"/>
            <w:lang w:val="fr-CA"/>
          </w:rPr>
          <w:t>Politique</w:t>
        </w:r>
        <w:r w:rsidR="00BC6960" w:rsidRPr="00D274E0">
          <w:rPr>
            <w:rStyle w:val="Hyperlink"/>
            <w:rFonts w:asciiTheme="minorHAnsi" w:hAnsiTheme="minorHAnsi" w:cstheme="minorHAnsi"/>
            <w:i/>
            <w:color w:val="auto"/>
            <w:lang w:val="fr-CA"/>
          </w:rPr>
          <w:t xml:space="preserve"> du SCT</w:t>
        </w:r>
        <w:r w:rsidRPr="00D274E0">
          <w:rPr>
            <w:rStyle w:val="Hyperlink"/>
            <w:rFonts w:asciiTheme="minorHAnsi" w:hAnsiTheme="minorHAnsi" w:cstheme="minorHAnsi"/>
            <w:i/>
            <w:color w:val="auto"/>
            <w:lang w:val="fr-CA"/>
          </w:rPr>
          <w:t xml:space="preserve"> sur les paiements de transfert</w:t>
        </w:r>
        <w:r w:rsidRPr="00D274E0">
          <w:rPr>
            <w:rStyle w:val="Hyperlink"/>
            <w:rFonts w:asciiTheme="minorHAnsi" w:hAnsiTheme="minorHAnsi"/>
            <w:color w:val="auto"/>
            <w:lang w:val="fr-CA"/>
          </w:rPr>
          <w:t>;</w:t>
        </w:r>
      </w:hyperlink>
    </w:p>
    <w:p w14:paraId="29974575" w14:textId="70103F3E" w:rsidR="00B15749" w:rsidRPr="00D274E0" w:rsidRDefault="005D56F4" w:rsidP="004E23F7">
      <w:pPr>
        <w:pStyle w:val="ListParagraph"/>
        <w:numPr>
          <w:ilvl w:val="0"/>
          <w:numId w:val="21"/>
        </w:numPr>
        <w:ind w:left="284" w:hanging="284"/>
        <w:rPr>
          <w:rStyle w:val="Hyperlink"/>
          <w:rFonts w:asciiTheme="minorHAnsi" w:hAnsiTheme="minorHAnsi" w:cstheme="minorHAnsi"/>
          <w:i/>
          <w:color w:val="auto"/>
          <w:u w:val="none"/>
          <w:lang w:val="fr-CA"/>
        </w:rPr>
      </w:pPr>
      <w:r w:rsidRPr="00D274E0">
        <w:rPr>
          <w:rFonts w:asciiTheme="minorHAnsi" w:hAnsiTheme="minorHAnsi" w:cstheme="minorHAnsi"/>
          <w:lang w:val="fr-CA"/>
        </w:rPr>
        <w:t xml:space="preserve">la </w:t>
      </w:r>
      <w:r w:rsidR="00733DE3" w:rsidRPr="00D274E0">
        <w:rPr>
          <w:rFonts w:cs="Arial"/>
          <w:lang w:val="en-CA"/>
        </w:rPr>
        <w:fldChar w:fldCharType="begin"/>
      </w:r>
      <w:r w:rsidR="00B15749" w:rsidRPr="00D274E0">
        <w:rPr>
          <w:rFonts w:asciiTheme="minorHAnsi" w:hAnsiTheme="minorHAnsi"/>
          <w:lang w:val="fr-CA"/>
        </w:rPr>
        <w:instrText>HYPERLINK "https://www.tbs-sct.gc.ca/pol/doc-fra.aspx?id=14208"</w:instrText>
      </w:r>
      <w:r w:rsidR="00733DE3" w:rsidRPr="00D274E0">
        <w:rPr>
          <w:rFonts w:cs="Arial"/>
          <w:lang w:val="en-CA"/>
        </w:rPr>
        <w:fldChar w:fldCharType="separate"/>
      </w:r>
      <w:r w:rsidR="00B15749" w:rsidRPr="00D274E0">
        <w:rPr>
          <w:rStyle w:val="Hyperlink"/>
          <w:rFonts w:asciiTheme="minorHAnsi" w:hAnsiTheme="minorHAnsi" w:cstheme="minorHAnsi"/>
          <w:i/>
          <w:color w:val="auto"/>
          <w:lang w:val="fr-CA"/>
        </w:rPr>
        <w:t>Directive</w:t>
      </w:r>
      <w:r w:rsidRPr="00D274E0">
        <w:rPr>
          <w:rStyle w:val="Hyperlink"/>
          <w:rFonts w:asciiTheme="minorHAnsi" w:hAnsiTheme="minorHAnsi" w:cstheme="minorHAnsi"/>
          <w:i/>
          <w:color w:val="auto"/>
          <w:lang w:val="fr-CA"/>
        </w:rPr>
        <w:t xml:space="preserve"> </w:t>
      </w:r>
      <w:r w:rsidR="00B15749" w:rsidRPr="00D274E0">
        <w:rPr>
          <w:rStyle w:val="Hyperlink"/>
          <w:rFonts w:asciiTheme="minorHAnsi" w:hAnsiTheme="minorHAnsi" w:cstheme="minorHAnsi"/>
          <w:i/>
          <w:color w:val="auto"/>
          <w:lang w:val="fr-CA"/>
        </w:rPr>
        <w:t>du SCT sur les paiements de transfert;</w:t>
      </w:r>
    </w:p>
    <w:p w14:paraId="458309E1" w14:textId="13D8C9AF" w:rsidR="00413811" w:rsidRPr="00D274E0" w:rsidRDefault="00733DE3" w:rsidP="004E23F7">
      <w:pPr>
        <w:pStyle w:val="ListParagraph"/>
        <w:numPr>
          <w:ilvl w:val="0"/>
          <w:numId w:val="21"/>
        </w:numPr>
        <w:ind w:left="284" w:hanging="284"/>
        <w:rPr>
          <w:rFonts w:asciiTheme="minorHAnsi" w:hAnsiTheme="minorHAnsi" w:cstheme="minorHAnsi"/>
          <w:i/>
          <w:lang w:val="fr-CA"/>
        </w:rPr>
      </w:pPr>
      <w:r w:rsidRPr="00D274E0">
        <w:rPr>
          <w:rStyle w:val="Hyperlink"/>
          <w:rFonts w:asciiTheme="minorHAnsi" w:hAnsiTheme="minorHAnsi" w:cstheme="minorHAnsi"/>
          <w:i/>
          <w:color w:val="auto"/>
          <w:lang w:val="fr-CA" w:eastAsia="en-CA"/>
        </w:rPr>
        <w:fldChar w:fldCharType="end"/>
      </w:r>
      <w:proofErr w:type="gramStart"/>
      <w:r w:rsidR="005D56F4" w:rsidRPr="00D274E0">
        <w:rPr>
          <w:rFonts w:asciiTheme="minorHAnsi" w:hAnsiTheme="minorHAnsi" w:cstheme="minorHAnsi"/>
          <w:lang w:val="fr-CA"/>
        </w:rPr>
        <w:t>la</w:t>
      </w:r>
      <w:proofErr w:type="gramEnd"/>
      <w:r w:rsidR="005D56F4" w:rsidRPr="00D274E0">
        <w:rPr>
          <w:rFonts w:asciiTheme="minorHAnsi" w:hAnsiTheme="minorHAnsi" w:cstheme="minorHAnsi"/>
          <w:lang w:val="fr-CA"/>
        </w:rPr>
        <w:t xml:space="preserve"> </w:t>
      </w:r>
      <w:r w:rsidR="00157827" w:rsidRPr="00D274E0">
        <w:rPr>
          <w:rFonts w:asciiTheme="minorHAnsi" w:hAnsiTheme="minorHAnsi"/>
          <w:lang w:val="fr-CA"/>
        </w:rPr>
        <w:t>Politique ministérielle sur les subventions et de contributions (</w:t>
      </w:r>
      <w:r w:rsidR="000C4893" w:rsidRPr="00D274E0">
        <w:rPr>
          <w:rFonts w:asciiTheme="minorHAnsi" w:hAnsiTheme="minorHAnsi" w:cstheme="minorHAnsi"/>
          <w:i/>
          <w:lang w:val="fr-CA"/>
        </w:rPr>
        <w:t>supprimée et archivée – présentement en révision</w:t>
      </w:r>
      <w:r w:rsidR="00157827" w:rsidRPr="00D274E0">
        <w:rPr>
          <w:rFonts w:asciiTheme="minorHAnsi" w:hAnsiTheme="minorHAnsi"/>
          <w:lang w:val="fr-CA"/>
        </w:rPr>
        <w:t>)</w:t>
      </w:r>
      <w:r w:rsidR="005D56F4" w:rsidRPr="00D274E0">
        <w:rPr>
          <w:rFonts w:asciiTheme="minorHAnsi" w:hAnsiTheme="minorHAnsi" w:cstheme="minorHAnsi"/>
          <w:lang w:val="fr-CA"/>
        </w:rPr>
        <w:t>;</w:t>
      </w:r>
    </w:p>
    <w:p w14:paraId="4F1EC711" w14:textId="0850BCD9" w:rsidR="00413811" w:rsidRPr="004E23F7" w:rsidRDefault="005D56F4" w:rsidP="004E23F7">
      <w:pPr>
        <w:pStyle w:val="ListParagraph"/>
        <w:numPr>
          <w:ilvl w:val="0"/>
          <w:numId w:val="21"/>
        </w:numPr>
        <w:ind w:left="284" w:hanging="284"/>
        <w:rPr>
          <w:rFonts w:asciiTheme="minorHAnsi" w:hAnsiTheme="minorHAnsi" w:cstheme="minorHAnsi"/>
          <w:i/>
          <w:lang w:val="fr-CA"/>
        </w:rPr>
      </w:pPr>
      <w:r w:rsidRPr="00D274E0">
        <w:rPr>
          <w:rFonts w:asciiTheme="minorHAnsi" w:hAnsiTheme="minorHAnsi" w:cstheme="minorHAnsi"/>
          <w:lang w:val="fr-CA"/>
        </w:rPr>
        <w:t>l</w:t>
      </w:r>
      <w:r w:rsidR="00DE1A47" w:rsidRPr="00D274E0">
        <w:rPr>
          <w:rFonts w:asciiTheme="minorHAnsi" w:hAnsiTheme="minorHAnsi" w:cstheme="minorHAnsi"/>
          <w:lang w:val="fr-CA"/>
        </w:rPr>
        <w:t xml:space="preserve">es </w:t>
      </w:r>
      <w:hyperlink r:id="rId11" w:history="1">
        <w:r w:rsidR="00DE1A47" w:rsidRPr="00D274E0">
          <w:rPr>
            <w:rStyle w:val="Hyperlink"/>
            <w:rFonts w:asciiTheme="minorHAnsi" w:hAnsiTheme="minorHAnsi" w:cstheme="minorHAnsi"/>
            <w:i/>
            <w:color w:val="auto"/>
            <w:lang w:val="fr-CA"/>
          </w:rPr>
          <w:t>Lignes directrices de SCT sur la « Politique sur le contrôle interne »</w:t>
        </w:r>
      </w:hyperlink>
      <w:r w:rsidR="00BC6960" w:rsidRPr="00D274E0">
        <w:rPr>
          <w:rFonts w:asciiTheme="minorHAnsi" w:hAnsiTheme="minorHAnsi" w:cstheme="minorHAnsi"/>
          <w:lang w:val="fr-CA"/>
        </w:rPr>
        <w:t>.</w:t>
      </w:r>
    </w:p>
    <w:p w14:paraId="1C698B34" w14:textId="6DDF9365" w:rsidR="004E23F7" w:rsidRDefault="004E23F7" w:rsidP="004E23F7">
      <w:pPr>
        <w:pStyle w:val="ListParagraph"/>
        <w:ind w:left="284"/>
        <w:rPr>
          <w:rFonts w:asciiTheme="minorHAnsi" w:hAnsiTheme="minorHAnsi" w:cstheme="minorHAnsi"/>
          <w:lang w:val="fr-CA"/>
        </w:rPr>
      </w:pPr>
    </w:p>
    <w:p w14:paraId="35266ED8" w14:textId="77777777" w:rsidR="004E23F7" w:rsidRPr="00C20258" w:rsidRDefault="004E23F7" w:rsidP="004E23F7">
      <w:pPr>
        <w:pStyle w:val="ListParagraph"/>
        <w:ind w:left="284"/>
        <w:rPr>
          <w:rFonts w:asciiTheme="minorHAnsi" w:hAnsiTheme="minorHAnsi" w:cstheme="minorHAnsi"/>
          <w:i/>
          <w:lang w:val="fr-CA"/>
        </w:rPr>
      </w:pPr>
    </w:p>
    <w:p w14:paraId="2395A98F" w14:textId="77777777" w:rsidR="00C20258" w:rsidRPr="00D274E0" w:rsidRDefault="00C20258" w:rsidP="004E23F7">
      <w:pPr>
        <w:pStyle w:val="ListParagraph"/>
        <w:ind w:left="284"/>
        <w:rPr>
          <w:rFonts w:asciiTheme="minorHAnsi" w:hAnsiTheme="minorHAnsi" w:cstheme="minorHAnsi"/>
          <w:i/>
          <w:lang w:val="fr-CA"/>
        </w:rPr>
      </w:pPr>
    </w:p>
    <w:p w14:paraId="3339CCD2" w14:textId="77777777" w:rsidR="0030340E" w:rsidRDefault="0030340E">
      <w:pPr>
        <w:rPr>
          <w:rFonts w:ascii="Calibri" w:eastAsia="Times New Roman" w:hAnsi="Calibri" w:cs="Calibri"/>
          <w:b/>
          <w:lang w:val="fr-CA" w:eastAsia="en-CA"/>
        </w:rPr>
      </w:pPr>
      <w:r>
        <w:rPr>
          <w:b/>
          <w:lang w:val="fr-CA" w:eastAsia="en-CA"/>
        </w:rPr>
        <w:br w:type="page"/>
      </w:r>
    </w:p>
    <w:p w14:paraId="15877464" w14:textId="4571A0FC" w:rsidR="0063708D" w:rsidRDefault="00382042" w:rsidP="004E23F7">
      <w:pPr>
        <w:pStyle w:val="ListParagraph"/>
        <w:numPr>
          <w:ilvl w:val="0"/>
          <w:numId w:val="4"/>
        </w:numPr>
        <w:ind w:left="425" w:hanging="425"/>
        <w:rPr>
          <w:b/>
          <w:lang w:val="fr-CA" w:eastAsia="en-CA"/>
        </w:rPr>
      </w:pPr>
      <w:r>
        <w:rPr>
          <w:b/>
          <w:lang w:val="fr-CA" w:eastAsia="en-CA"/>
        </w:rPr>
        <w:lastRenderedPageBreak/>
        <w:t>É</w:t>
      </w:r>
      <w:r w:rsidRPr="00382042">
        <w:rPr>
          <w:b/>
          <w:lang w:val="fr-CA" w:eastAsia="en-CA"/>
        </w:rPr>
        <w:t>tapes</w:t>
      </w:r>
      <w:r w:rsidR="004E23F7">
        <w:rPr>
          <w:b/>
          <w:lang w:val="fr-CA" w:eastAsia="en-CA"/>
        </w:rPr>
        <w:t xml:space="preserve"> sommaires</w:t>
      </w:r>
      <w:r w:rsidR="00941A21">
        <w:rPr>
          <w:b/>
          <w:lang w:val="fr-CA" w:eastAsia="en-CA"/>
        </w:rPr>
        <w:t xml:space="preserve"> à compléter pour </w:t>
      </w:r>
      <w:r w:rsidRPr="00382042">
        <w:rPr>
          <w:b/>
          <w:lang w:val="fr-CA" w:eastAsia="en-CA"/>
        </w:rPr>
        <w:t>une demande de paiement manuel dans le SCSC</w:t>
      </w:r>
    </w:p>
    <w:p w14:paraId="2329C447" w14:textId="77777777" w:rsidR="004E23F7" w:rsidRPr="00D91CD1" w:rsidRDefault="004E23F7" w:rsidP="004E23F7">
      <w:pPr>
        <w:pStyle w:val="ListParagraph"/>
        <w:ind w:left="425"/>
        <w:rPr>
          <w:b/>
          <w:lang w:val="fr-CA" w:eastAsia="en-CA"/>
        </w:rPr>
      </w:pPr>
    </w:p>
    <w:p w14:paraId="312133DB" w14:textId="2A8CCF65" w:rsidR="003F6877" w:rsidRDefault="00F005DC" w:rsidP="004E23F7">
      <w:pPr>
        <w:spacing w:after="0" w:line="240" w:lineRule="auto"/>
        <w:rPr>
          <w:lang w:val="fr-CA" w:eastAsia="en-CA"/>
        </w:rPr>
      </w:pPr>
      <w:r>
        <w:rPr>
          <w:lang w:val="fr-CA" w:eastAsia="en-CA"/>
        </w:rPr>
        <w:t>L</w:t>
      </w:r>
      <w:r w:rsidR="00002B49" w:rsidRPr="00002B49">
        <w:rPr>
          <w:lang w:val="fr-CA" w:eastAsia="en-CA"/>
        </w:rPr>
        <w:t>es étapes suivantes doivent être suivies :</w:t>
      </w:r>
    </w:p>
    <w:p w14:paraId="76FD14DA" w14:textId="77777777" w:rsidR="009F0ECA" w:rsidRPr="007A6208" w:rsidRDefault="009F0ECA" w:rsidP="004E23F7">
      <w:pPr>
        <w:spacing w:after="0" w:line="240" w:lineRule="auto"/>
        <w:rPr>
          <w:lang w:val="fr-CA" w:eastAsia="en-CA"/>
        </w:rPr>
      </w:pPr>
    </w:p>
    <w:p w14:paraId="2E32A401" w14:textId="1F58847B" w:rsidR="00636C06" w:rsidRDefault="00A26DFB" w:rsidP="004E23F7">
      <w:pPr>
        <w:pStyle w:val="ListParagraph"/>
        <w:numPr>
          <w:ilvl w:val="0"/>
          <w:numId w:val="2"/>
        </w:numPr>
        <w:rPr>
          <w:lang w:val="fr-CA" w:eastAsia="en-CA"/>
        </w:rPr>
      </w:pPr>
      <w:r w:rsidRPr="00A73291">
        <w:rPr>
          <w:lang w:val="fr-CA" w:eastAsia="en-CA"/>
        </w:rPr>
        <w:t>A</w:t>
      </w:r>
      <w:r w:rsidR="001A44FE" w:rsidRPr="00A73291">
        <w:rPr>
          <w:lang w:val="fr-CA" w:eastAsia="en-CA"/>
        </w:rPr>
        <w:t xml:space="preserve">vant </w:t>
      </w:r>
      <w:r w:rsidR="002B45BE">
        <w:rPr>
          <w:lang w:val="fr-CA" w:eastAsia="en-CA"/>
        </w:rPr>
        <w:t>d’initier une demande</w:t>
      </w:r>
      <w:r w:rsidR="00636C06" w:rsidRPr="00A73291">
        <w:rPr>
          <w:lang w:val="fr-CA" w:eastAsia="en-CA"/>
        </w:rPr>
        <w:t xml:space="preserve">, </w:t>
      </w:r>
      <w:r w:rsidR="001A44FE" w:rsidRPr="00A73291">
        <w:rPr>
          <w:lang w:val="fr-CA" w:eastAsia="en-CA"/>
        </w:rPr>
        <w:t xml:space="preserve">il faut </w:t>
      </w:r>
      <w:r w:rsidRPr="00A73291">
        <w:rPr>
          <w:lang w:val="fr-CA" w:eastAsia="en-CA"/>
        </w:rPr>
        <w:t>regarder</w:t>
      </w:r>
      <w:r w:rsidR="001A44FE" w:rsidRPr="00A73291">
        <w:rPr>
          <w:lang w:val="fr-CA" w:eastAsia="en-CA"/>
        </w:rPr>
        <w:t xml:space="preserve"> </w:t>
      </w:r>
      <w:r w:rsidR="001A44FE" w:rsidRPr="000D333F">
        <w:rPr>
          <w:u w:val="single"/>
          <w:lang w:val="fr-CA" w:eastAsia="en-CA"/>
        </w:rPr>
        <w:t>toutes les options</w:t>
      </w:r>
      <w:r w:rsidR="001A44FE" w:rsidRPr="00A73291">
        <w:rPr>
          <w:lang w:val="fr-CA" w:eastAsia="en-CA"/>
        </w:rPr>
        <w:t xml:space="preserve"> pour s’assurer que l’émission d’un paiement directement dans </w:t>
      </w:r>
      <w:r w:rsidR="00636C06" w:rsidRPr="00A73291">
        <w:rPr>
          <w:lang w:val="fr-CA" w:eastAsia="en-CA"/>
        </w:rPr>
        <w:t xml:space="preserve">SAP </w:t>
      </w:r>
      <w:r w:rsidR="001A44FE" w:rsidRPr="00A73291">
        <w:rPr>
          <w:lang w:val="fr-CA" w:eastAsia="en-CA"/>
        </w:rPr>
        <w:t>est le seul moyen possible</w:t>
      </w:r>
      <w:r w:rsidR="00636C06" w:rsidRPr="00A73291">
        <w:rPr>
          <w:lang w:val="fr-CA" w:eastAsia="en-CA"/>
        </w:rPr>
        <w:t xml:space="preserve">. </w:t>
      </w:r>
      <w:r w:rsidR="00935144" w:rsidRPr="00A73291">
        <w:rPr>
          <w:lang w:val="fr-CA" w:eastAsia="en-CA"/>
        </w:rPr>
        <w:t>Tout doit être mis en œuvre pour mettre à jour les informations sur les projets dans le SCSC</w:t>
      </w:r>
      <w:r w:rsidR="002B45BE">
        <w:rPr>
          <w:lang w:val="fr-CA" w:eastAsia="en-CA"/>
        </w:rPr>
        <w:t xml:space="preserve"> directement</w:t>
      </w:r>
      <w:r w:rsidR="00935144" w:rsidRPr="00A73291">
        <w:rPr>
          <w:lang w:val="fr-CA" w:eastAsia="en-CA"/>
        </w:rPr>
        <w:t xml:space="preserve"> et pour en garantir l’exactitude</w:t>
      </w:r>
      <w:r w:rsidR="00636C06" w:rsidRPr="00A73291">
        <w:rPr>
          <w:lang w:val="fr-CA" w:eastAsia="en-CA"/>
        </w:rPr>
        <w:t>.</w:t>
      </w:r>
      <w:r w:rsidR="0072371E" w:rsidRPr="00A73291">
        <w:rPr>
          <w:lang w:val="fr-CA" w:eastAsia="en-CA"/>
        </w:rPr>
        <w:t xml:space="preserve"> </w:t>
      </w:r>
      <w:r w:rsidR="00935144" w:rsidRPr="00A73291">
        <w:rPr>
          <w:lang w:val="fr-CA" w:eastAsia="en-CA"/>
        </w:rPr>
        <w:t>Rendez-vous au</w:t>
      </w:r>
      <w:r w:rsidR="0072371E" w:rsidRPr="00A73291">
        <w:rPr>
          <w:lang w:val="fr-CA" w:eastAsia="en-CA"/>
        </w:rPr>
        <w:t xml:space="preserve"> </w:t>
      </w:r>
      <w:hyperlink r:id="rId12" w:history="1">
        <w:r w:rsidR="00225229" w:rsidRPr="00E379A5">
          <w:rPr>
            <w:rStyle w:val="Hyperlink"/>
            <w:lang w:val="fr-CA" w:eastAsia="en-CA"/>
          </w:rPr>
          <w:t>site intranet du SCSC</w:t>
        </w:r>
      </w:hyperlink>
      <w:r w:rsidR="00A73291">
        <w:rPr>
          <w:lang w:val="fr-CA" w:eastAsia="en-CA"/>
        </w:rPr>
        <w:t xml:space="preserve"> </w:t>
      </w:r>
      <w:r w:rsidR="00935144" w:rsidRPr="00A73291">
        <w:rPr>
          <w:lang w:val="fr-CA" w:eastAsia="en-CA"/>
        </w:rPr>
        <w:t>pour en savoir davantage et obtenir de l’aide</w:t>
      </w:r>
      <w:r w:rsidR="008D23F4" w:rsidRPr="00A73291">
        <w:rPr>
          <w:lang w:val="fr-CA" w:eastAsia="en-CA"/>
        </w:rPr>
        <w:t>.</w:t>
      </w:r>
      <w:r w:rsidR="00935144" w:rsidRPr="00A73291">
        <w:rPr>
          <w:lang w:val="fr-CA" w:eastAsia="en-CA"/>
        </w:rPr>
        <w:t xml:space="preserve"> </w:t>
      </w:r>
    </w:p>
    <w:p w14:paraId="07444734" w14:textId="77777777" w:rsidR="00225229" w:rsidRPr="00A73291" w:rsidRDefault="00225229" w:rsidP="004E23F7">
      <w:pPr>
        <w:pStyle w:val="ListParagraph"/>
        <w:rPr>
          <w:lang w:val="fr-CA" w:eastAsia="en-CA"/>
        </w:rPr>
      </w:pPr>
    </w:p>
    <w:p w14:paraId="67CA8B5C" w14:textId="4490B504" w:rsidR="00501F3B" w:rsidRDefault="00935144" w:rsidP="004E23F7">
      <w:pPr>
        <w:pStyle w:val="ListParagraph"/>
        <w:numPr>
          <w:ilvl w:val="0"/>
          <w:numId w:val="2"/>
        </w:numPr>
        <w:rPr>
          <w:lang w:val="fr-CA" w:eastAsia="en-CA"/>
        </w:rPr>
      </w:pPr>
      <w:r>
        <w:rPr>
          <w:lang w:val="fr-CA" w:eastAsia="en-CA"/>
        </w:rPr>
        <w:t xml:space="preserve">Une fois que </w:t>
      </w:r>
      <w:r w:rsidR="007C57D5">
        <w:rPr>
          <w:lang w:val="fr-CA" w:eastAsia="en-CA"/>
        </w:rPr>
        <w:t xml:space="preserve">le </w:t>
      </w:r>
      <w:r w:rsidR="00225229" w:rsidRPr="00225229">
        <w:rPr>
          <w:lang w:val="fr-CA" w:eastAsia="en-CA"/>
        </w:rPr>
        <w:t xml:space="preserve">responsable de la gestion des subventions et des contributions (RGSC) a </w:t>
      </w:r>
      <w:r>
        <w:rPr>
          <w:lang w:val="fr-CA" w:eastAsia="en-CA"/>
        </w:rPr>
        <w:t xml:space="preserve">discuté avec le </w:t>
      </w:r>
      <w:r w:rsidR="00664477">
        <w:rPr>
          <w:lang w:val="fr-CA"/>
        </w:rPr>
        <w:t>représentant</w:t>
      </w:r>
      <w:r w:rsidR="00664477">
        <w:rPr>
          <w:lang w:val="fr-CA" w:eastAsia="en-CA"/>
        </w:rPr>
        <w:t xml:space="preserve"> </w:t>
      </w:r>
      <w:r w:rsidR="002E6793">
        <w:rPr>
          <w:lang w:val="fr-CA" w:eastAsia="en-CA"/>
        </w:rPr>
        <w:t xml:space="preserve">du </w:t>
      </w:r>
      <w:r>
        <w:rPr>
          <w:lang w:val="fr-CA" w:eastAsia="en-CA"/>
        </w:rPr>
        <w:t xml:space="preserve">SCSC et </w:t>
      </w:r>
      <w:r w:rsidR="00F5746A">
        <w:rPr>
          <w:lang w:val="fr-CA" w:eastAsia="en-CA"/>
        </w:rPr>
        <w:t>que tous les efforts possibles ont été menés</w:t>
      </w:r>
      <w:r w:rsidR="00636C06" w:rsidRPr="00D91CD1">
        <w:rPr>
          <w:lang w:val="fr-CA" w:eastAsia="en-CA"/>
        </w:rPr>
        <w:t xml:space="preserve"> </w:t>
      </w:r>
      <w:r w:rsidR="00F5746A" w:rsidRPr="00F5746A">
        <w:rPr>
          <w:lang w:val="fr-CA" w:eastAsia="en-CA"/>
        </w:rPr>
        <w:t>afin de corriger le SCSC et de mettre à jour correctement le système</w:t>
      </w:r>
      <w:r w:rsidR="00636C06" w:rsidRPr="00D91CD1">
        <w:rPr>
          <w:lang w:val="fr-CA" w:eastAsia="en-CA"/>
        </w:rPr>
        <w:t xml:space="preserve">, </w:t>
      </w:r>
      <w:r w:rsidR="00171FAD">
        <w:rPr>
          <w:lang w:val="fr-CA" w:eastAsia="en-CA"/>
        </w:rPr>
        <w:t xml:space="preserve">si les deux sont d’accord que l’émission d’un paiement directement dans SAP est le seul moyen, le </w:t>
      </w:r>
      <w:r w:rsidR="00F5746A">
        <w:rPr>
          <w:lang w:val="fr-CA" w:eastAsia="en-CA"/>
        </w:rPr>
        <w:t>formulaire</w:t>
      </w:r>
      <w:r w:rsidR="005054EE" w:rsidRPr="00D91CD1">
        <w:rPr>
          <w:lang w:val="fr-CA" w:eastAsia="en-CA"/>
        </w:rPr>
        <w:t xml:space="preserve"> G101</w:t>
      </w:r>
      <w:r w:rsidR="00274213" w:rsidRPr="00D91CD1">
        <w:rPr>
          <w:lang w:val="fr-CA" w:eastAsia="en-CA"/>
        </w:rPr>
        <w:t xml:space="preserve"> </w:t>
      </w:r>
      <w:r w:rsidR="00171FAD">
        <w:rPr>
          <w:lang w:val="fr-CA" w:eastAsia="en-CA"/>
        </w:rPr>
        <w:t xml:space="preserve">doit être complété. Ce formulaire est </w:t>
      </w:r>
      <w:r w:rsidR="00F5746A">
        <w:rPr>
          <w:lang w:val="fr-CA" w:eastAsia="en-CA"/>
        </w:rPr>
        <w:t>disponible sur</w:t>
      </w:r>
      <w:r w:rsidR="00E379A5">
        <w:rPr>
          <w:lang w:val="fr-CA" w:eastAsia="en-CA"/>
        </w:rPr>
        <w:t xml:space="preserve"> le</w:t>
      </w:r>
      <w:r w:rsidR="00F5746A">
        <w:rPr>
          <w:lang w:val="fr-CA" w:eastAsia="en-CA"/>
        </w:rPr>
        <w:t xml:space="preserve"> </w:t>
      </w:r>
      <w:hyperlink r:id="rId13" w:history="1">
        <w:r w:rsidR="00E379A5" w:rsidRPr="00E379A5">
          <w:rPr>
            <w:rStyle w:val="Hyperlink"/>
            <w:lang w:val="fr-CA" w:eastAsia="en-CA"/>
          </w:rPr>
          <w:t xml:space="preserve">catalogue </w:t>
        </w:r>
        <w:proofErr w:type="spellStart"/>
        <w:r w:rsidR="00973563" w:rsidRPr="00E379A5">
          <w:rPr>
            <w:rStyle w:val="Hyperlink"/>
            <w:lang w:val="fr-CA" w:eastAsia="en-CA"/>
          </w:rPr>
          <w:t>iService</w:t>
        </w:r>
        <w:proofErr w:type="spellEnd"/>
        <w:r w:rsidR="00171FAD" w:rsidRPr="00E379A5">
          <w:rPr>
            <w:rStyle w:val="Hyperlink"/>
            <w:lang w:val="fr-CA" w:eastAsia="en-CA"/>
          </w:rPr>
          <w:t xml:space="preserve"> </w:t>
        </w:r>
      </w:hyperlink>
      <w:r w:rsidR="004E52F9">
        <w:rPr>
          <w:rStyle w:val="Hyperlink"/>
          <w:lang w:val="fr-CA" w:eastAsia="en-CA"/>
        </w:rPr>
        <w:t>en sélectionnant « Subvention et Contribution (S&amp;</w:t>
      </w:r>
      <w:r w:rsidR="00E96990">
        <w:rPr>
          <w:rStyle w:val="Hyperlink"/>
          <w:lang w:val="fr-CA" w:eastAsia="en-CA"/>
        </w:rPr>
        <w:t>C</w:t>
      </w:r>
      <w:r w:rsidR="004E52F9">
        <w:rPr>
          <w:rStyle w:val="Hyperlink"/>
          <w:lang w:val="fr-CA" w:eastAsia="en-CA"/>
        </w:rPr>
        <w:t>) Demande de paiement manuel » et ensuite « formulaire G101 »</w:t>
      </w:r>
      <w:r w:rsidR="00171FAD">
        <w:rPr>
          <w:lang w:val="fr-CA" w:eastAsia="en-CA"/>
        </w:rPr>
        <w:t>;</w:t>
      </w:r>
    </w:p>
    <w:p w14:paraId="28CC72DB" w14:textId="77777777" w:rsidR="003A0A5C" w:rsidRPr="003A0A5C" w:rsidRDefault="003A0A5C" w:rsidP="004E23F7">
      <w:pPr>
        <w:pStyle w:val="ListParagraph"/>
        <w:rPr>
          <w:lang w:val="fr-CA" w:eastAsia="en-CA"/>
        </w:rPr>
      </w:pPr>
    </w:p>
    <w:p w14:paraId="038693A6" w14:textId="2497F8B4" w:rsidR="003A0A5C" w:rsidRDefault="003A0A5C" w:rsidP="004E23F7">
      <w:pPr>
        <w:pStyle w:val="ListParagraph"/>
        <w:numPr>
          <w:ilvl w:val="1"/>
          <w:numId w:val="2"/>
        </w:numPr>
        <w:rPr>
          <w:lang w:val="fr-CA" w:eastAsia="en-CA"/>
        </w:rPr>
      </w:pPr>
      <w:r>
        <w:rPr>
          <w:lang w:val="fr-CA" w:eastAsia="en-CA"/>
        </w:rPr>
        <w:t>Le RGSC complète le formulaire G</w:t>
      </w:r>
      <w:r w:rsidR="00ED37BC">
        <w:rPr>
          <w:lang w:val="fr-CA" w:eastAsia="en-CA"/>
        </w:rPr>
        <w:t>101 ;</w:t>
      </w:r>
    </w:p>
    <w:p w14:paraId="7F30C318" w14:textId="2E048513" w:rsidR="00E379A5" w:rsidRDefault="00E379A5" w:rsidP="004E23F7">
      <w:pPr>
        <w:pStyle w:val="ListParagraph"/>
        <w:numPr>
          <w:ilvl w:val="1"/>
          <w:numId w:val="2"/>
        </w:numPr>
        <w:rPr>
          <w:lang w:val="fr-CA" w:eastAsia="en-CA"/>
        </w:rPr>
      </w:pPr>
      <w:r>
        <w:rPr>
          <w:lang w:val="fr-CA" w:eastAsia="en-CA"/>
        </w:rPr>
        <w:t xml:space="preserve">Le </w:t>
      </w:r>
      <w:r>
        <w:rPr>
          <w:lang w:val="fr-CA"/>
        </w:rPr>
        <w:t>représentant</w:t>
      </w:r>
      <w:r>
        <w:rPr>
          <w:lang w:val="fr-CA" w:eastAsia="en-CA"/>
        </w:rPr>
        <w:t xml:space="preserve"> du SCSC s’assure que le formulaire G101 est exact et </w:t>
      </w:r>
      <w:r w:rsidR="00ED37BC">
        <w:rPr>
          <w:lang w:val="fr-CA" w:eastAsia="en-CA"/>
        </w:rPr>
        <w:t>complet ;</w:t>
      </w:r>
    </w:p>
    <w:p w14:paraId="2F2EA227" w14:textId="305332D6" w:rsidR="003A0A5C" w:rsidRDefault="007679E3" w:rsidP="004E23F7">
      <w:pPr>
        <w:pStyle w:val="ListParagraph"/>
        <w:numPr>
          <w:ilvl w:val="1"/>
          <w:numId w:val="2"/>
        </w:numPr>
        <w:rPr>
          <w:lang w:val="fr-CA" w:eastAsia="en-CA"/>
        </w:rPr>
      </w:pPr>
      <w:r>
        <w:rPr>
          <w:lang w:val="fr-CA" w:eastAsia="en-CA"/>
        </w:rPr>
        <w:t>L</w:t>
      </w:r>
      <w:r w:rsidR="00AE2EB8">
        <w:rPr>
          <w:lang w:val="fr-CA" w:eastAsia="en-CA"/>
        </w:rPr>
        <w:t xml:space="preserve">’agent délégué </w:t>
      </w:r>
      <w:r w:rsidR="00AE2EB8" w:rsidRPr="00AE2EB8">
        <w:rPr>
          <w:lang w:val="fr-CA" w:eastAsia="en-CA"/>
        </w:rPr>
        <w:t>approprié</w:t>
      </w:r>
      <w:r w:rsidRPr="00AE2EB8">
        <w:rPr>
          <w:lang w:val="fr-CA" w:eastAsia="en-CA"/>
        </w:rPr>
        <w:t xml:space="preserve"> en vertu de</w:t>
      </w:r>
      <w:r>
        <w:rPr>
          <w:lang w:val="fr-CA" w:eastAsia="en-CA"/>
        </w:rPr>
        <w:t xml:space="preserve"> l’article 34 de la LGFP signe le formulaire et l’envoie au </w:t>
      </w:r>
      <w:r w:rsidR="00664477">
        <w:rPr>
          <w:lang w:val="fr-CA"/>
        </w:rPr>
        <w:t>représentant</w:t>
      </w:r>
      <w:r w:rsidR="00664477">
        <w:rPr>
          <w:lang w:val="fr-CA" w:eastAsia="en-CA"/>
        </w:rPr>
        <w:t xml:space="preserve"> </w:t>
      </w:r>
      <w:r w:rsidR="00ED37BC">
        <w:rPr>
          <w:lang w:val="fr-CA" w:eastAsia="en-CA"/>
        </w:rPr>
        <w:t>SCSC ;</w:t>
      </w:r>
    </w:p>
    <w:p w14:paraId="276BF28E" w14:textId="3ADEBADF" w:rsidR="00F914B7" w:rsidRPr="00FC66D9" w:rsidRDefault="00F914B7" w:rsidP="006303CA">
      <w:pPr>
        <w:pStyle w:val="ListParagraph"/>
        <w:numPr>
          <w:ilvl w:val="1"/>
          <w:numId w:val="2"/>
        </w:numPr>
        <w:rPr>
          <w:lang w:val="fr-CA" w:eastAsia="en-CA"/>
        </w:rPr>
      </w:pPr>
      <w:r w:rsidRPr="00FC66D9">
        <w:rPr>
          <w:lang w:val="fr-CA" w:eastAsia="en-CA"/>
        </w:rPr>
        <w:t xml:space="preserve">Lorsque nécessaire, le représentant du SCSC doit faire une demande pour mettre à jour l’engagement dans SAP en communiquant avec le </w:t>
      </w:r>
      <w:r w:rsidR="00FC66D9" w:rsidRPr="00FC66D9">
        <w:rPr>
          <w:lang w:val="fr-CA" w:eastAsia="en-CA"/>
        </w:rPr>
        <w:t>DGDPF-CGF</w:t>
      </w:r>
      <w:r w:rsidRPr="00FC66D9">
        <w:rPr>
          <w:lang w:val="fr-CA" w:eastAsia="en-CA"/>
        </w:rPr>
        <w:t xml:space="preserve"> (Conseiller en gestion financière</w:t>
      </w:r>
      <w:r w:rsidR="00ED37BC" w:rsidRPr="00FC66D9">
        <w:rPr>
          <w:lang w:val="fr-CA" w:eastAsia="en-CA"/>
        </w:rPr>
        <w:t>) ;</w:t>
      </w:r>
    </w:p>
    <w:p w14:paraId="794DE066" w14:textId="4B385810" w:rsidR="007679E3" w:rsidRDefault="00E379A5" w:rsidP="004E23F7">
      <w:pPr>
        <w:pStyle w:val="ListParagraph"/>
        <w:numPr>
          <w:ilvl w:val="1"/>
          <w:numId w:val="2"/>
        </w:numPr>
        <w:rPr>
          <w:lang w:val="fr-CA" w:eastAsia="en-CA"/>
        </w:rPr>
      </w:pPr>
      <w:r>
        <w:rPr>
          <w:lang w:val="fr-CA" w:eastAsia="en-CA"/>
        </w:rPr>
        <w:t xml:space="preserve">Le représentant du SCSC valide le formulaire G101 avec le Centre d’Expertise de la Direction </w:t>
      </w:r>
      <w:r w:rsidR="007E0B1A">
        <w:rPr>
          <w:lang w:val="fr-CA" w:eastAsia="en-CA"/>
        </w:rPr>
        <w:t>Générale</w:t>
      </w:r>
      <w:r>
        <w:rPr>
          <w:lang w:val="fr-CA" w:eastAsia="en-CA"/>
        </w:rPr>
        <w:t xml:space="preserve"> des Opérations de Programmes (DGOP-</w:t>
      </w:r>
      <w:proofErr w:type="spellStart"/>
      <w:r>
        <w:rPr>
          <w:lang w:val="fr-CA" w:eastAsia="en-CA"/>
        </w:rPr>
        <w:t>CdE</w:t>
      </w:r>
      <w:proofErr w:type="spellEnd"/>
      <w:r w:rsidR="00ED37BC">
        <w:rPr>
          <w:lang w:val="fr-CA" w:eastAsia="en-CA"/>
        </w:rPr>
        <w:t>) ;</w:t>
      </w:r>
    </w:p>
    <w:p w14:paraId="640F1427" w14:textId="70B3F6BA" w:rsidR="007679E3" w:rsidRDefault="007679E3" w:rsidP="004E23F7">
      <w:pPr>
        <w:pStyle w:val="ListParagraph"/>
        <w:numPr>
          <w:ilvl w:val="1"/>
          <w:numId w:val="2"/>
        </w:numPr>
        <w:rPr>
          <w:lang w:val="fr-CA" w:eastAsia="en-CA"/>
        </w:rPr>
      </w:pPr>
      <w:r>
        <w:rPr>
          <w:lang w:val="fr-CA" w:eastAsia="en-CA"/>
        </w:rPr>
        <w:t xml:space="preserve">Le </w:t>
      </w:r>
      <w:r w:rsidR="00664477">
        <w:rPr>
          <w:lang w:val="fr-CA"/>
        </w:rPr>
        <w:t>représentant</w:t>
      </w:r>
      <w:r w:rsidR="00664477">
        <w:rPr>
          <w:lang w:val="fr-CA" w:eastAsia="en-CA"/>
        </w:rPr>
        <w:t xml:space="preserve"> </w:t>
      </w:r>
      <w:r w:rsidR="002E6793">
        <w:rPr>
          <w:lang w:val="fr-CA" w:eastAsia="en-CA"/>
        </w:rPr>
        <w:t>du S</w:t>
      </w:r>
      <w:r>
        <w:rPr>
          <w:lang w:val="fr-CA" w:eastAsia="en-CA"/>
        </w:rPr>
        <w:t xml:space="preserve">CSC soumet le formulaire G101 à la DGDPF via le </w:t>
      </w:r>
      <w:hyperlink r:id="rId14" w:history="1">
        <w:r w:rsidRPr="000E0A64">
          <w:rPr>
            <w:rStyle w:val="Hyperlink"/>
            <w:lang w:val="fr-CA" w:eastAsia="en-CA"/>
          </w:rPr>
          <w:t xml:space="preserve">catalogue </w:t>
        </w:r>
        <w:proofErr w:type="spellStart"/>
        <w:r w:rsidRPr="000E0A64">
          <w:rPr>
            <w:rStyle w:val="Hyperlink"/>
            <w:lang w:val="fr-CA" w:eastAsia="en-CA"/>
          </w:rPr>
          <w:t>iService</w:t>
        </w:r>
        <w:proofErr w:type="spellEnd"/>
      </w:hyperlink>
      <w:r w:rsidR="00E379A5">
        <w:rPr>
          <w:color w:val="FF0000"/>
          <w:lang w:val="fr-CA" w:eastAsia="en-CA"/>
        </w:rPr>
        <w:t>.</w:t>
      </w:r>
    </w:p>
    <w:p w14:paraId="41D9C749" w14:textId="77777777" w:rsidR="00171FAD" w:rsidRPr="00171FAD" w:rsidRDefault="00171FAD" w:rsidP="004E23F7">
      <w:pPr>
        <w:pStyle w:val="ListParagraph"/>
        <w:rPr>
          <w:lang w:val="fr-CA" w:eastAsia="en-CA"/>
        </w:rPr>
      </w:pPr>
    </w:p>
    <w:p w14:paraId="580AF563" w14:textId="75ECAB4F" w:rsidR="00DF69D3" w:rsidRDefault="002E6793" w:rsidP="0063357C">
      <w:pPr>
        <w:pStyle w:val="ListParagraph"/>
        <w:numPr>
          <w:ilvl w:val="0"/>
          <w:numId w:val="2"/>
        </w:numPr>
        <w:rPr>
          <w:lang w:val="fr-CA" w:eastAsia="en-CA"/>
        </w:rPr>
      </w:pPr>
      <w:r w:rsidRPr="0063357C">
        <w:rPr>
          <w:lang w:val="fr-CA" w:eastAsia="en-CA"/>
        </w:rPr>
        <w:t>La DGDPF</w:t>
      </w:r>
      <w:r w:rsidR="00045303" w:rsidRPr="0063357C">
        <w:rPr>
          <w:lang w:val="fr-CA" w:eastAsia="en-CA"/>
        </w:rPr>
        <w:t>-CPN</w:t>
      </w:r>
      <w:r w:rsidRPr="0063357C">
        <w:rPr>
          <w:lang w:val="fr-CA" w:eastAsia="en-CA"/>
        </w:rPr>
        <w:t xml:space="preserve"> </w:t>
      </w:r>
      <w:r w:rsidR="00045303" w:rsidRPr="0063357C">
        <w:rPr>
          <w:lang w:val="fr-CA" w:eastAsia="en-CA"/>
        </w:rPr>
        <w:t>(Comptes Payables Nationaux</w:t>
      </w:r>
      <w:r w:rsidR="00F914B7">
        <w:rPr>
          <w:lang w:val="fr-CA" w:eastAsia="en-CA"/>
        </w:rPr>
        <w:t xml:space="preserve">, au sein de la </w:t>
      </w:r>
      <w:r w:rsidR="00F60711" w:rsidRPr="00FB1ED9">
        <w:rPr>
          <w:lang w:val="fr-CA" w:eastAsia="en-CA"/>
        </w:rPr>
        <w:t>Direction intégrée de la responsabilité et de la comptabilité ministérielle</w:t>
      </w:r>
      <w:r w:rsidR="00AB0DC0">
        <w:rPr>
          <w:lang w:val="fr-CA" w:eastAsia="en-CA"/>
        </w:rPr>
        <w:t xml:space="preserve"> (DIRCM)</w:t>
      </w:r>
      <w:r w:rsidR="00045303" w:rsidRPr="0063357C">
        <w:rPr>
          <w:lang w:val="fr-CA" w:eastAsia="en-CA"/>
        </w:rPr>
        <w:t xml:space="preserve">) </w:t>
      </w:r>
      <w:r w:rsidRPr="0063357C">
        <w:rPr>
          <w:lang w:val="fr-CA" w:eastAsia="en-CA"/>
        </w:rPr>
        <w:t>émet le paiement manuel dans SAP</w:t>
      </w:r>
      <w:r w:rsidR="0063357C">
        <w:rPr>
          <w:lang w:val="fr-CA" w:eastAsia="en-CA"/>
        </w:rPr>
        <w:t xml:space="preserve"> et</w:t>
      </w:r>
      <w:r>
        <w:rPr>
          <w:lang w:val="fr-CA" w:eastAsia="en-CA"/>
        </w:rPr>
        <w:t xml:space="preserve"> </w:t>
      </w:r>
      <w:r w:rsidR="00E37684">
        <w:rPr>
          <w:lang w:val="fr-CA"/>
        </w:rPr>
        <w:t>informe l</w:t>
      </w:r>
      <w:r w:rsidR="00E37684" w:rsidRPr="00891EF6">
        <w:rPr>
          <w:lang w:val="fr-CA"/>
        </w:rPr>
        <w:t xml:space="preserve">e </w:t>
      </w:r>
      <w:r w:rsidR="00E37684">
        <w:rPr>
          <w:lang w:val="fr-CA"/>
        </w:rPr>
        <w:t>représentant</w:t>
      </w:r>
      <w:r w:rsidR="00E37684" w:rsidRPr="00891EF6">
        <w:rPr>
          <w:lang w:val="fr-CA"/>
        </w:rPr>
        <w:t xml:space="preserve"> du </w:t>
      </w:r>
      <w:r w:rsidR="00F60711" w:rsidRPr="00891EF6">
        <w:rPr>
          <w:lang w:val="fr-CA"/>
        </w:rPr>
        <w:t>SCSC en</w:t>
      </w:r>
      <w:r w:rsidR="0063357C">
        <w:rPr>
          <w:lang w:val="fr-CA"/>
        </w:rPr>
        <w:t xml:space="preserve"> lui</w:t>
      </w:r>
      <w:r w:rsidR="00E37684" w:rsidRPr="00891EF6">
        <w:rPr>
          <w:lang w:val="fr-CA"/>
        </w:rPr>
        <w:t xml:space="preserve"> fournissant les informations pertinentes relatives au paiement manuel </w:t>
      </w:r>
      <w:r w:rsidR="00E37684">
        <w:rPr>
          <w:lang w:val="fr-CA"/>
        </w:rPr>
        <w:t>(numéro de document SAP</w:t>
      </w:r>
      <w:r w:rsidR="00ED37BC" w:rsidRPr="00891EF6">
        <w:rPr>
          <w:lang w:val="fr-CA"/>
        </w:rPr>
        <w:t>)</w:t>
      </w:r>
      <w:r w:rsidR="00ED37BC">
        <w:rPr>
          <w:lang w:val="fr-CA"/>
        </w:rPr>
        <w:t xml:space="preserve"> ;</w:t>
      </w:r>
      <w:r w:rsidR="00E37684" w:rsidRPr="00891EF6">
        <w:rPr>
          <w:lang w:val="fr-CA"/>
        </w:rPr>
        <w:t xml:space="preserve"> </w:t>
      </w:r>
    </w:p>
    <w:p w14:paraId="340FB0C3" w14:textId="77777777" w:rsidR="00DD2572" w:rsidRPr="00DF69D3" w:rsidRDefault="00DD2572" w:rsidP="0063357C">
      <w:pPr>
        <w:pStyle w:val="ListParagraph"/>
        <w:rPr>
          <w:lang w:val="fr-CA" w:eastAsia="en-CA"/>
        </w:rPr>
      </w:pPr>
    </w:p>
    <w:p w14:paraId="2A7425CA" w14:textId="68417ABF" w:rsidR="002E6793" w:rsidRDefault="0063357C" w:rsidP="0073371E">
      <w:pPr>
        <w:pStyle w:val="ListParagraph"/>
        <w:numPr>
          <w:ilvl w:val="0"/>
          <w:numId w:val="2"/>
        </w:numPr>
        <w:rPr>
          <w:lang w:val="fr-CA" w:eastAsia="en-CA"/>
        </w:rPr>
      </w:pPr>
      <w:r>
        <w:rPr>
          <w:lang w:val="fr-CA" w:eastAsia="en-CA"/>
        </w:rPr>
        <w:t>Une fois le paiement manuel émis, l</w:t>
      </w:r>
      <w:r w:rsidR="002E6793">
        <w:rPr>
          <w:lang w:val="fr-CA" w:eastAsia="en-CA"/>
        </w:rPr>
        <w:t xml:space="preserve">e </w:t>
      </w:r>
      <w:r w:rsidR="00664477">
        <w:rPr>
          <w:lang w:val="fr-CA"/>
        </w:rPr>
        <w:t>représentant</w:t>
      </w:r>
      <w:r w:rsidR="00664477">
        <w:rPr>
          <w:lang w:val="fr-CA" w:eastAsia="en-CA"/>
        </w:rPr>
        <w:t xml:space="preserve"> </w:t>
      </w:r>
      <w:r w:rsidR="002E6793">
        <w:rPr>
          <w:lang w:val="fr-CA" w:eastAsia="en-CA"/>
        </w:rPr>
        <w:t xml:space="preserve">du SCSC </w:t>
      </w:r>
      <w:r>
        <w:rPr>
          <w:lang w:val="fr-CA" w:eastAsia="en-CA"/>
        </w:rPr>
        <w:t>et le RGSC s’assurent que le SCSC est mis à jour avec les informations relatives au paiement, soit avec une note au dossier (projets fermés) ou avec un</w:t>
      </w:r>
      <w:r w:rsidR="0073371E">
        <w:rPr>
          <w:lang w:val="fr-CA" w:eastAsia="en-CA"/>
        </w:rPr>
        <w:t xml:space="preserve"> correctif des données</w:t>
      </w:r>
      <w:r>
        <w:rPr>
          <w:lang w:val="fr-CA" w:eastAsia="en-CA"/>
        </w:rPr>
        <w:t xml:space="preserve"> « data </w:t>
      </w:r>
      <w:proofErr w:type="spellStart"/>
      <w:r>
        <w:rPr>
          <w:lang w:val="fr-CA" w:eastAsia="en-CA"/>
        </w:rPr>
        <w:t>fix</w:t>
      </w:r>
      <w:proofErr w:type="spellEnd"/>
      <w:r>
        <w:rPr>
          <w:lang w:val="fr-CA" w:eastAsia="en-CA"/>
        </w:rPr>
        <w:t> » (</w:t>
      </w:r>
      <w:r w:rsidR="005E05C4">
        <w:rPr>
          <w:lang w:val="fr-CA" w:eastAsia="en-CA"/>
        </w:rPr>
        <w:t>projets toujours ouverts).</w:t>
      </w:r>
    </w:p>
    <w:p w14:paraId="6826E50D" w14:textId="77777777" w:rsidR="002E6793" w:rsidRDefault="002E6793">
      <w:pPr>
        <w:pStyle w:val="ListParagraph"/>
        <w:rPr>
          <w:lang w:val="fr-CA" w:eastAsia="en-CA"/>
        </w:rPr>
      </w:pPr>
    </w:p>
    <w:p w14:paraId="70324A19" w14:textId="5F0C42E3" w:rsidR="0071281E" w:rsidRDefault="009F2634" w:rsidP="0063357C">
      <w:pPr>
        <w:spacing w:after="0"/>
        <w:rPr>
          <w:lang w:val="fr-CA" w:eastAsia="en-CA"/>
        </w:rPr>
      </w:pPr>
      <w:r>
        <w:rPr>
          <w:lang w:val="fr-CA" w:eastAsia="en-CA"/>
        </w:rPr>
        <w:t xml:space="preserve">Voir </w:t>
      </w:r>
      <w:r w:rsidRPr="00891B56">
        <w:rPr>
          <w:b/>
          <w:color w:val="1F497D" w:themeColor="text2"/>
          <w:lang w:val="fr-CA" w:eastAsia="en-CA"/>
        </w:rPr>
        <w:t>annexe A</w:t>
      </w:r>
      <w:r>
        <w:rPr>
          <w:lang w:val="fr-CA" w:eastAsia="en-CA"/>
        </w:rPr>
        <w:t xml:space="preserve"> </w:t>
      </w:r>
      <w:r w:rsidR="0063357C">
        <w:rPr>
          <w:lang w:val="fr-CA" w:eastAsia="en-CA"/>
        </w:rPr>
        <w:t>(</w:t>
      </w:r>
      <w:r w:rsidR="0063357C" w:rsidRPr="0063357C">
        <w:rPr>
          <w:lang w:val="fr-CA" w:eastAsia="en-CA"/>
        </w:rPr>
        <w:t>Processus détaillé avec les rôles et responsabilités)</w:t>
      </w:r>
      <w:r w:rsidR="0063357C">
        <w:rPr>
          <w:lang w:val="fr-CA" w:eastAsia="en-CA"/>
        </w:rPr>
        <w:t xml:space="preserve"> </w:t>
      </w:r>
      <w:r>
        <w:rPr>
          <w:lang w:val="fr-CA" w:eastAsia="en-CA"/>
        </w:rPr>
        <w:t xml:space="preserve">et </w:t>
      </w:r>
      <w:r w:rsidRPr="00891B56">
        <w:rPr>
          <w:b/>
          <w:color w:val="1F497D" w:themeColor="text2"/>
          <w:lang w:val="fr-CA" w:eastAsia="en-CA"/>
        </w:rPr>
        <w:t>annexe B</w:t>
      </w:r>
      <w:r>
        <w:rPr>
          <w:lang w:val="fr-CA" w:eastAsia="en-CA"/>
        </w:rPr>
        <w:t xml:space="preserve"> </w:t>
      </w:r>
      <w:r w:rsidR="0063357C">
        <w:rPr>
          <w:lang w:val="fr-CA" w:eastAsia="en-CA"/>
        </w:rPr>
        <w:t xml:space="preserve">(organigramme) </w:t>
      </w:r>
      <w:r>
        <w:rPr>
          <w:lang w:val="fr-CA" w:eastAsia="en-CA"/>
        </w:rPr>
        <w:t xml:space="preserve">pour </w:t>
      </w:r>
      <w:r w:rsidR="0063357C">
        <w:rPr>
          <w:lang w:val="fr-CA" w:eastAsia="en-CA"/>
        </w:rPr>
        <w:t xml:space="preserve">plus de </w:t>
      </w:r>
      <w:r>
        <w:rPr>
          <w:lang w:val="fr-CA" w:eastAsia="en-CA"/>
        </w:rPr>
        <w:t>détail</w:t>
      </w:r>
      <w:r w:rsidR="0063357C">
        <w:rPr>
          <w:lang w:val="fr-CA" w:eastAsia="en-CA"/>
        </w:rPr>
        <w:t>s.</w:t>
      </w:r>
    </w:p>
    <w:p w14:paraId="1804C463" w14:textId="1C5A90C2" w:rsidR="0063357C" w:rsidRDefault="0063357C" w:rsidP="0063357C">
      <w:pPr>
        <w:spacing w:after="0"/>
        <w:rPr>
          <w:lang w:val="fr-CA" w:eastAsia="en-CA"/>
        </w:rPr>
      </w:pPr>
    </w:p>
    <w:p w14:paraId="59703486" w14:textId="1EDB8EC4" w:rsidR="009F0ECA" w:rsidRDefault="009F0ECA" w:rsidP="0063357C">
      <w:pPr>
        <w:spacing w:after="0"/>
        <w:rPr>
          <w:lang w:val="fr-CA" w:eastAsia="en-CA"/>
        </w:rPr>
      </w:pPr>
    </w:p>
    <w:p w14:paraId="6800AEAC" w14:textId="77777777" w:rsidR="009F0ECA" w:rsidRDefault="009F0ECA" w:rsidP="0063357C">
      <w:pPr>
        <w:spacing w:after="0"/>
        <w:rPr>
          <w:lang w:val="fr-CA" w:eastAsia="en-CA"/>
        </w:rPr>
      </w:pPr>
    </w:p>
    <w:p w14:paraId="0B047653" w14:textId="5DE00FB2" w:rsidR="0063357C" w:rsidRDefault="0063357C" w:rsidP="0063357C">
      <w:pPr>
        <w:spacing w:after="0"/>
        <w:rPr>
          <w:lang w:val="fr-CA" w:eastAsia="en-CA"/>
        </w:rPr>
      </w:pPr>
    </w:p>
    <w:p w14:paraId="77C70FFA" w14:textId="77777777" w:rsidR="00382D06" w:rsidRPr="009F2634" w:rsidRDefault="00382D06" w:rsidP="0063357C">
      <w:pPr>
        <w:spacing w:after="0"/>
        <w:rPr>
          <w:lang w:val="fr-CA" w:eastAsia="en-CA"/>
        </w:rPr>
      </w:pPr>
    </w:p>
    <w:p w14:paraId="49DB05EE" w14:textId="7A7A0C03" w:rsidR="0032697E" w:rsidRDefault="001D4787" w:rsidP="0063357C">
      <w:pPr>
        <w:pStyle w:val="ListParagraph"/>
        <w:numPr>
          <w:ilvl w:val="0"/>
          <w:numId w:val="4"/>
        </w:numPr>
        <w:ind w:left="426" w:hanging="426"/>
        <w:rPr>
          <w:b/>
          <w:lang w:val="fr-CA" w:eastAsia="en-CA"/>
        </w:rPr>
      </w:pPr>
      <w:r w:rsidRPr="00BA4617">
        <w:rPr>
          <w:b/>
          <w:lang w:val="fr-CA" w:eastAsia="en-CA"/>
        </w:rPr>
        <w:lastRenderedPageBreak/>
        <w:t>Surveillance et autres contrôles</w:t>
      </w:r>
    </w:p>
    <w:p w14:paraId="372BD237" w14:textId="77777777" w:rsidR="0063357C" w:rsidRPr="00BA4617" w:rsidRDefault="0063357C" w:rsidP="0063357C">
      <w:pPr>
        <w:pStyle w:val="ListParagraph"/>
        <w:ind w:left="426"/>
        <w:rPr>
          <w:b/>
          <w:lang w:val="fr-CA" w:eastAsia="en-CA"/>
        </w:rPr>
      </w:pPr>
    </w:p>
    <w:p w14:paraId="1C8A7F08" w14:textId="15BBD069" w:rsidR="002601D9" w:rsidRPr="00D91CD1" w:rsidRDefault="00D00AB6" w:rsidP="004E23F7">
      <w:pPr>
        <w:pStyle w:val="ListParagraph"/>
        <w:numPr>
          <w:ilvl w:val="0"/>
          <w:numId w:val="21"/>
        </w:numPr>
        <w:ind w:left="284" w:hanging="284"/>
        <w:rPr>
          <w:lang w:val="fr-CA" w:eastAsia="en-CA"/>
        </w:rPr>
      </w:pPr>
      <w:r>
        <w:rPr>
          <w:lang w:val="fr-CA" w:eastAsia="en-CA"/>
        </w:rPr>
        <w:t>La DGDPF</w:t>
      </w:r>
      <w:r w:rsidR="00C20258">
        <w:rPr>
          <w:lang w:val="fr-CA" w:eastAsia="en-CA"/>
        </w:rPr>
        <w:t>-</w:t>
      </w:r>
      <w:r w:rsidR="00516076">
        <w:rPr>
          <w:lang w:val="fr-CA" w:eastAsia="en-CA"/>
        </w:rPr>
        <w:t>DIRCM</w:t>
      </w:r>
      <w:r>
        <w:rPr>
          <w:lang w:val="fr-CA" w:eastAsia="en-CA"/>
        </w:rPr>
        <w:t xml:space="preserve"> effectuera des rapprochements périodiques entre</w:t>
      </w:r>
      <w:r w:rsidR="002601D9" w:rsidRPr="00D91CD1">
        <w:rPr>
          <w:lang w:val="fr-CA" w:eastAsia="en-CA"/>
        </w:rPr>
        <w:t xml:space="preserve"> SAP </w:t>
      </w:r>
      <w:r>
        <w:rPr>
          <w:lang w:val="fr-CA" w:eastAsia="en-CA"/>
        </w:rPr>
        <w:t>et le SCSC, afin de</w:t>
      </w:r>
      <w:r w:rsidR="002601D9" w:rsidRPr="00D91CD1">
        <w:rPr>
          <w:lang w:val="fr-CA" w:eastAsia="en-CA"/>
        </w:rPr>
        <w:t xml:space="preserve"> </w:t>
      </w:r>
      <w:r>
        <w:rPr>
          <w:lang w:val="fr-CA" w:eastAsia="en-CA"/>
        </w:rPr>
        <w:t>s’assurer qu</w:t>
      </w:r>
      <w:r w:rsidR="00C20258">
        <w:rPr>
          <w:lang w:val="fr-CA" w:eastAsia="en-CA"/>
        </w:rPr>
        <w:t xml:space="preserve">e les deux systèmes soient en synchronisation. </w:t>
      </w:r>
      <w:r>
        <w:rPr>
          <w:lang w:val="fr-CA" w:eastAsia="en-CA"/>
        </w:rPr>
        <w:t>S’il existe des écarts</w:t>
      </w:r>
      <w:r w:rsidR="002601D9" w:rsidRPr="00D91CD1">
        <w:rPr>
          <w:lang w:val="fr-CA" w:eastAsia="en-CA"/>
        </w:rPr>
        <w:t xml:space="preserve">, </w:t>
      </w:r>
      <w:r w:rsidR="00167CE5">
        <w:rPr>
          <w:lang w:val="fr-CA" w:eastAsia="en-CA"/>
        </w:rPr>
        <w:t>un suivi sera fait auprès des équipes concernées afin de corriger ces écarts</w:t>
      </w:r>
      <w:r w:rsidR="00C20258">
        <w:rPr>
          <w:lang w:val="fr-CA" w:eastAsia="en-CA"/>
        </w:rPr>
        <w:t xml:space="preserve"> en temps opportun</w:t>
      </w:r>
      <w:r w:rsidR="002601D9" w:rsidRPr="00D91CD1">
        <w:rPr>
          <w:lang w:val="fr-CA" w:eastAsia="en-CA"/>
        </w:rPr>
        <w:t>.</w:t>
      </w:r>
    </w:p>
    <w:p w14:paraId="2D439AC0" w14:textId="3B25514F" w:rsidR="00C20258" w:rsidRDefault="00167CE5" w:rsidP="004E23F7">
      <w:pPr>
        <w:pStyle w:val="ListParagraph"/>
        <w:numPr>
          <w:ilvl w:val="0"/>
          <w:numId w:val="21"/>
        </w:numPr>
        <w:ind w:left="284" w:hanging="284"/>
        <w:rPr>
          <w:lang w:val="fr-CA" w:eastAsia="en-CA"/>
        </w:rPr>
      </w:pPr>
      <w:r>
        <w:rPr>
          <w:lang w:val="fr-CA" w:eastAsia="en-CA"/>
        </w:rPr>
        <w:t xml:space="preserve">La </w:t>
      </w:r>
      <w:r w:rsidR="00C20258">
        <w:rPr>
          <w:lang w:val="fr-CA" w:eastAsia="en-CA"/>
        </w:rPr>
        <w:t>DGDPF-</w:t>
      </w:r>
      <w:r w:rsidR="00516076">
        <w:rPr>
          <w:lang w:val="fr-CA" w:eastAsia="en-CA"/>
        </w:rPr>
        <w:t>DIRCM</w:t>
      </w:r>
      <w:r w:rsidR="00C20258">
        <w:rPr>
          <w:lang w:val="fr-CA" w:eastAsia="en-CA"/>
        </w:rPr>
        <w:t xml:space="preserve"> préparera des rapports périodiques de tous les paiements manuels émis directement de SAP, pour l’inclusion dans le SCSC par </w:t>
      </w:r>
      <w:r w:rsidR="00554741">
        <w:rPr>
          <w:lang w:val="fr-CA" w:eastAsia="en-CA"/>
        </w:rPr>
        <w:t xml:space="preserve">la </w:t>
      </w:r>
      <w:r w:rsidR="00C20258">
        <w:rPr>
          <w:lang w:val="fr-CA" w:eastAsia="en-CA"/>
        </w:rPr>
        <w:t>DGOP</w:t>
      </w:r>
      <w:r w:rsidR="00ED37BC">
        <w:rPr>
          <w:lang w:val="fr-CA" w:eastAsia="en-CA"/>
        </w:rPr>
        <w:t>.</w:t>
      </w:r>
    </w:p>
    <w:p w14:paraId="6B0BAC68" w14:textId="200AA752" w:rsidR="00EC7E9F" w:rsidRDefault="00167CE5" w:rsidP="00E379A5">
      <w:pPr>
        <w:pStyle w:val="ListParagraph"/>
        <w:numPr>
          <w:ilvl w:val="0"/>
          <w:numId w:val="21"/>
        </w:numPr>
        <w:ind w:left="284" w:hanging="284"/>
        <w:rPr>
          <w:lang w:val="fr-CA" w:eastAsia="en-CA"/>
        </w:rPr>
      </w:pPr>
      <w:r>
        <w:rPr>
          <w:lang w:val="fr-CA" w:eastAsia="en-CA"/>
        </w:rPr>
        <w:t xml:space="preserve">La </w:t>
      </w:r>
      <w:r w:rsidR="00B71ED5">
        <w:rPr>
          <w:lang w:val="fr-CA" w:eastAsia="en-CA"/>
        </w:rPr>
        <w:t>DGDPF-</w:t>
      </w:r>
      <w:r w:rsidR="00516076">
        <w:rPr>
          <w:lang w:val="fr-CA" w:eastAsia="en-CA"/>
        </w:rPr>
        <w:t>DIRCM</w:t>
      </w:r>
      <w:r w:rsidRPr="00D91CD1">
        <w:rPr>
          <w:lang w:val="fr-CA" w:eastAsia="en-CA"/>
        </w:rPr>
        <w:t xml:space="preserve"> </w:t>
      </w:r>
      <w:r w:rsidRPr="00167CE5">
        <w:rPr>
          <w:lang w:val="fr-CA" w:eastAsia="en-CA"/>
        </w:rPr>
        <w:t>effectuera</w:t>
      </w:r>
      <w:r>
        <w:rPr>
          <w:lang w:val="fr-CA" w:eastAsia="en-CA"/>
        </w:rPr>
        <w:t xml:space="preserve"> </w:t>
      </w:r>
      <w:r w:rsidRPr="00167CE5">
        <w:rPr>
          <w:lang w:val="fr-CA" w:eastAsia="en-CA"/>
        </w:rPr>
        <w:t>l</w:t>
      </w:r>
      <w:r w:rsidR="00C20258">
        <w:rPr>
          <w:lang w:val="fr-CA" w:eastAsia="en-CA"/>
        </w:rPr>
        <w:t>a surveillance sur l</w:t>
      </w:r>
      <w:r w:rsidR="00BA4617">
        <w:rPr>
          <w:lang w:val="fr-CA" w:eastAsia="en-CA"/>
        </w:rPr>
        <w:t xml:space="preserve">’évolution </w:t>
      </w:r>
      <w:r w:rsidR="00C20258">
        <w:rPr>
          <w:lang w:val="fr-CA" w:eastAsia="en-CA"/>
        </w:rPr>
        <w:t>d</w:t>
      </w:r>
      <w:r w:rsidRPr="00167CE5">
        <w:rPr>
          <w:lang w:val="fr-CA" w:eastAsia="en-CA"/>
        </w:rPr>
        <w:t>es paiements manuels</w:t>
      </w:r>
      <w:r w:rsidR="00C20258">
        <w:rPr>
          <w:lang w:val="fr-CA" w:eastAsia="en-CA"/>
        </w:rPr>
        <w:t xml:space="preserve"> (fréquence et montants)</w:t>
      </w:r>
      <w:r w:rsidR="00B71ED5">
        <w:rPr>
          <w:lang w:val="fr-CA" w:eastAsia="en-CA"/>
        </w:rPr>
        <w:t xml:space="preserve"> </w:t>
      </w:r>
      <w:r w:rsidR="00BA4617">
        <w:rPr>
          <w:lang w:val="fr-CA" w:eastAsia="en-CA"/>
        </w:rPr>
        <w:t>et informera les changements significatifs, lorsque jugé nécessaire.</w:t>
      </w:r>
    </w:p>
    <w:p w14:paraId="41668850" w14:textId="44AB1C37" w:rsidR="00BB0386" w:rsidRPr="00D47338" w:rsidRDefault="00BB0386" w:rsidP="0063357C">
      <w:pPr>
        <w:spacing w:after="0"/>
        <w:rPr>
          <w:b/>
          <w:lang w:val="fr-CA" w:eastAsia="en-CA"/>
        </w:rPr>
      </w:pPr>
    </w:p>
    <w:p w14:paraId="73663967" w14:textId="77777777" w:rsidR="00955F68" w:rsidRPr="00D47338" w:rsidRDefault="00955F68" w:rsidP="0063357C">
      <w:pPr>
        <w:spacing w:after="0"/>
        <w:rPr>
          <w:b/>
          <w:lang w:val="fr-CA" w:eastAsia="en-CA"/>
        </w:rPr>
      </w:pPr>
    </w:p>
    <w:p w14:paraId="3F26ECC1" w14:textId="2B13BDE3" w:rsidR="00BB0386" w:rsidRPr="00D47338" w:rsidRDefault="00BB0386" w:rsidP="0063357C">
      <w:pPr>
        <w:pStyle w:val="ListParagraph"/>
        <w:numPr>
          <w:ilvl w:val="0"/>
          <w:numId w:val="4"/>
        </w:numPr>
        <w:ind w:left="426" w:hanging="426"/>
        <w:rPr>
          <w:b/>
          <w:lang w:val="fr-CA" w:eastAsia="en-CA"/>
        </w:rPr>
      </w:pPr>
      <w:r w:rsidRPr="00D47338">
        <w:rPr>
          <w:b/>
          <w:lang w:val="fr-CA" w:eastAsia="en-CA"/>
        </w:rPr>
        <w:t>Rapport</w:t>
      </w:r>
      <w:r w:rsidR="00A5464F" w:rsidRPr="00D47338">
        <w:rPr>
          <w:b/>
          <w:lang w:val="fr-CA" w:eastAsia="en-CA"/>
        </w:rPr>
        <w:t>s</w:t>
      </w:r>
    </w:p>
    <w:p w14:paraId="5C0A7440" w14:textId="77777777" w:rsidR="0063357C" w:rsidRPr="00BB0386" w:rsidRDefault="0063357C" w:rsidP="0063357C">
      <w:pPr>
        <w:pStyle w:val="ListParagraph"/>
        <w:ind w:left="426"/>
        <w:rPr>
          <w:lang w:val="fr-CA" w:eastAsia="en-CA"/>
        </w:rPr>
      </w:pPr>
    </w:p>
    <w:p w14:paraId="4EB8EED5" w14:textId="4CC56C88" w:rsidR="00BB0386" w:rsidRPr="00D77216" w:rsidRDefault="00BB0386" w:rsidP="00D77216">
      <w:pPr>
        <w:pStyle w:val="ListParagraph"/>
        <w:numPr>
          <w:ilvl w:val="0"/>
          <w:numId w:val="23"/>
        </w:numPr>
        <w:rPr>
          <w:lang w:val="fr-CA" w:eastAsia="en-CA"/>
        </w:rPr>
      </w:pPr>
      <w:r w:rsidRPr="00D77216">
        <w:rPr>
          <w:lang w:val="fr-CA" w:eastAsia="en-CA"/>
        </w:rPr>
        <w:t>La DGOP sera responsable de présenter périodiquement le</w:t>
      </w:r>
      <w:r w:rsidR="00D77216" w:rsidRPr="00D77216">
        <w:rPr>
          <w:lang w:val="fr-CA" w:eastAsia="en-CA"/>
        </w:rPr>
        <w:t>s</w:t>
      </w:r>
      <w:r w:rsidRPr="00D77216">
        <w:rPr>
          <w:lang w:val="fr-CA" w:eastAsia="en-CA"/>
        </w:rPr>
        <w:t xml:space="preserve"> rapport</w:t>
      </w:r>
      <w:r w:rsidR="00D77216" w:rsidRPr="00D77216">
        <w:rPr>
          <w:lang w:val="fr-CA" w:eastAsia="en-CA"/>
        </w:rPr>
        <w:t>s</w:t>
      </w:r>
      <w:r w:rsidRPr="00D77216">
        <w:rPr>
          <w:lang w:val="fr-CA" w:eastAsia="en-CA"/>
        </w:rPr>
        <w:t xml:space="preserve"> de surveillance aux groupes de </w:t>
      </w:r>
      <w:r w:rsidR="00D77216" w:rsidRPr="00D77216">
        <w:rPr>
          <w:lang w:val="fr-CA" w:eastAsia="en-CA"/>
        </w:rPr>
        <w:t xml:space="preserve">gouvernance de </w:t>
      </w:r>
      <w:r w:rsidRPr="00D77216">
        <w:rPr>
          <w:lang w:val="fr-CA" w:eastAsia="en-CA"/>
        </w:rPr>
        <w:t>S&amp;C appropriés. Le</w:t>
      </w:r>
      <w:r w:rsidR="00304E5B" w:rsidRPr="00D77216">
        <w:rPr>
          <w:lang w:val="fr-CA" w:eastAsia="en-CA"/>
        </w:rPr>
        <w:t>s</w:t>
      </w:r>
      <w:r w:rsidRPr="00D77216">
        <w:rPr>
          <w:lang w:val="fr-CA" w:eastAsia="en-CA"/>
        </w:rPr>
        <w:t xml:space="preserve"> rapport</w:t>
      </w:r>
      <w:r w:rsidR="00304E5B" w:rsidRPr="00D77216">
        <w:rPr>
          <w:lang w:val="fr-CA" w:eastAsia="en-CA"/>
        </w:rPr>
        <w:t>s</w:t>
      </w:r>
      <w:r w:rsidRPr="00D77216">
        <w:rPr>
          <w:lang w:val="fr-CA" w:eastAsia="en-CA"/>
        </w:rPr>
        <w:t xml:space="preserve"> inclur</w:t>
      </w:r>
      <w:r w:rsidR="00304E5B" w:rsidRPr="00D77216">
        <w:rPr>
          <w:lang w:val="fr-CA" w:eastAsia="en-CA"/>
        </w:rPr>
        <w:t>ont</w:t>
      </w:r>
      <w:r w:rsidRPr="00D77216">
        <w:rPr>
          <w:lang w:val="fr-CA" w:eastAsia="en-CA"/>
        </w:rPr>
        <w:t xml:space="preserve"> les paiements manuels approuvés et tous </w:t>
      </w:r>
      <w:r w:rsidR="00304E5B" w:rsidRPr="00D77216">
        <w:rPr>
          <w:lang w:val="fr-CA" w:eastAsia="en-CA"/>
        </w:rPr>
        <w:t>les</w:t>
      </w:r>
      <w:r w:rsidRPr="00D77216">
        <w:rPr>
          <w:lang w:val="fr-CA" w:eastAsia="en-CA"/>
        </w:rPr>
        <w:t xml:space="preserve"> items jugés pertinents.</w:t>
      </w:r>
    </w:p>
    <w:p w14:paraId="1FD2233F" w14:textId="4BEE4F67" w:rsidR="00BB0386" w:rsidRPr="00D77216" w:rsidRDefault="00E35F76" w:rsidP="00D77216">
      <w:pPr>
        <w:pStyle w:val="ListParagraph"/>
        <w:numPr>
          <w:ilvl w:val="0"/>
          <w:numId w:val="23"/>
        </w:numPr>
        <w:rPr>
          <w:lang w:val="fr-CA" w:eastAsia="en-CA"/>
        </w:rPr>
      </w:pPr>
      <w:r w:rsidRPr="00D77216">
        <w:rPr>
          <w:lang w:val="fr-CA" w:eastAsia="en-CA"/>
        </w:rPr>
        <w:t xml:space="preserve">La DGOP </w:t>
      </w:r>
      <w:r w:rsidR="000B36E3" w:rsidRPr="00D77216">
        <w:rPr>
          <w:lang w:val="fr-CA" w:eastAsia="en-CA"/>
        </w:rPr>
        <w:t>effectuera</w:t>
      </w:r>
      <w:r w:rsidRPr="00D77216">
        <w:rPr>
          <w:lang w:val="fr-CA" w:eastAsia="en-CA"/>
        </w:rPr>
        <w:t xml:space="preserve"> également une analyse </w:t>
      </w:r>
      <w:r w:rsidR="001043EE" w:rsidRPr="00D77216">
        <w:rPr>
          <w:lang w:val="fr-CA" w:eastAsia="en-CA"/>
        </w:rPr>
        <w:t xml:space="preserve">des tendances </w:t>
      </w:r>
      <w:r w:rsidRPr="00D77216">
        <w:rPr>
          <w:lang w:val="fr-CA" w:eastAsia="en-CA"/>
        </w:rPr>
        <w:t xml:space="preserve">et </w:t>
      </w:r>
      <w:r w:rsidR="00BA7686" w:rsidRPr="00D77216">
        <w:rPr>
          <w:lang w:val="fr-CA" w:eastAsia="en-CA"/>
        </w:rPr>
        <w:t xml:space="preserve">des </w:t>
      </w:r>
      <w:r w:rsidRPr="00D77216">
        <w:rPr>
          <w:lang w:val="fr-CA" w:eastAsia="en-CA"/>
        </w:rPr>
        <w:t xml:space="preserve">statistiques </w:t>
      </w:r>
      <w:r w:rsidR="00BA7686" w:rsidRPr="00D77216">
        <w:rPr>
          <w:lang w:val="fr-CA" w:eastAsia="en-CA"/>
        </w:rPr>
        <w:t xml:space="preserve">sur les </w:t>
      </w:r>
      <w:r w:rsidRPr="00D77216">
        <w:rPr>
          <w:lang w:val="fr-CA" w:eastAsia="en-CA"/>
        </w:rPr>
        <w:t xml:space="preserve">paiements manuels pour déterminer </w:t>
      </w:r>
      <w:r w:rsidR="00291BDB" w:rsidRPr="00D77216">
        <w:rPr>
          <w:lang w:val="fr-CA" w:eastAsia="en-CA"/>
        </w:rPr>
        <w:t>si le processus actuel est approprié (ex. projet fermé dans le SCSC).</w:t>
      </w:r>
    </w:p>
    <w:p w14:paraId="5E95989F" w14:textId="77777777" w:rsidR="00483214" w:rsidRPr="00BB0386" w:rsidRDefault="00483214" w:rsidP="0063357C">
      <w:pPr>
        <w:spacing w:after="0"/>
        <w:rPr>
          <w:lang w:val="fr-CA" w:eastAsia="en-CA"/>
        </w:rPr>
      </w:pPr>
    </w:p>
    <w:p w14:paraId="2DFEA325" w14:textId="77777777" w:rsidR="00686CA9" w:rsidRPr="00D91CD1" w:rsidRDefault="00686CA9" w:rsidP="004E23F7">
      <w:pPr>
        <w:pStyle w:val="ListParagraph"/>
        <w:rPr>
          <w:lang w:val="fr-CA" w:eastAsia="en-CA"/>
        </w:rPr>
      </w:pPr>
    </w:p>
    <w:p w14:paraId="1CC58761" w14:textId="77777777" w:rsidR="0039785D" w:rsidRPr="00D91CD1" w:rsidRDefault="0039785D" w:rsidP="004E23F7">
      <w:pPr>
        <w:pStyle w:val="ListParagraph"/>
        <w:rPr>
          <w:lang w:val="fr-CA" w:eastAsia="en-CA"/>
        </w:rPr>
      </w:pPr>
    </w:p>
    <w:p w14:paraId="0F4AC1C5" w14:textId="0C5BC472" w:rsidR="00973563" w:rsidRDefault="00973563" w:rsidP="002F0023">
      <w:pPr>
        <w:spacing w:after="0"/>
        <w:rPr>
          <w:b/>
          <w:sz w:val="24"/>
          <w:szCs w:val="24"/>
          <w:lang w:val="fr-CA" w:eastAsia="en-CA"/>
        </w:rPr>
      </w:pPr>
      <w:r>
        <w:rPr>
          <w:b/>
          <w:sz w:val="24"/>
          <w:szCs w:val="24"/>
          <w:lang w:val="fr-CA" w:eastAsia="en-CA"/>
        </w:rPr>
        <w:br w:type="page"/>
      </w:r>
    </w:p>
    <w:p w14:paraId="4F21DFAB" w14:textId="19A0730D" w:rsidR="004627F4" w:rsidRDefault="004627F4" w:rsidP="002F0023">
      <w:pPr>
        <w:spacing w:after="0"/>
        <w:jc w:val="center"/>
        <w:rPr>
          <w:b/>
          <w:sz w:val="24"/>
          <w:szCs w:val="24"/>
          <w:lang w:val="fr-CA" w:eastAsia="en-CA"/>
        </w:rPr>
      </w:pPr>
      <w:bookmarkStart w:id="0" w:name="_GoBack"/>
      <w:bookmarkEnd w:id="0"/>
      <w:r w:rsidRPr="00872388">
        <w:rPr>
          <w:b/>
          <w:sz w:val="24"/>
          <w:szCs w:val="24"/>
          <w:lang w:val="fr-CA" w:eastAsia="en-CA"/>
        </w:rPr>
        <w:lastRenderedPageBreak/>
        <w:t>Annexe A</w:t>
      </w:r>
    </w:p>
    <w:p w14:paraId="3B6A6C13" w14:textId="1EEA961B" w:rsidR="002F1A8A" w:rsidRDefault="002F1A8A" w:rsidP="002F0023">
      <w:pPr>
        <w:spacing w:after="0"/>
        <w:jc w:val="center"/>
        <w:rPr>
          <w:b/>
          <w:sz w:val="24"/>
          <w:szCs w:val="24"/>
          <w:lang w:val="fr-CA" w:eastAsia="en-CA"/>
        </w:rPr>
      </w:pPr>
      <w:r>
        <w:rPr>
          <w:b/>
          <w:sz w:val="24"/>
          <w:szCs w:val="24"/>
          <w:lang w:val="fr-CA" w:eastAsia="en-CA"/>
        </w:rPr>
        <w:t xml:space="preserve">Émission des paiements manuels </w:t>
      </w:r>
      <w:r w:rsidR="005379DF">
        <w:rPr>
          <w:b/>
          <w:sz w:val="24"/>
          <w:szCs w:val="24"/>
          <w:lang w:val="fr-CA" w:eastAsia="en-CA"/>
        </w:rPr>
        <w:t>–</w:t>
      </w:r>
      <w:r>
        <w:rPr>
          <w:b/>
          <w:sz w:val="24"/>
          <w:szCs w:val="24"/>
          <w:lang w:val="fr-CA" w:eastAsia="en-CA"/>
        </w:rPr>
        <w:t xml:space="preserve"> </w:t>
      </w:r>
      <w:r w:rsidR="005379DF">
        <w:rPr>
          <w:b/>
          <w:sz w:val="24"/>
          <w:szCs w:val="24"/>
          <w:lang w:val="fr-CA" w:eastAsia="en-CA"/>
        </w:rPr>
        <w:t>Processus détaillé avec les rôles et responsabilités</w:t>
      </w:r>
    </w:p>
    <w:p w14:paraId="288D49CD" w14:textId="77777777" w:rsidR="00D77216" w:rsidRPr="00D91CD1" w:rsidRDefault="00D77216" w:rsidP="002F0023">
      <w:pPr>
        <w:spacing w:after="0"/>
        <w:jc w:val="center"/>
        <w:rPr>
          <w:b/>
          <w:sz w:val="24"/>
          <w:szCs w:val="24"/>
          <w:lang w:val="fr-CA" w:eastAsia="en-CA"/>
        </w:rPr>
      </w:pPr>
    </w:p>
    <w:tbl>
      <w:tblPr>
        <w:tblStyle w:val="TableGrid"/>
        <w:tblW w:w="9493" w:type="dxa"/>
        <w:jc w:val="center"/>
        <w:tblLook w:val="04A0" w:firstRow="1" w:lastRow="0" w:firstColumn="1" w:lastColumn="0" w:noHBand="0" w:noVBand="1"/>
      </w:tblPr>
      <w:tblGrid>
        <w:gridCol w:w="7987"/>
        <w:gridCol w:w="1599"/>
      </w:tblGrid>
      <w:tr w:rsidR="005379DF" w14:paraId="00CC73C8" w14:textId="77777777" w:rsidTr="00A13EF0">
        <w:trPr>
          <w:jc w:val="center"/>
        </w:trPr>
        <w:tc>
          <w:tcPr>
            <w:tcW w:w="7521" w:type="dxa"/>
            <w:shd w:val="pct12" w:color="auto" w:fill="auto"/>
          </w:tcPr>
          <w:p w14:paraId="4954C0EA" w14:textId="7F132A5B" w:rsidR="005379DF" w:rsidRPr="005379DF" w:rsidRDefault="005379DF" w:rsidP="004E23F7">
            <w:pPr>
              <w:rPr>
                <w:b/>
                <w:lang w:val="fr-CA"/>
              </w:rPr>
            </w:pPr>
            <w:r w:rsidRPr="005379DF">
              <w:rPr>
                <w:b/>
                <w:lang w:val="fr-CA"/>
              </w:rPr>
              <w:t>Étapes du processus manuel des paiements</w:t>
            </w:r>
          </w:p>
        </w:tc>
        <w:tc>
          <w:tcPr>
            <w:tcW w:w="1972" w:type="dxa"/>
            <w:shd w:val="pct12" w:color="auto" w:fill="auto"/>
          </w:tcPr>
          <w:p w14:paraId="5379C020" w14:textId="126F0B69" w:rsidR="005379DF" w:rsidRPr="0014412E" w:rsidRDefault="00AA283A" w:rsidP="004E23F7">
            <w:pPr>
              <w:rPr>
                <w:b/>
              </w:rPr>
            </w:pPr>
            <w:proofErr w:type="spellStart"/>
            <w:r>
              <w:rPr>
                <w:b/>
              </w:rPr>
              <w:t>Rô</w:t>
            </w:r>
            <w:r w:rsidR="005379DF" w:rsidRPr="0014412E">
              <w:rPr>
                <w:b/>
              </w:rPr>
              <w:t>les</w:t>
            </w:r>
            <w:proofErr w:type="spellEnd"/>
            <w:r w:rsidR="005379DF">
              <w:rPr>
                <w:b/>
              </w:rPr>
              <w:t xml:space="preserve"> et </w:t>
            </w:r>
            <w:proofErr w:type="spellStart"/>
            <w:r w:rsidR="005379DF">
              <w:rPr>
                <w:b/>
              </w:rPr>
              <w:t>r</w:t>
            </w:r>
            <w:r w:rsidR="005379DF" w:rsidRPr="0014412E">
              <w:rPr>
                <w:b/>
              </w:rPr>
              <w:t>espons</w:t>
            </w:r>
            <w:r w:rsidR="005379DF">
              <w:rPr>
                <w:b/>
              </w:rPr>
              <w:t>a</w:t>
            </w:r>
            <w:r w:rsidR="005379DF" w:rsidRPr="0014412E">
              <w:rPr>
                <w:b/>
              </w:rPr>
              <w:t>bilit</w:t>
            </w:r>
            <w:r w:rsidR="005379DF">
              <w:rPr>
                <w:b/>
              </w:rPr>
              <w:t>és</w:t>
            </w:r>
            <w:proofErr w:type="spellEnd"/>
          </w:p>
        </w:tc>
      </w:tr>
      <w:tr w:rsidR="005379DF" w:rsidRPr="00EA2C9F" w14:paraId="3475111E" w14:textId="77777777" w:rsidTr="00A13EF0">
        <w:trPr>
          <w:jc w:val="center"/>
        </w:trPr>
        <w:tc>
          <w:tcPr>
            <w:tcW w:w="7521" w:type="dxa"/>
          </w:tcPr>
          <w:p w14:paraId="3E825F34" w14:textId="5BCA16B1" w:rsidR="005379DF" w:rsidRPr="00EA2C9F" w:rsidRDefault="00EA2C9F" w:rsidP="004E23F7">
            <w:pPr>
              <w:rPr>
                <w:lang w:val="fr-CA"/>
              </w:rPr>
            </w:pPr>
            <w:r w:rsidRPr="00EA2C9F">
              <w:rPr>
                <w:lang w:val="fr-CA"/>
              </w:rPr>
              <w:t xml:space="preserve">Le </w:t>
            </w:r>
            <w:r w:rsidR="00D274E0" w:rsidRPr="00EA2C9F">
              <w:rPr>
                <w:lang w:val="fr-CA"/>
              </w:rPr>
              <w:t>RGSC</w:t>
            </w:r>
            <w:r w:rsidRPr="00EA2C9F">
              <w:rPr>
                <w:lang w:val="fr-CA"/>
              </w:rPr>
              <w:t xml:space="preserve"> obtien</w:t>
            </w:r>
            <w:r w:rsidR="00861BBE">
              <w:rPr>
                <w:lang w:val="fr-CA"/>
              </w:rPr>
              <w:t>t</w:t>
            </w:r>
            <w:r w:rsidRPr="00EA2C9F">
              <w:rPr>
                <w:lang w:val="fr-CA"/>
              </w:rPr>
              <w:t xml:space="preserve"> la confirmation du </w:t>
            </w:r>
            <w:r w:rsidR="00664477">
              <w:rPr>
                <w:lang w:val="fr-CA"/>
              </w:rPr>
              <w:t xml:space="preserve">représentant </w:t>
            </w:r>
            <w:r w:rsidRPr="00EA2C9F">
              <w:rPr>
                <w:lang w:val="fr-CA"/>
              </w:rPr>
              <w:t xml:space="preserve">du SCSC (région ou AC) qu’il n’y a pas d’autre méthode pour émettre le paiement </w:t>
            </w:r>
            <w:r w:rsidR="005379DF" w:rsidRPr="00EA2C9F">
              <w:rPr>
                <w:lang w:val="fr-CA"/>
              </w:rPr>
              <w:t>(</w:t>
            </w:r>
            <w:r w:rsidR="007C5FF8">
              <w:rPr>
                <w:lang w:val="fr-CA"/>
              </w:rPr>
              <w:t xml:space="preserve">i.e. </w:t>
            </w:r>
            <w:r>
              <w:rPr>
                <w:lang w:val="fr-CA"/>
              </w:rPr>
              <w:t>via le SCSC</w:t>
            </w:r>
            <w:r w:rsidR="005379DF" w:rsidRPr="00EA2C9F">
              <w:rPr>
                <w:lang w:val="fr-CA"/>
              </w:rPr>
              <w:t>).</w:t>
            </w:r>
          </w:p>
        </w:tc>
        <w:tc>
          <w:tcPr>
            <w:tcW w:w="1972" w:type="dxa"/>
          </w:tcPr>
          <w:p w14:paraId="2A8B136D" w14:textId="7B3FBFF5" w:rsidR="005379DF" w:rsidRPr="00EA2C9F" w:rsidRDefault="00664477" w:rsidP="004E23F7">
            <w:pPr>
              <w:rPr>
                <w:lang w:val="fr-CA"/>
              </w:rPr>
            </w:pPr>
            <w:r>
              <w:rPr>
                <w:lang w:val="fr-CA"/>
              </w:rPr>
              <w:t>R</w:t>
            </w:r>
            <w:r w:rsidRPr="000F689D">
              <w:rPr>
                <w:lang w:val="fr-CA"/>
              </w:rPr>
              <w:t>eprésentant</w:t>
            </w:r>
            <w:r>
              <w:t xml:space="preserve"> du SCSC</w:t>
            </w:r>
          </w:p>
        </w:tc>
      </w:tr>
      <w:tr w:rsidR="005379DF" w:rsidRPr="00F005DC" w14:paraId="2A23ED65" w14:textId="77777777" w:rsidTr="00A13EF0">
        <w:trPr>
          <w:jc w:val="center"/>
        </w:trPr>
        <w:tc>
          <w:tcPr>
            <w:tcW w:w="7521" w:type="dxa"/>
          </w:tcPr>
          <w:p w14:paraId="0A1E818C" w14:textId="12E5B90D" w:rsidR="005379DF" w:rsidRPr="00EA2C9F" w:rsidRDefault="00EA2C9F" w:rsidP="004E23F7">
            <w:pPr>
              <w:rPr>
                <w:lang w:val="fr-CA"/>
              </w:rPr>
            </w:pPr>
            <w:r>
              <w:rPr>
                <w:lang w:val="fr-CA"/>
              </w:rPr>
              <w:t xml:space="preserve">Le RGSC envoie le </w:t>
            </w:r>
            <w:hyperlink r:id="rId15" w:history="1">
              <w:r w:rsidRPr="00D77216">
                <w:rPr>
                  <w:rStyle w:val="Hyperlink"/>
                  <w:lang w:val="fr-CA"/>
                </w:rPr>
                <w:t>formulaire G101</w:t>
              </w:r>
            </w:hyperlink>
            <w:r>
              <w:rPr>
                <w:lang w:val="fr-CA"/>
              </w:rPr>
              <w:t xml:space="preserve"> au </w:t>
            </w:r>
            <w:r w:rsidR="00664477">
              <w:rPr>
                <w:lang w:val="fr-CA"/>
              </w:rPr>
              <w:t>représentant</w:t>
            </w:r>
            <w:r>
              <w:rPr>
                <w:lang w:val="fr-CA"/>
              </w:rPr>
              <w:t xml:space="preserve"> du SCSC pour sa révision.</w:t>
            </w:r>
          </w:p>
        </w:tc>
        <w:tc>
          <w:tcPr>
            <w:tcW w:w="1972" w:type="dxa"/>
          </w:tcPr>
          <w:p w14:paraId="4F5C7C93" w14:textId="31948B25" w:rsidR="005379DF" w:rsidRPr="00EA2C9F" w:rsidRDefault="00EA2C9F" w:rsidP="004E23F7">
            <w:pPr>
              <w:rPr>
                <w:lang w:val="fr-CA"/>
              </w:rPr>
            </w:pPr>
            <w:r w:rsidRPr="00225229">
              <w:rPr>
                <w:lang w:val="fr-CA" w:eastAsia="en-CA"/>
              </w:rPr>
              <w:t>RGSC</w:t>
            </w:r>
          </w:p>
        </w:tc>
      </w:tr>
      <w:tr w:rsidR="005379DF" w14:paraId="32EBEE38" w14:textId="77777777" w:rsidTr="00A13EF0">
        <w:trPr>
          <w:jc w:val="center"/>
        </w:trPr>
        <w:tc>
          <w:tcPr>
            <w:tcW w:w="7521" w:type="dxa"/>
          </w:tcPr>
          <w:p w14:paraId="5816F65F" w14:textId="77777777" w:rsidR="005379DF" w:rsidRPr="0030340E" w:rsidRDefault="00EA2C9F" w:rsidP="0030340E">
            <w:pPr>
              <w:pStyle w:val="Default"/>
              <w:autoSpaceDE/>
              <w:autoSpaceDN/>
              <w:adjustRightInd/>
              <w:rPr>
                <w:rFonts w:asciiTheme="minorHAnsi" w:hAnsiTheme="minorHAnsi" w:cstheme="minorHAnsi"/>
                <w:sz w:val="22"/>
                <w:szCs w:val="22"/>
                <w:lang w:val="fr-CA" w:eastAsia="en-CA"/>
              </w:rPr>
            </w:pPr>
            <w:r w:rsidRPr="0030340E">
              <w:rPr>
                <w:rFonts w:asciiTheme="minorHAnsi" w:hAnsiTheme="minorHAnsi" w:cstheme="minorHAnsi"/>
                <w:sz w:val="22"/>
                <w:szCs w:val="22"/>
                <w:lang w:val="fr-CA" w:eastAsia="en-CA"/>
              </w:rPr>
              <w:t xml:space="preserve">Après la revue, le </w:t>
            </w:r>
            <w:r w:rsidR="00664477" w:rsidRPr="0030340E">
              <w:rPr>
                <w:rFonts w:asciiTheme="minorHAnsi" w:hAnsiTheme="minorHAnsi" w:cstheme="minorHAnsi"/>
                <w:sz w:val="22"/>
                <w:szCs w:val="22"/>
                <w:lang w:val="fr-CA" w:eastAsia="en-CA"/>
              </w:rPr>
              <w:t>représentant</w:t>
            </w:r>
            <w:r w:rsidRPr="0030340E">
              <w:rPr>
                <w:rFonts w:asciiTheme="minorHAnsi" w:hAnsiTheme="minorHAnsi" w:cstheme="minorHAnsi"/>
                <w:sz w:val="22"/>
                <w:szCs w:val="22"/>
                <w:lang w:val="fr-CA" w:eastAsia="en-CA"/>
              </w:rPr>
              <w:t xml:space="preserve"> du SCSC soumet le formulaire G101 </w:t>
            </w:r>
            <w:r w:rsidR="00AE2EB8" w:rsidRPr="0030340E">
              <w:rPr>
                <w:rFonts w:asciiTheme="minorHAnsi" w:hAnsiTheme="minorHAnsi" w:cstheme="minorHAnsi"/>
                <w:sz w:val="22"/>
                <w:szCs w:val="22"/>
                <w:lang w:val="fr-CA" w:eastAsia="en-CA"/>
              </w:rPr>
              <w:t xml:space="preserve">à l’agent délégué approprié </w:t>
            </w:r>
            <w:r w:rsidR="00F53521" w:rsidRPr="0030340E">
              <w:rPr>
                <w:rFonts w:asciiTheme="minorHAnsi" w:hAnsiTheme="minorHAnsi" w:cstheme="minorHAnsi"/>
                <w:sz w:val="22"/>
                <w:szCs w:val="22"/>
                <w:lang w:val="fr-CA" w:eastAsia="en-CA"/>
              </w:rPr>
              <w:t xml:space="preserve">pour obtenir </w:t>
            </w:r>
            <w:r w:rsidR="00AE2EB8" w:rsidRPr="0030340E">
              <w:rPr>
                <w:rFonts w:asciiTheme="minorHAnsi" w:hAnsiTheme="minorHAnsi" w:cstheme="minorHAnsi"/>
                <w:sz w:val="22"/>
                <w:szCs w:val="22"/>
                <w:lang w:val="fr-CA" w:eastAsia="en-CA"/>
              </w:rPr>
              <w:t>l</w:t>
            </w:r>
            <w:r w:rsidR="00F53521" w:rsidRPr="0030340E">
              <w:rPr>
                <w:rFonts w:asciiTheme="minorHAnsi" w:hAnsiTheme="minorHAnsi" w:cstheme="minorHAnsi"/>
                <w:sz w:val="22"/>
                <w:szCs w:val="22"/>
                <w:lang w:val="fr-CA" w:eastAsia="en-CA"/>
              </w:rPr>
              <w:t>a signature de la section 34 de la LGFP.</w:t>
            </w:r>
          </w:p>
          <w:p w14:paraId="6A74EE91" w14:textId="12792C54" w:rsidR="001C2828" w:rsidRDefault="000C7E70" w:rsidP="0030340E">
            <w:pPr>
              <w:pStyle w:val="Default"/>
              <w:numPr>
                <w:ilvl w:val="0"/>
                <w:numId w:val="25"/>
              </w:numPr>
              <w:autoSpaceDE/>
              <w:autoSpaceDN/>
              <w:adjustRightInd/>
              <w:rPr>
                <w:rFonts w:asciiTheme="minorHAnsi" w:hAnsiTheme="minorHAnsi" w:cstheme="minorHAnsi"/>
                <w:sz w:val="22"/>
                <w:szCs w:val="22"/>
                <w:lang w:val="fr-CA" w:eastAsia="en-CA"/>
              </w:rPr>
            </w:pPr>
            <w:r w:rsidRPr="000C7E70">
              <w:rPr>
                <w:rFonts w:asciiTheme="minorHAnsi" w:hAnsiTheme="minorHAnsi" w:cstheme="minorHAnsi"/>
                <w:sz w:val="22"/>
                <w:szCs w:val="22"/>
                <w:lang w:val="fr-CA" w:eastAsia="en-CA"/>
              </w:rPr>
              <w:t xml:space="preserve">Le total des fonds émis ne doit pas excéder l’entente(s) signée(s) et la(les) modification(s). </w:t>
            </w:r>
            <w:r w:rsidR="0016606C" w:rsidRPr="000C7E70">
              <w:rPr>
                <w:rFonts w:asciiTheme="minorHAnsi" w:hAnsiTheme="minorHAnsi" w:cstheme="minorHAnsi"/>
                <w:sz w:val="22"/>
                <w:szCs w:val="22"/>
                <w:lang w:val="fr-CA" w:eastAsia="en-CA"/>
              </w:rPr>
              <w:t>Si</w:t>
            </w:r>
            <w:r w:rsidR="001C2828" w:rsidRPr="000C7E70">
              <w:rPr>
                <w:rFonts w:asciiTheme="minorHAnsi" w:hAnsiTheme="minorHAnsi" w:cstheme="minorHAnsi"/>
                <w:sz w:val="22"/>
                <w:szCs w:val="22"/>
                <w:lang w:val="fr-CA" w:eastAsia="en-CA"/>
              </w:rPr>
              <w:t xml:space="preserve"> la valeur cumulée des modifications est </w:t>
            </w:r>
            <w:r w:rsidR="001C2828" w:rsidRPr="00382D06">
              <w:rPr>
                <w:rFonts w:asciiTheme="minorHAnsi" w:hAnsiTheme="minorHAnsi" w:cstheme="minorHAnsi"/>
                <w:sz w:val="22"/>
                <w:szCs w:val="22"/>
                <w:u w:val="single"/>
                <w:lang w:val="fr-CA" w:eastAsia="en-CA"/>
              </w:rPr>
              <w:t>inférieure à 25%</w:t>
            </w:r>
            <w:r w:rsidR="001C2828" w:rsidRPr="000C7E70">
              <w:rPr>
                <w:rFonts w:asciiTheme="minorHAnsi" w:hAnsiTheme="minorHAnsi" w:cstheme="minorHAnsi"/>
                <w:sz w:val="22"/>
                <w:szCs w:val="22"/>
                <w:lang w:val="fr-CA" w:eastAsia="en-CA"/>
              </w:rPr>
              <w:t xml:space="preserve"> </w:t>
            </w:r>
            <w:r w:rsidRPr="0030340E">
              <w:rPr>
                <w:rFonts w:asciiTheme="minorHAnsi" w:hAnsiTheme="minorHAnsi" w:cstheme="minorHAnsi"/>
                <w:sz w:val="22"/>
                <w:szCs w:val="22"/>
                <w:lang w:val="fr-CA" w:eastAsia="en-CA"/>
              </w:rPr>
              <w:t xml:space="preserve">du dernier montant approuvé de l’entente </w:t>
            </w:r>
            <w:r w:rsidR="001C2828" w:rsidRPr="000C7E70">
              <w:rPr>
                <w:rFonts w:asciiTheme="minorHAnsi" w:hAnsiTheme="minorHAnsi" w:cstheme="minorHAnsi"/>
                <w:sz w:val="22"/>
                <w:szCs w:val="22"/>
                <w:lang w:val="fr-CA" w:eastAsia="en-CA"/>
              </w:rPr>
              <w:t>(modification mineure</w:t>
            </w:r>
            <w:r w:rsidR="00DB21C8" w:rsidRPr="008C5298">
              <w:rPr>
                <w:vertAlign w:val="superscript"/>
              </w:rPr>
              <w:footnoteReference w:id="1"/>
            </w:r>
            <w:r w:rsidR="001C2828" w:rsidRPr="000C7E70">
              <w:rPr>
                <w:rFonts w:asciiTheme="minorHAnsi" w:hAnsiTheme="minorHAnsi" w:cstheme="minorHAnsi"/>
                <w:sz w:val="22"/>
                <w:szCs w:val="22"/>
                <w:lang w:val="fr-CA" w:eastAsia="en-CA"/>
              </w:rPr>
              <w:t xml:space="preserve">), le représentant du SCSC </w:t>
            </w:r>
            <w:r w:rsidR="00A13EF0" w:rsidRPr="000C7E70">
              <w:rPr>
                <w:rFonts w:asciiTheme="minorHAnsi" w:hAnsiTheme="minorHAnsi" w:cstheme="minorHAnsi"/>
                <w:sz w:val="22"/>
                <w:szCs w:val="22"/>
                <w:lang w:val="fr-CA" w:eastAsia="en-CA"/>
              </w:rPr>
              <w:t>doit s’assurer que le formulaire G101 est de plus certifié en vertu de la colonne B</w:t>
            </w:r>
            <w:r w:rsidR="00DB21C8" w:rsidRPr="008C5298">
              <w:rPr>
                <w:vertAlign w:val="superscript"/>
              </w:rPr>
              <w:footnoteReference w:id="2"/>
            </w:r>
            <w:r w:rsidR="00A13EF0" w:rsidRPr="008C5298">
              <w:rPr>
                <w:rFonts w:asciiTheme="minorHAnsi" w:hAnsiTheme="minorHAnsi" w:cstheme="minorHAnsi"/>
                <w:sz w:val="22"/>
                <w:szCs w:val="22"/>
                <w:vertAlign w:val="superscript"/>
                <w:lang w:val="fr-CA" w:eastAsia="en-CA"/>
              </w:rPr>
              <w:t xml:space="preserve"> </w:t>
            </w:r>
            <w:r w:rsidR="00A13EF0" w:rsidRPr="000C7E70">
              <w:rPr>
                <w:rFonts w:asciiTheme="minorHAnsi" w:hAnsiTheme="minorHAnsi" w:cstheme="minorHAnsi"/>
                <w:sz w:val="22"/>
                <w:szCs w:val="22"/>
                <w:lang w:val="fr-CA" w:eastAsia="en-CA"/>
              </w:rPr>
              <w:t>(modification mineure) de la section 3 de l’instrument de délégation financière.</w:t>
            </w:r>
          </w:p>
          <w:p w14:paraId="3F56F4F0" w14:textId="45FFFF49" w:rsidR="001C2828" w:rsidRPr="0030340E" w:rsidDel="0004421F" w:rsidRDefault="00E96990" w:rsidP="0030340E">
            <w:pPr>
              <w:pStyle w:val="Default"/>
              <w:numPr>
                <w:ilvl w:val="0"/>
                <w:numId w:val="25"/>
              </w:numPr>
              <w:autoSpaceDE/>
              <w:autoSpaceDN/>
              <w:adjustRightInd/>
              <w:rPr>
                <w:rFonts w:asciiTheme="minorHAnsi" w:hAnsiTheme="minorHAnsi" w:cstheme="minorHAnsi"/>
                <w:sz w:val="22"/>
                <w:szCs w:val="22"/>
                <w:lang w:val="fr-CA" w:eastAsia="en-CA"/>
              </w:rPr>
            </w:pPr>
            <w:r w:rsidRPr="00F16DA6">
              <w:rPr>
                <w:rFonts w:asciiTheme="minorHAnsi" w:hAnsiTheme="minorHAnsi" w:cstheme="minorHAnsi"/>
                <w:sz w:val="22"/>
                <w:szCs w:val="22"/>
                <w:lang w:val="fr-CA" w:eastAsia="en-CA"/>
              </w:rPr>
              <w:t>Pour plus de détails, vous référer à l’instrument de délégation financière</w:t>
            </w:r>
            <w:r w:rsidRPr="0030340E">
              <w:rPr>
                <w:rFonts w:asciiTheme="minorHAnsi" w:hAnsiTheme="minorHAnsi" w:cstheme="minorHAnsi"/>
                <w:sz w:val="22"/>
                <w:szCs w:val="22"/>
                <w:lang w:val="fr-CA" w:eastAsia="en-CA"/>
              </w:rPr>
              <w:t> :</w:t>
            </w:r>
            <w:r>
              <w:rPr>
                <w:rFonts w:asciiTheme="minorHAnsi" w:hAnsiTheme="minorHAnsi" w:cstheme="minorHAnsi"/>
                <w:sz w:val="22"/>
                <w:szCs w:val="22"/>
                <w:lang w:val="fr-CA" w:eastAsia="en-CA"/>
              </w:rPr>
              <w:t xml:space="preserve"> </w:t>
            </w:r>
            <w:r w:rsidRPr="0030340E">
              <w:rPr>
                <w:rFonts w:asciiTheme="minorHAnsi" w:hAnsiTheme="minorHAnsi" w:cstheme="minorHAnsi"/>
                <w:sz w:val="22"/>
                <w:szCs w:val="22"/>
                <w:lang w:val="fr-CA" w:eastAsia="en-CA"/>
              </w:rPr>
              <w:t>(</w:t>
            </w:r>
            <w:hyperlink r:id="rId16" w:history="1">
              <w:r w:rsidR="001C2828" w:rsidRPr="0030340E">
                <w:rPr>
                  <w:rStyle w:val="Hyperlink"/>
                  <w:rFonts w:asciiTheme="minorHAnsi" w:hAnsiTheme="minorHAnsi" w:cstheme="minorHAnsi"/>
                  <w:sz w:val="22"/>
                  <w:szCs w:val="22"/>
                  <w:lang w:val="fr-CA" w:eastAsia="en-CA"/>
                </w:rPr>
                <w:t>http://iservice.prv/fra/finance/DELEG/2016/programmes_edsc_section3.pdf</w:t>
              </w:r>
            </w:hyperlink>
            <w:r w:rsidR="001C2828" w:rsidRPr="0030340E">
              <w:rPr>
                <w:rFonts w:asciiTheme="minorHAnsi" w:hAnsiTheme="minorHAnsi" w:cstheme="minorHAnsi"/>
                <w:sz w:val="22"/>
                <w:szCs w:val="22"/>
                <w:lang w:val="fr-CA" w:eastAsia="en-CA"/>
              </w:rPr>
              <w:t>).</w:t>
            </w:r>
          </w:p>
        </w:tc>
        <w:tc>
          <w:tcPr>
            <w:tcW w:w="1972" w:type="dxa"/>
          </w:tcPr>
          <w:p w14:paraId="05FF6C57" w14:textId="01EE01F7" w:rsidR="005379DF" w:rsidRPr="0004421F" w:rsidRDefault="00664477" w:rsidP="004E23F7">
            <w:r>
              <w:rPr>
                <w:lang w:val="fr-CA"/>
              </w:rPr>
              <w:t>R</w:t>
            </w:r>
            <w:r w:rsidRPr="000F689D">
              <w:rPr>
                <w:lang w:val="fr-CA"/>
              </w:rPr>
              <w:t>eprésentant</w:t>
            </w:r>
            <w:r>
              <w:t xml:space="preserve"> du SCSC</w:t>
            </w:r>
          </w:p>
        </w:tc>
      </w:tr>
      <w:tr w:rsidR="00A13EF0" w14:paraId="3D1BAA64" w14:textId="77777777" w:rsidTr="00FB1ED9">
        <w:trPr>
          <w:jc w:val="center"/>
        </w:trPr>
        <w:tc>
          <w:tcPr>
            <w:tcW w:w="7521" w:type="dxa"/>
          </w:tcPr>
          <w:p w14:paraId="1F3ADA23" w14:textId="416452CC" w:rsidR="00A13EF0" w:rsidRPr="00FB1ED9" w:rsidRDefault="00A13EF0" w:rsidP="001A524E">
            <w:pPr>
              <w:rPr>
                <w:lang w:val="fr-CA"/>
              </w:rPr>
            </w:pPr>
            <w:r w:rsidRPr="00FB1ED9">
              <w:rPr>
                <w:lang w:val="fr-CA"/>
              </w:rPr>
              <w:t xml:space="preserve">Si le projet dans le SCSC est fermé ou </w:t>
            </w:r>
            <w:r>
              <w:rPr>
                <w:lang w:val="fr-CA"/>
              </w:rPr>
              <w:t xml:space="preserve">si </w:t>
            </w:r>
            <w:r w:rsidRPr="00FB1ED9">
              <w:rPr>
                <w:lang w:val="fr-CA"/>
              </w:rPr>
              <w:t xml:space="preserve">une modification mineure est incluse </w:t>
            </w:r>
            <w:r w:rsidR="001A524E">
              <w:rPr>
                <w:lang w:val="fr-CA"/>
              </w:rPr>
              <w:t>avec</w:t>
            </w:r>
            <w:r w:rsidRPr="00FB1ED9">
              <w:rPr>
                <w:lang w:val="fr-CA"/>
              </w:rPr>
              <w:t xml:space="preserve"> le paiement manuel, le représentant du SCSC doit faire une demande </w:t>
            </w:r>
            <w:r w:rsidR="00825DAA">
              <w:rPr>
                <w:lang w:val="fr-CA"/>
              </w:rPr>
              <w:t>pour mettre à j</w:t>
            </w:r>
            <w:r w:rsidRPr="00FB1ED9">
              <w:rPr>
                <w:lang w:val="fr-CA"/>
              </w:rPr>
              <w:t>our de l’engagement dans SAP auprès d</w:t>
            </w:r>
            <w:r w:rsidR="009F0ECA">
              <w:rPr>
                <w:lang w:val="fr-CA"/>
              </w:rPr>
              <w:t>u CGF de la</w:t>
            </w:r>
            <w:r w:rsidRPr="00FB1ED9">
              <w:rPr>
                <w:lang w:val="fr-CA"/>
              </w:rPr>
              <w:t xml:space="preserve"> DGDPF</w:t>
            </w:r>
            <w:r w:rsidR="009F0ECA">
              <w:rPr>
                <w:lang w:val="fr-CA"/>
              </w:rPr>
              <w:t>.</w:t>
            </w:r>
          </w:p>
        </w:tc>
        <w:tc>
          <w:tcPr>
            <w:tcW w:w="1972" w:type="dxa"/>
          </w:tcPr>
          <w:p w14:paraId="2FCF41CA" w14:textId="42CF6C5E" w:rsidR="00A13EF0" w:rsidRPr="00140230" w:rsidRDefault="00A13EF0" w:rsidP="000F2646">
            <w:r>
              <w:rPr>
                <w:lang w:val="fr-CA"/>
              </w:rPr>
              <w:t>R</w:t>
            </w:r>
            <w:r w:rsidRPr="000F689D">
              <w:rPr>
                <w:lang w:val="fr-CA"/>
              </w:rPr>
              <w:t>eprésentant</w:t>
            </w:r>
            <w:r>
              <w:t xml:space="preserve"> du SCSC</w:t>
            </w:r>
          </w:p>
        </w:tc>
      </w:tr>
      <w:tr w:rsidR="00A13EF0" w14:paraId="70CCE074" w14:textId="77777777" w:rsidTr="00FB1ED9">
        <w:trPr>
          <w:jc w:val="center"/>
        </w:trPr>
        <w:tc>
          <w:tcPr>
            <w:tcW w:w="7521" w:type="dxa"/>
          </w:tcPr>
          <w:p w14:paraId="69648728" w14:textId="4960A8D4" w:rsidR="00A13EF0" w:rsidRPr="00FB1ED9" w:rsidRDefault="00A13EF0" w:rsidP="00825DAA">
            <w:pPr>
              <w:rPr>
                <w:lang w:val="fr-CA"/>
              </w:rPr>
            </w:pPr>
            <w:r w:rsidRPr="00FB1ED9">
              <w:rPr>
                <w:lang w:val="fr-CA"/>
              </w:rPr>
              <w:t>Lorsque requis, le CGF</w:t>
            </w:r>
            <w:r w:rsidR="009F0ECA">
              <w:rPr>
                <w:lang w:val="fr-CA"/>
              </w:rPr>
              <w:t xml:space="preserve"> de la DGDPF</w:t>
            </w:r>
            <w:r w:rsidRPr="00FB1ED9">
              <w:rPr>
                <w:lang w:val="fr-CA"/>
              </w:rPr>
              <w:t xml:space="preserve"> procède </w:t>
            </w:r>
            <w:r w:rsidR="00825DAA">
              <w:rPr>
                <w:lang w:val="fr-CA"/>
              </w:rPr>
              <w:t xml:space="preserve">à un ajustement </w:t>
            </w:r>
            <w:r w:rsidRPr="00FB1ED9">
              <w:rPr>
                <w:lang w:val="fr-CA"/>
              </w:rPr>
              <w:t>de l’engagement dans SAP.</w:t>
            </w:r>
          </w:p>
        </w:tc>
        <w:tc>
          <w:tcPr>
            <w:tcW w:w="1972" w:type="dxa"/>
          </w:tcPr>
          <w:p w14:paraId="50A1F8A6" w14:textId="626A609E" w:rsidR="00A13EF0" w:rsidRPr="00140230" w:rsidRDefault="00A13EF0" w:rsidP="000F2646">
            <w:r>
              <w:rPr>
                <w:lang w:val="fr-CA" w:eastAsia="en-CA"/>
              </w:rPr>
              <w:t>CGF</w:t>
            </w:r>
            <w:r w:rsidR="0016606C">
              <w:rPr>
                <w:lang w:val="fr-CA" w:eastAsia="en-CA"/>
              </w:rPr>
              <w:t xml:space="preserve"> de la DGDPF</w:t>
            </w:r>
          </w:p>
        </w:tc>
      </w:tr>
      <w:tr w:rsidR="00D77216" w:rsidRPr="00D77216" w14:paraId="4A8AD27D" w14:textId="77777777" w:rsidTr="00A13EF0">
        <w:trPr>
          <w:jc w:val="center"/>
        </w:trPr>
        <w:tc>
          <w:tcPr>
            <w:tcW w:w="7521" w:type="dxa"/>
          </w:tcPr>
          <w:p w14:paraId="51EF4E64" w14:textId="58B22772" w:rsidR="00D77216" w:rsidRPr="00106D86" w:rsidRDefault="00D77216" w:rsidP="00D77216">
            <w:pPr>
              <w:rPr>
                <w:lang w:val="fr-CA"/>
              </w:rPr>
            </w:pPr>
            <w:r>
              <w:rPr>
                <w:lang w:val="fr-FR"/>
              </w:rPr>
              <w:t>L</w:t>
            </w:r>
            <w:r w:rsidRPr="00304E5B">
              <w:rPr>
                <w:lang w:val="fr-FR"/>
              </w:rPr>
              <w:t xml:space="preserve">e représentant du SCSC doit valider </w:t>
            </w:r>
            <w:r>
              <w:rPr>
                <w:lang w:val="fr-FR"/>
              </w:rPr>
              <w:t>le formulaire G101</w:t>
            </w:r>
            <w:r w:rsidR="00B3308E">
              <w:rPr>
                <w:lang w:val="fr-FR"/>
              </w:rPr>
              <w:t xml:space="preserve"> complété</w:t>
            </w:r>
            <w:r>
              <w:rPr>
                <w:lang w:val="fr-FR"/>
              </w:rPr>
              <w:t xml:space="preserve"> </w:t>
            </w:r>
            <w:r w:rsidRPr="00304E5B">
              <w:rPr>
                <w:lang w:val="fr-FR"/>
              </w:rPr>
              <w:t xml:space="preserve">auprès du </w:t>
            </w:r>
            <w:r>
              <w:rPr>
                <w:lang w:val="fr-FR"/>
              </w:rPr>
              <w:t>DGOP-</w:t>
            </w:r>
            <w:proofErr w:type="spellStart"/>
            <w:r w:rsidRPr="00304E5B">
              <w:rPr>
                <w:lang w:val="fr-FR"/>
              </w:rPr>
              <w:t>CdE</w:t>
            </w:r>
            <w:proofErr w:type="spellEnd"/>
            <w:r w:rsidRPr="00304E5B">
              <w:rPr>
                <w:lang w:val="fr-FR"/>
              </w:rPr>
              <w:t xml:space="preserve"> en envoyant </w:t>
            </w:r>
            <w:r>
              <w:rPr>
                <w:lang w:val="fr-FR"/>
              </w:rPr>
              <w:t>celui-ci</w:t>
            </w:r>
            <w:r w:rsidRPr="00304E5B">
              <w:rPr>
                <w:lang w:val="fr-FR"/>
              </w:rPr>
              <w:t xml:space="preserve"> à l'adresse courriel suivante : </w:t>
            </w:r>
            <w:hyperlink r:id="rId17" w:history="1">
              <w:r w:rsidRPr="00B3308E">
                <w:rPr>
                  <w:lang w:val="fr-CA"/>
                </w:rPr>
                <w:t>NC-GCCE-CESC-GD</w:t>
              </w:r>
            </w:hyperlink>
            <w:r w:rsidRPr="00D77216">
              <w:rPr>
                <w:lang w:val="fr-FR"/>
              </w:rPr>
              <w:t xml:space="preserve"> </w:t>
            </w:r>
            <w:r w:rsidRPr="00304E5B">
              <w:rPr>
                <w:lang w:val="fr-FR"/>
              </w:rPr>
              <w:t xml:space="preserve">(indiquez dans le sujet « Paiement manuel »). Le paiement ne doit pas être soumis à la DGDPF avant de recevoir une réponse du </w:t>
            </w:r>
            <w:proofErr w:type="spellStart"/>
            <w:r w:rsidRPr="00304E5B">
              <w:rPr>
                <w:lang w:val="fr-FR"/>
              </w:rPr>
              <w:t>CdE</w:t>
            </w:r>
            <w:proofErr w:type="spellEnd"/>
            <w:r w:rsidRPr="00304E5B">
              <w:rPr>
                <w:lang w:val="fr-FR"/>
              </w:rPr>
              <w:t>.</w:t>
            </w:r>
          </w:p>
        </w:tc>
        <w:tc>
          <w:tcPr>
            <w:tcW w:w="1972" w:type="dxa"/>
          </w:tcPr>
          <w:p w14:paraId="649F3395" w14:textId="3A5F102D" w:rsidR="00D77216" w:rsidRDefault="00B3308E" w:rsidP="00D77216">
            <w:pPr>
              <w:rPr>
                <w:lang w:val="fr-CA"/>
              </w:rPr>
            </w:pPr>
            <w:r>
              <w:rPr>
                <w:lang w:val="fr-CA"/>
              </w:rPr>
              <w:t>R</w:t>
            </w:r>
            <w:r w:rsidRPr="000F689D">
              <w:rPr>
                <w:lang w:val="fr-CA"/>
              </w:rPr>
              <w:t>eprésentant</w:t>
            </w:r>
            <w:r>
              <w:t xml:space="preserve"> du SCSC</w:t>
            </w:r>
          </w:p>
        </w:tc>
      </w:tr>
      <w:tr w:rsidR="005379DF" w14:paraId="1977139D" w14:textId="77777777" w:rsidTr="00C635F4">
        <w:trPr>
          <w:trHeight w:val="644"/>
          <w:jc w:val="center"/>
        </w:trPr>
        <w:tc>
          <w:tcPr>
            <w:tcW w:w="7521" w:type="dxa"/>
          </w:tcPr>
          <w:p w14:paraId="2B8C77FD" w14:textId="77777777" w:rsidR="00304E5B" w:rsidRDefault="00106D86" w:rsidP="00A5464F">
            <w:pPr>
              <w:rPr>
                <w:lang w:val="fr-CA"/>
              </w:rPr>
            </w:pPr>
            <w:r w:rsidRPr="00106D86">
              <w:rPr>
                <w:lang w:val="fr-CA"/>
              </w:rPr>
              <w:t xml:space="preserve">Lorsque le </w:t>
            </w:r>
            <w:r w:rsidRPr="00F27987">
              <w:rPr>
                <w:lang w:val="fr-CA"/>
              </w:rPr>
              <w:t>formulaire G101 est signé,</w:t>
            </w:r>
            <w:r w:rsidRPr="00106D86">
              <w:rPr>
                <w:lang w:val="fr-CA"/>
              </w:rPr>
              <w:t xml:space="preserve"> le</w:t>
            </w:r>
            <w:r w:rsidR="00891EF6">
              <w:rPr>
                <w:lang w:val="fr-CA"/>
              </w:rPr>
              <w:t xml:space="preserve"> </w:t>
            </w:r>
            <w:r w:rsidR="00664477">
              <w:rPr>
                <w:lang w:val="fr-CA"/>
              </w:rPr>
              <w:t>représentant</w:t>
            </w:r>
            <w:r w:rsidR="00891EF6">
              <w:rPr>
                <w:lang w:val="fr-CA"/>
              </w:rPr>
              <w:t xml:space="preserve"> du SCSC soumet la</w:t>
            </w:r>
            <w:r w:rsidRPr="00106D86">
              <w:rPr>
                <w:lang w:val="fr-CA"/>
              </w:rPr>
              <w:t xml:space="preserve"> </w:t>
            </w:r>
            <w:r w:rsidRPr="009900EB">
              <w:rPr>
                <w:lang w:val="fr-CA"/>
              </w:rPr>
              <w:t>demande de paiement à la</w:t>
            </w:r>
            <w:r w:rsidR="000550A3">
              <w:rPr>
                <w:lang w:val="fr-CA"/>
              </w:rPr>
              <w:t xml:space="preserve"> DGDPF-CPN via le </w:t>
            </w:r>
            <w:hyperlink r:id="rId18" w:history="1">
              <w:r w:rsidR="000550A3" w:rsidRPr="000E0A64">
                <w:rPr>
                  <w:rStyle w:val="Hyperlink"/>
                  <w:lang w:val="fr-CA"/>
                </w:rPr>
                <w:t xml:space="preserve">catalogue </w:t>
              </w:r>
              <w:proofErr w:type="spellStart"/>
              <w:r w:rsidR="000550A3" w:rsidRPr="000E0A64">
                <w:rPr>
                  <w:rStyle w:val="Hyperlink"/>
                  <w:lang w:val="fr-CA"/>
                </w:rPr>
                <w:t>iService</w:t>
              </w:r>
              <w:proofErr w:type="spellEnd"/>
            </w:hyperlink>
            <w:r w:rsidR="000550A3">
              <w:rPr>
                <w:lang w:val="fr-CA"/>
              </w:rPr>
              <w:t>, en choisissant la catégorie Subvention</w:t>
            </w:r>
            <w:r w:rsidR="00A07D6D">
              <w:rPr>
                <w:lang w:val="fr-CA"/>
              </w:rPr>
              <w:t>s</w:t>
            </w:r>
            <w:r w:rsidR="000550A3">
              <w:rPr>
                <w:lang w:val="fr-CA"/>
              </w:rPr>
              <w:t xml:space="preserve"> et Contributions. </w:t>
            </w:r>
            <w:r w:rsidR="005379DF" w:rsidRPr="00262534">
              <w:rPr>
                <w:lang w:val="fr-CA"/>
              </w:rPr>
              <w:t xml:space="preserve"> </w:t>
            </w:r>
          </w:p>
          <w:p w14:paraId="201E9F0E" w14:textId="09254096" w:rsidR="00E94758" w:rsidRPr="0030340E" w:rsidRDefault="00E94758" w:rsidP="0030340E">
            <w:pPr>
              <w:pStyle w:val="ListParagraph"/>
              <w:numPr>
                <w:ilvl w:val="0"/>
                <w:numId w:val="28"/>
              </w:numPr>
              <w:rPr>
                <w:rFonts w:eastAsia="Calibri" w:cs="Times New Roman"/>
                <w:lang w:val="fr-CA"/>
              </w:rPr>
            </w:pPr>
            <w:r w:rsidRPr="0030340E">
              <w:rPr>
                <w:rFonts w:eastAsia="Calibri" w:cs="Times New Roman"/>
                <w:lang w:val="fr-CA"/>
              </w:rPr>
              <w:t xml:space="preserve">Le représentant du SCSC doit s’assurer de porter une attention particulière au message de fermeture de la demande dans </w:t>
            </w:r>
            <w:proofErr w:type="spellStart"/>
            <w:r w:rsidRPr="0030340E">
              <w:rPr>
                <w:rFonts w:eastAsia="Calibri" w:cs="Times New Roman"/>
                <w:lang w:val="fr-CA"/>
              </w:rPr>
              <w:t>iService</w:t>
            </w:r>
            <w:proofErr w:type="spellEnd"/>
            <w:r w:rsidRPr="0030340E">
              <w:rPr>
                <w:rFonts w:eastAsia="Calibri" w:cs="Times New Roman"/>
                <w:lang w:val="fr-CA"/>
              </w:rPr>
              <w:t xml:space="preserve">. Lorsque DGDPF-CPN reçoit les documents par </w:t>
            </w:r>
            <w:proofErr w:type="spellStart"/>
            <w:r w:rsidRPr="0030340E">
              <w:rPr>
                <w:rFonts w:eastAsia="Calibri" w:cs="Times New Roman"/>
                <w:lang w:val="fr-CA"/>
              </w:rPr>
              <w:t>iService</w:t>
            </w:r>
            <w:proofErr w:type="spellEnd"/>
            <w:r w:rsidRPr="0030340E">
              <w:rPr>
                <w:rFonts w:eastAsia="Calibri" w:cs="Times New Roman"/>
                <w:lang w:val="fr-CA"/>
              </w:rPr>
              <w:t xml:space="preserve">, si les documents ne sont pas conformes ou si certaines informations sont manquantes, le billet sera fermé avec un </w:t>
            </w:r>
            <w:r w:rsidRPr="0030340E">
              <w:rPr>
                <w:rFonts w:eastAsia="Calibri" w:cs="Times New Roman"/>
                <w:lang w:val="fr-CA"/>
              </w:rPr>
              <w:lastRenderedPageBreak/>
              <w:t xml:space="preserve">commentaire sans qu’aucun paiement ne soit émis. Dans ces situations, le représentant du SCSC devra soumettre un nouveau billet.  </w:t>
            </w:r>
          </w:p>
        </w:tc>
        <w:tc>
          <w:tcPr>
            <w:tcW w:w="1972" w:type="dxa"/>
          </w:tcPr>
          <w:p w14:paraId="51C8A537" w14:textId="39797524" w:rsidR="005379DF" w:rsidRPr="0014412E" w:rsidRDefault="00664477" w:rsidP="00D77216">
            <w:r>
              <w:rPr>
                <w:lang w:val="fr-CA"/>
              </w:rPr>
              <w:lastRenderedPageBreak/>
              <w:t>R</w:t>
            </w:r>
            <w:r w:rsidRPr="000F689D">
              <w:rPr>
                <w:lang w:val="fr-CA"/>
              </w:rPr>
              <w:t>eprésentant</w:t>
            </w:r>
            <w:r>
              <w:t xml:space="preserve"> du SCSC</w:t>
            </w:r>
          </w:p>
        </w:tc>
      </w:tr>
      <w:tr w:rsidR="005379DF" w14:paraId="4C6794E6" w14:textId="77777777" w:rsidTr="00A13EF0">
        <w:trPr>
          <w:jc w:val="center"/>
        </w:trPr>
        <w:tc>
          <w:tcPr>
            <w:tcW w:w="7521" w:type="dxa"/>
          </w:tcPr>
          <w:p w14:paraId="08381F57" w14:textId="33F3BBFF" w:rsidR="005379DF" w:rsidRPr="00262534" w:rsidRDefault="00262534" w:rsidP="004E23F7">
            <w:pPr>
              <w:rPr>
                <w:lang w:val="fr-CA"/>
              </w:rPr>
            </w:pPr>
            <w:r w:rsidRPr="00262534">
              <w:rPr>
                <w:lang w:val="fr-CA"/>
              </w:rPr>
              <w:t>DGDPF</w:t>
            </w:r>
            <w:r>
              <w:rPr>
                <w:lang w:val="fr-CA"/>
              </w:rPr>
              <w:t>-</w:t>
            </w:r>
            <w:r w:rsidR="001650BC">
              <w:rPr>
                <w:lang w:val="fr-CA"/>
              </w:rPr>
              <w:t>CPN</w:t>
            </w:r>
            <w:r w:rsidRPr="00262534">
              <w:rPr>
                <w:lang w:val="fr-CA"/>
              </w:rPr>
              <w:t xml:space="preserve"> émet le paiement manuel</w:t>
            </w:r>
            <w:r>
              <w:rPr>
                <w:lang w:val="fr-CA"/>
              </w:rPr>
              <w:t>.</w:t>
            </w:r>
          </w:p>
        </w:tc>
        <w:tc>
          <w:tcPr>
            <w:tcW w:w="1972" w:type="dxa"/>
          </w:tcPr>
          <w:p w14:paraId="6C171403" w14:textId="6F94BE32" w:rsidR="005379DF" w:rsidRPr="0014412E" w:rsidRDefault="00D274E0" w:rsidP="004E23F7">
            <w:r>
              <w:t>DGDPF</w:t>
            </w:r>
            <w:r w:rsidR="007B34EB">
              <w:t>-CPN</w:t>
            </w:r>
          </w:p>
        </w:tc>
      </w:tr>
      <w:tr w:rsidR="005379DF" w14:paraId="08639B00" w14:textId="77777777" w:rsidTr="00A13EF0">
        <w:trPr>
          <w:jc w:val="center"/>
        </w:trPr>
        <w:tc>
          <w:tcPr>
            <w:tcW w:w="7521" w:type="dxa"/>
          </w:tcPr>
          <w:p w14:paraId="3CC82547" w14:textId="4E55F1B9" w:rsidR="005379DF" w:rsidRPr="00664477" w:rsidRDefault="00A07D6D" w:rsidP="004E23F7">
            <w:pPr>
              <w:rPr>
                <w:lang w:val="fr-CA"/>
              </w:rPr>
            </w:pPr>
            <w:r w:rsidRPr="00891EF6">
              <w:rPr>
                <w:lang w:val="fr-CA"/>
              </w:rPr>
              <w:t>DGDPF-</w:t>
            </w:r>
            <w:r w:rsidR="00B71ED5" w:rsidRPr="00891EF6">
              <w:rPr>
                <w:lang w:val="fr-CA"/>
              </w:rPr>
              <w:t xml:space="preserve">CPN </w:t>
            </w:r>
            <w:r w:rsidR="00B71ED5">
              <w:rPr>
                <w:lang w:val="fr-CA"/>
              </w:rPr>
              <w:t>informe</w:t>
            </w:r>
            <w:r>
              <w:rPr>
                <w:lang w:val="fr-CA"/>
              </w:rPr>
              <w:t xml:space="preserve"> l</w:t>
            </w:r>
            <w:r w:rsidR="00891EF6" w:rsidRPr="00891EF6">
              <w:rPr>
                <w:lang w:val="fr-CA"/>
              </w:rPr>
              <w:t xml:space="preserve">e </w:t>
            </w:r>
            <w:r w:rsidR="00664477">
              <w:rPr>
                <w:lang w:val="fr-CA"/>
              </w:rPr>
              <w:t>représentant</w:t>
            </w:r>
            <w:r w:rsidR="00891EF6" w:rsidRPr="00891EF6">
              <w:rPr>
                <w:lang w:val="fr-CA"/>
              </w:rPr>
              <w:t xml:space="preserve"> du SCSC </w:t>
            </w:r>
            <w:r>
              <w:rPr>
                <w:lang w:val="fr-CA"/>
              </w:rPr>
              <w:t>lorsque</w:t>
            </w:r>
            <w:r w:rsidR="007C5FF8">
              <w:rPr>
                <w:lang w:val="fr-CA"/>
              </w:rPr>
              <w:t xml:space="preserve"> le </w:t>
            </w:r>
            <w:r w:rsidR="00891EF6" w:rsidRPr="00891EF6">
              <w:rPr>
                <w:lang w:val="fr-CA"/>
              </w:rPr>
              <w:t xml:space="preserve">paiement est émis </w:t>
            </w:r>
            <w:r w:rsidR="00861BBE">
              <w:rPr>
                <w:lang w:val="fr-CA"/>
              </w:rPr>
              <w:t xml:space="preserve">et </w:t>
            </w:r>
            <w:r w:rsidR="00891EF6" w:rsidRPr="00891EF6">
              <w:rPr>
                <w:lang w:val="fr-CA"/>
              </w:rPr>
              <w:t xml:space="preserve">ferme la demande dans </w:t>
            </w:r>
            <w:proofErr w:type="spellStart"/>
            <w:r w:rsidR="00891EF6" w:rsidRPr="00891EF6">
              <w:rPr>
                <w:lang w:val="fr-CA"/>
              </w:rPr>
              <w:t>iService</w:t>
            </w:r>
            <w:proofErr w:type="spellEnd"/>
            <w:r w:rsidR="00891EF6" w:rsidRPr="00891EF6">
              <w:rPr>
                <w:lang w:val="fr-CA"/>
              </w:rPr>
              <w:t xml:space="preserve"> en fournissant les informations pertinentes relatives au paiement manuel </w:t>
            </w:r>
            <w:r w:rsidR="00891B56">
              <w:rPr>
                <w:lang w:val="fr-CA"/>
              </w:rPr>
              <w:t>(numéro de document SAP</w:t>
            </w:r>
            <w:r w:rsidR="00891EF6" w:rsidRPr="00891EF6">
              <w:rPr>
                <w:lang w:val="fr-CA"/>
              </w:rPr>
              <w:t xml:space="preserve">). </w:t>
            </w:r>
          </w:p>
        </w:tc>
        <w:tc>
          <w:tcPr>
            <w:tcW w:w="1972" w:type="dxa"/>
          </w:tcPr>
          <w:p w14:paraId="654AF9F2" w14:textId="6EB0A4C4" w:rsidR="005379DF" w:rsidRPr="0014412E" w:rsidRDefault="00D274E0" w:rsidP="004E23F7">
            <w:r>
              <w:t>DGDPF</w:t>
            </w:r>
            <w:r w:rsidR="007B34EB">
              <w:t>-CPN</w:t>
            </w:r>
          </w:p>
        </w:tc>
      </w:tr>
      <w:tr w:rsidR="005379DF" w14:paraId="36A357C0" w14:textId="77777777" w:rsidTr="00A13EF0">
        <w:trPr>
          <w:jc w:val="center"/>
        </w:trPr>
        <w:tc>
          <w:tcPr>
            <w:tcW w:w="7521" w:type="dxa"/>
          </w:tcPr>
          <w:p w14:paraId="703DF98F" w14:textId="11176A4C" w:rsidR="005379DF" w:rsidRPr="00B778A5" w:rsidRDefault="00664477" w:rsidP="00B3308E">
            <w:pPr>
              <w:rPr>
                <w:lang w:val="fr-CA"/>
              </w:rPr>
            </w:pPr>
            <w:r>
              <w:rPr>
                <w:lang w:val="fr-CA"/>
              </w:rPr>
              <w:t>Le r</w:t>
            </w:r>
            <w:r w:rsidR="000F689D" w:rsidRPr="000F689D">
              <w:rPr>
                <w:lang w:val="fr-CA"/>
              </w:rPr>
              <w:t>eprésentant du SCSC informe le RGSC des informations relatives au paiement</w:t>
            </w:r>
            <w:r w:rsidR="00B3308E">
              <w:rPr>
                <w:lang w:val="fr-CA"/>
              </w:rPr>
              <w:t>.</w:t>
            </w:r>
          </w:p>
        </w:tc>
        <w:tc>
          <w:tcPr>
            <w:tcW w:w="1972" w:type="dxa"/>
          </w:tcPr>
          <w:p w14:paraId="149BC363" w14:textId="3A66CD7F" w:rsidR="005379DF" w:rsidRPr="0014412E" w:rsidRDefault="00664477" w:rsidP="004E23F7">
            <w:r>
              <w:rPr>
                <w:lang w:val="fr-CA"/>
              </w:rPr>
              <w:t>R</w:t>
            </w:r>
            <w:r w:rsidRPr="000F689D">
              <w:rPr>
                <w:lang w:val="fr-CA"/>
              </w:rPr>
              <w:t>eprésentant</w:t>
            </w:r>
            <w:r w:rsidR="002E6793">
              <w:t xml:space="preserve"> du SCSC</w:t>
            </w:r>
          </w:p>
        </w:tc>
      </w:tr>
      <w:tr w:rsidR="00034F9E" w:rsidRPr="00484D82" w14:paraId="107911B0" w14:textId="77777777" w:rsidTr="00A13EF0">
        <w:tblPrEx>
          <w:jc w:val="left"/>
        </w:tblPrEx>
        <w:tc>
          <w:tcPr>
            <w:tcW w:w="7521" w:type="dxa"/>
          </w:tcPr>
          <w:p w14:paraId="70E33CCA" w14:textId="77777777" w:rsidR="0073371E" w:rsidRPr="007B34EB" w:rsidRDefault="0073371E" w:rsidP="00484D82">
            <w:pPr>
              <w:autoSpaceDE w:val="0"/>
              <w:autoSpaceDN w:val="0"/>
              <w:rPr>
                <w:lang w:val="fr-CA"/>
              </w:rPr>
            </w:pPr>
            <w:r>
              <w:rPr>
                <w:lang w:val="fr-CA"/>
              </w:rPr>
              <w:t>Le RGSC télécharge l’information reliée au formulaire G101 dans le SCSC sous l’onglet « document à l’appui ». Le RGSC informe le représentant du SCSC lorsque la documentation est incluse dans le SCSC.</w:t>
            </w:r>
          </w:p>
        </w:tc>
        <w:tc>
          <w:tcPr>
            <w:tcW w:w="1972" w:type="dxa"/>
          </w:tcPr>
          <w:p w14:paraId="58A01601" w14:textId="77777777" w:rsidR="0073371E" w:rsidRDefault="0073371E" w:rsidP="00484D82">
            <w:pPr>
              <w:rPr>
                <w:lang w:val="fr-CA"/>
              </w:rPr>
            </w:pPr>
            <w:r w:rsidRPr="00225229">
              <w:rPr>
                <w:lang w:val="fr-CA" w:eastAsia="en-CA"/>
              </w:rPr>
              <w:t>RGSC</w:t>
            </w:r>
          </w:p>
        </w:tc>
      </w:tr>
      <w:tr w:rsidR="0073371E" w:rsidRPr="00382D06" w14:paraId="1848235B" w14:textId="77777777" w:rsidTr="00382D06">
        <w:trPr>
          <w:trHeight w:val="1934"/>
          <w:jc w:val="center"/>
        </w:trPr>
        <w:tc>
          <w:tcPr>
            <w:tcW w:w="7521" w:type="dxa"/>
          </w:tcPr>
          <w:p w14:paraId="0FA840F1" w14:textId="77777777" w:rsidR="0073371E" w:rsidRPr="007B34EB" w:rsidRDefault="0073371E" w:rsidP="00484D82">
            <w:pPr>
              <w:autoSpaceDE w:val="0"/>
              <w:autoSpaceDN w:val="0"/>
              <w:rPr>
                <w:lang w:val="fr-CA"/>
              </w:rPr>
            </w:pPr>
            <w:r w:rsidRPr="007B34EB">
              <w:rPr>
                <w:lang w:val="fr-CA"/>
              </w:rPr>
              <w:t xml:space="preserve">Pour les projets ouverts, </w:t>
            </w:r>
            <w:r>
              <w:rPr>
                <w:lang w:val="fr-CA"/>
              </w:rPr>
              <w:t xml:space="preserve">le représentant du SCSC ouvre un billet à </w:t>
            </w:r>
            <w:proofErr w:type="spellStart"/>
            <w:r>
              <w:rPr>
                <w:lang w:val="fr-CA"/>
              </w:rPr>
              <w:t>InfoService</w:t>
            </w:r>
            <w:proofErr w:type="spellEnd"/>
            <w:r>
              <w:rPr>
                <w:lang w:val="fr-CA"/>
              </w:rPr>
              <w:t xml:space="preserve"> National de la Direction général de l’innovation, de l’information et de la technologie (ISN-DGIIT) pour demander</w:t>
            </w:r>
            <w:r w:rsidRPr="007B34EB">
              <w:rPr>
                <w:lang w:val="fr-CA"/>
              </w:rPr>
              <w:t xml:space="preserve"> qu’un ajustement manuel soit fait au même montant dans le SCSC par le biais d’un </w:t>
            </w:r>
            <w:r w:rsidRPr="004809B4">
              <w:rPr>
                <w:lang w:val="fr-CA"/>
              </w:rPr>
              <w:t>correctif des données du SCSC (</w:t>
            </w:r>
            <w:r w:rsidRPr="007B34EB">
              <w:rPr>
                <w:lang w:val="fr-CA"/>
              </w:rPr>
              <w:t xml:space="preserve">“data </w:t>
            </w:r>
            <w:proofErr w:type="spellStart"/>
            <w:r w:rsidRPr="007B34EB">
              <w:rPr>
                <w:lang w:val="fr-CA"/>
              </w:rPr>
              <w:t>fix</w:t>
            </w:r>
            <w:proofErr w:type="spellEnd"/>
            <w:r w:rsidRPr="007B34EB">
              <w:rPr>
                <w:lang w:val="fr-CA"/>
              </w:rPr>
              <w:t>”</w:t>
            </w:r>
            <w:r>
              <w:rPr>
                <w:lang w:val="fr-CA"/>
              </w:rPr>
              <w:t>).</w:t>
            </w:r>
          </w:p>
          <w:p w14:paraId="44D01346" w14:textId="77777777" w:rsidR="0073371E" w:rsidRPr="007B34EB" w:rsidRDefault="0073371E" w:rsidP="00484D82">
            <w:pPr>
              <w:autoSpaceDE w:val="0"/>
              <w:autoSpaceDN w:val="0"/>
              <w:rPr>
                <w:lang w:val="fr-CA"/>
              </w:rPr>
            </w:pPr>
          </w:p>
          <w:p w14:paraId="3D3D7F17" w14:textId="0A683419" w:rsidR="0073371E" w:rsidRPr="00664477" w:rsidRDefault="0073371E" w:rsidP="00484D82">
            <w:pPr>
              <w:rPr>
                <w:lang w:val="fr-CA"/>
              </w:rPr>
            </w:pPr>
            <w:r w:rsidRPr="007B34EB">
              <w:rPr>
                <w:lang w:val="fr-CA"/>
              </w:rPr>
              <w:t xml:space="preserve">Pour les projets fermés, </w:t>
            </w:r>
            <w:r>
              <w:rPr>
                <w:lang w:val="fr-CA"/>
              </w:rPr>
              <w:t xml:space="preserve">le RGSC ajoute </w:t>
            </w:r>
            <w:r w:rsidRPr="007B34EB">
              <w:rPr>
                <w:lang w:val="fr-CA"/>
              </w:rPr>
              <w:t xml:space="preserve">une note dans le SCSC </w:t>
            </w:r>
            <w:r>
              <w:rPr>
                <w:lang w:val="fr-CA"/>
              </w:rPr>
              <w:t>puisqu’il est impossible</w:t>
            </w:r>
            <w:r w:rsidRPr="007B34EB">
              <w:rPr>
                <w:lang w:val="fr-CA"/>
              </w:rPr>
              <w:t xml:space="preserve"> d’effectuer des changem</w:t>
            </w:r>
            <w:r>
              <w:rPr>
                <w:lang w:val="fr-CA"/>
              </w:rPr>
              <w:t>e</w:t>
            </w:r>
            <w:r w:rsidRPr="007B34EB">
              <w:rPr>
                <w:lang w:val="fr-CA"/>
              </w:rPr>
              <w:t xml:space="preserve">nts </w:t>
            </w:r>
            <w:r>
              <w:rPr>
                <w:lang w:val="fr-CA"/>
              </w:rPr>
              <w:t xml:space="preserve">directement </w:t>
            </w:r>
            <w:r w:rsidRPr="007B34EB">
              <w:rPr>
                <w:lang w:val="fr-CA"/>
              </w:rPr>
              <w:t>dans le SCSC.</w:t>
            </w:r>
          </w:p>
        </w:tc>
        <w:tc>
          <w:tcPr>
            <w:tcW w:w="1972" w:type="dxa"/>
          </w:tcPr>
          <w:p w14:paraId="7B416EE4" w14:textId="77777777" w:rsidR="0073371E" w:rsidRPr="00B3308E" w:rsidRDefault="0073371E" w:rsidP="00484D82">
            <w:pPr>
              <w:rPr>
                <w:lang w:val="fr-CA"/>
              </w:rPr>
            </w:pPr>
            <w:r>
              <w:rPr>
                <w:lang w:val="fr-CA"/>
              </w:rPr>
              <w:t>R</w:t>
            </w:r>
            <w:r w:rsidRPr="000F689D">
              <w:rPr>
                <w:lang w:val="fr-CA"/>
              </w:rPr>
              <w:t>eprésentant</w:t>
            </w:r>
            <w:r w:rsidRPr="004D021A">
              <w:rPr>
                <w:lang w:val="fr-CA"/>
              </w:rPr>
              <w:t xml:space="preserve"> du SCSC et RGSC</w:t>
            </w:r>
          </w:p>
        </w:tc>
      </w:tr>
      <w:tr w:rsidR="00034F9E" w:rsidRPr="00382D06" w14:paraId="05C6AAD4" w14:textId="77777777" w:rsidTr="00A13EF0">
        <w:tblPrEx>
          <w:jc w:val="left"/>
        </w:tblPrEx>
        <w:tc>
          <w:tcPr>
            <w:tcW w:w="7521" w:type="dxa"/>
          </w:tcPr>
          <w:p w14:paraId="22811DB9" w14:textId="20AD67BC" w:rsidR="0073371E" w:rsidRPr="005B4BAB" w:rsidRDefault="0073371E" w:rsidP="00D47338">
            <w:pPr>
              <w:rPr>
                <w:lang w:val="fr-CA"/>
              </w:rPr>
            </w:pPr>
            <w:r>
              <w:rPr>
                <w:lang w:val="fr-CA"/>
              </w:rPr>
              <w:t xml:space="preserve">Une fois que l’ajustement (data </w:t>
            </w:r>
            <w:proofErr w:type="spellStart"/>
            <w:r>
              <w:rPr>
                <w:lang w:val="fr-CA"/>
              </w:rPr>
              <w:t>fix</w:t>
            </w:r>
            <w:proofErr w:type="spellEnd"/>
            <w:r>
              <w:rPr>
                <w:lang w:val="fr-CA"/>
              </w:rPr>
              <w:t>) ou la note est complété, le RGSC et le r</w:t>
            </w:r>
            <w:r w:rsidRPr="000F689D">
              <w:rPr>
                <w:lang w:val="fr-CA"/>
              </w:rPr>
              <w:t>eprésentant</w:t>
            </w:r>
            <w:r>
              <w:rPr>
                <w:lang w:val="fr-CA"/>
              </w:rPr>
              <w:t xml:space="preserve"> du SCSC devront s’assurer </w:t>
            </w:r>
            <w:r w:rsidR="00034F9E">
              <w:rPr>
                <w:lang w:val="fr-CA"/>
              </w:rPr>
              <w:t>que ceux-ci sont</w:t>
            </w:r>
            <w:r>
              <w:rPr>
                <w:lang w:val="fr-CA"/>
              </w:rPr>
              <w:t xml:space="preserve"> correctement reflété</w:t>
            </w:r>
            <w:r w:rsidR="00034F9E">
              <w:rPr>
                <w:lang w:val="fr-CA"/>
              </w:rPr>
              <w:t>s</w:t>
            </w:r>
            <w:r>
              <w:rPr>
                <w:lang w:val="fr-CA"/>
              </w:rPr>
              <w:t xml:space="preserve"> dans le SCSC. </w:t>
            </w:r>
          </w:p>
        </w:tc>
        <w:tc>
          <w:tcPr>
            <w:tcW w:w="1972" w:type="dxa"/>
          </w:tcPr>
          <w:p w14:paraId="4E5DF682" w14:textId="6378EA07" w:rsidR="0073371E" w:rsidRPr="00483214" w:rsidRDefault="0073371E" w:rsidP="00484D82">
            <w:pPr>
              <w:rPr>
                <w:lang w:val="fr-CA"/>
              </w:rPr>
            </w:pPr>
            <w:r w:rsidRPr="00483214">
              <w:rPr>
                <w:lang w:val="fr-CA"/>
              </w:rPr>
              <w:t>RGSC</w:t>
            </w:r>
            <w:r>
              <w:rPr>
                <w:lang w:val="fr-CA"/>
              </w:rPr>
              <w:t xml:space="preserve"> et Représentant du SCSC</w:t>
            </w:r>
          </w:p>
        </w:tc>
      </w:tr>
    </w:tbl>
    <w:p w14:paraId="3B986850" w14:textId="3AA8D948" w:rsidR="009E155D" w:rsidRPr="00BB56A0" w:rsidRDefault="009E155D" w:rsidP="004D021A">
      <w:pPr>
        <w:spacing w:after="0"/>
        <w:rPr>
          <w:b/>
          <w:lang w:val="fr-CA" w:eastAsia="en-CA"/>
        </w:rPr>
      </w:pPr>
    </w:p>
    <w:p w14:paraId="532C16E6" w14:textId="1AB57AAF" w:rsidR="00BB56A0" w:rsidRDefault="00BB56A0" w:rsidP="004D021A">
      <w:pPr>
        <w:spacing w:after="0"/>
        <w:rPr>
          <w:b/>
          <w:lang w:val="fr-CA" w:eastAsia="en-CA"/>
        </w:rPr>
      </w:pPr>
    </w:p>
    <w:p w14:paraId="23864FE3" w14:textId="77777777" w:rsidR="00FA0E75" w:rsidRPr="0030340E" w:rsidRDefault="00FA0E75" w:rsidP="00BB56A0">
      <w:pPr>
        <w:pStyle w:val="ListParagraph"/>
        <w:numPr>
          <w:ilvl w:val="0"/>
          <w:numId w:val="25"/>
        </w:numPr>
        <w:rPr>
          <w:b/>
          <w:lang w:val="fr-CA" w:eastAsia="en-CA"/>
        </w:rPr>
        <w:sectPr w:rsidR="00FA0E75" w:rsidRPr="0030340E" w:rsidSect="00023171">
          <w:headerReference w:type="default" r:id="rId19"/>
          <w:footerReference w:type="default" r:id="rId20"/>
          <w:pgSz w:w="12240" w:h="15840"/>
          <w:pgMar w:top="1440" w:right="1440" w:bottom="1440" w:left="1440" w:header="708" w:footer="708" w:gutter="0"/>
          <w:cols w:space="708"/>
          <w:docGrid w:linePitch="360"/>
        </w:sectPr>
      </w:pPr>
    </w:p>
    <w:p w14:paraId="7DDB5EF4" w14:textId="2295F253" w:rsidR="009E155D" w:rsidRPr="00ED37BC" w:rsidRDefault="004627F4" w:rsidP="004D021A">
      <w:pPr>
        <w:spacing w:after="0"/>
        <w:jc w:val="center"/>
        <w:rPr>
          <w:b/>
          <w:sz w:val="24"/>
          <w:szCs w:val="24"/>
          <w:lang w:val="fr-FR" w:eastAsia="en-CA"/>
        </w:rPr>
        <w:sectPr w:rsidR="009E155D" w:rsidRPr="00ED37BC" w:rsidSect="009E155D">
          <w:pgSz w:w="20160" w:h="12240" w:orient="landscape" w:code="5"/>
          <w:pgMar w:top="1440" w:right="1440" w:bottom="1440" w:left="1440" w:header="708" w:footer="708" w:gutter="0"/>
          <w:cols w:space="708"/>
          <w:docGrid w:linePitch="360"/>
        </w:sectPr>
      </w:pPr>
      <w:r>
        <w:rPr>
          <w:b/>
          <w:sz w:val="24"/>
          <w:szCs w:val="24"/>
          <w:lang w:val="fr-CA" w:eastAsia="en-CA"/>
        </w:rPr>
        <w:lastRenderedPageBreak/>
        <w:t>Annexe</w:t>
      </w:r>
      <w:r w:rsidRPr="00D91CD1">
        <w:rPr>
          <w:b/>
          <w:sz w:val="24"/>
          <w:szCs w:val="24"/>
          <w:lang w:val="fr-CA" w:eastAsia="en-CA"/>
        </w:rPr>
        <w:t xml:space="preserve"> </w:t>
      </w:r>
      <w:r>
        <w:rPr>
          <w:b/>
          <w:sz w:val="24"/>
          <w:szCs w:val="24"/>
          <w:lang w:val="fr-CA" w:eastAsia="en-CA"/>
        </w:rPr>
        <w:t>B</w:t>
      </w:r>
      <w:r w:rsidRPr="004627F4">
        <w:rPr>
          <w:b/>
          <w:lang w:val="fr-FR"/>
        </w:rPr>
        <w:t xml:space="preserve"> </w:t>
      </w:r>
      <w:r w:rsidRPr="0011366D">
        <w:rPr>
          <w:b/>
          <w:lang w:val="fr-FR"/>
        </w:rPr>
        <w:t xml:space="preserve">Processus pour les paiements manuels - Organigramme des rôles </w:t>
      </w:r>
      <w:r>
        <w:rPr>
          <w:b/>
          <w:lang w:val="fr-FR"/>
        </w:rPr>
        <w:t>et</w:t>
      </w:r>
      <w:r w:rsidRPr="0011366D">
        <w:rPr>
          <w:b/>
          <w:lang w:val="fr-FR"/>
        </w:rPr>
        <w:t xml:space="preserve"> respons</w:t>
      </w:r>
      <w:r>
        <w:rPr>
          <w:b/>
          <w:lang w:val="fr-FR"/>
        </w:rPr>
        <w:t>a</w:t>
      </w:r>
      <w:r w:rsidRPr="0011366D">
        <w:rPr>
          <w:b/>
          <w:lang w:val="fr-FR"/>
        </w:rPr>
        <w:t>bilit</w:t>
      </w:r>
      <w:r>
        <w:rPr>
          <w:b/>
          <w:lang w:val="fr-FR"/>
        </w:rPr>
        <w:t>és</w:t>
      </w:r>
      <w:r w:rsidR="007D3D72">
        <w:rPr>
          <w:noProof/>
          <w:lang w:eastAsia="en-CA"/>
        </w:rPr>
        <w:drawing>
          <wp:inline distT="0" distB="0" distL="0" distR="0" wp14:anchorId="2BB2A040" wp14:editId="6B66EAE4">
            <wp:extent cx="8824821" cy="504645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41206" cy="5055823"/>
                    </a:xfrm>
                    <a:prstGeom prst="rect">
                      <a:avLst/>
                    </a:prstGeom>
                  </pic:spPr>
                </pic:pic>
              </a:graphicData>
            </a:graphic>
          </wp:inline>
        </w:drawing>
      </w:r>
    </w:p>
    <w:p w14:paraId="64439882" w14:textId="77777777" w:rsidR="009E155D" w:rsidRPr="00D91CD1" w:rsidRDefault="009E155D" w:rsidP="004D021A">
      <w:pPr>
        <w:spacing w:after="0"/>
        <w:jc w:val="center"/>
        <w:rPr>
          <w:b/>
          <w:sz w:val="24"/>
          <w:szCs w:val="24"/>
          <w:lang w:val="fr-CA" w:eastAsia="en-CA"/>
        </w:rPr>
      </w:pPr>
      <w:r>
        <w:rPr>
          <w:b/>
          <w:sz w:val="24"/>
          <w:szCs w:val="24"/>
          <w:lang w:val="fr-CA" w:eastAsia="en-CA"/>
        </w:rPr>
        <w:lastRenderedPageBreak/>
        <w:t>Annexe</w:t>
      </w:r>
      <w:r w:rsidRPr="00D91CD1">
        <w:rPr>
          <w:b/>
          <w:sz w:val="24"/>
          <w:szCs w:val="24"/>
          <w:lang w:val="fr-CA" w:eastAsia="en-CA"/>
        </w:rPr>
        <w:t xml:space="preserve"> </w:t>
      </w:r>
      <w:r>
        <w:rPr>
          <w:b/>
          <w:sz w:val="24"/>
          <w:szCs w:val="24"/>
          <w:lang w:val="fr-CA" w:eastAsia="en-CA"/>
        </w:rPr>
        <w:t>C</w:t>
      </w:r>
    </w:p>
    <w:p w14:paraId="75BC9C96" w14:textId="4999A29F" w:rsidR="00014F0A" w:rsidRDefault="004E7C8A" w:rsidP="004E23F7">
      <w:pPr>
        <w:spacing w:after="0"/>
        <w:jc w:val="center"/>
        <w:rPr>
          <w:b/>
          <w:sz w:val="24"/>
          <w:szCs w:val="24"/>
          <w:lang w:val="fr-CA" w:eastAsia="en-CA"/>
        </w:rPr>
      </w:pPr>
      <w:r>
        <w:rPr>
          <w:b/>
          <w:sz w:val="24"/>
          <w:szCs w:val="24"/>
          <w:lang w:val="fr-CA" w:eastAsia="en-CA"/>
        </w:rPr>
        <w:t>Liste d</w:t>
      </w:r>
      <w:r w:rsidR="00014F0A">
        <w:rPr>
          <w:b/>
          <w:sz w:val="24"/>
          <w:szCs w:val="24"/>
          <w:lang w:val="fr-CA" w:eastAsia="en-CA"/>
        </w:rPr>
        <w:t xml:space="preserve">’exceptions </w:t>
      </w:r>
      <w:r w:rsidR="00FB5833">
        <w:rPr>
          <w:b/>
          <w:sz w:val="24"/>
          <w:szCs w:val="24"/>
          <w:lang w:val="fr-CA" w:eastAsia="en-CA"/>
        </w:rPr>
        <w:t>aux</w:t>
      </w:r>
      <w:r w:rsidR="00014F0A">
        <w:rPr>
          <w:b/>
          <w:sz w:val="24"/>
          <w:szCs w:val="24"/>
          <w:lang w:val="fr-CA" w:eastAsia="en-CA"/>
        </w:rPr>
        <w:t xml:space="preserve"> paiements manuels du SCSC</w:t>
      </w:r>
    </w:p>
    <w:p w14:paraId="04139C6D" w14:textId="77777777" w:rsidR="00014F0A" w:rsidRPr="00D91CD1" w:rsidRDefault="00014F0A" w:rsidP="004E23F7">
      <w:pPr>
        <w:spacing w:after="0"/>
        <w:jc w:val="center"/>
        <w:rPr>
          <w:b/>
          <w:sz w:val="24"/>
          <w:szCs w:val="24"/>
          <w:lang w:val="fr-CA" w:eastAsia="en-CA"/>
        </w:rPr>
      </w:pPr>
    </w:p>
    <w:p w14:paraId="20C23285" w14:textId="7DBE7E53" w:rsidR="003C4A26" w:rsidRPr="00D91CD1" w:rsidRDefault="00A94932" w:rsidP="00D77216">
      <w:pPr>
        <w:pStyle w:val="ListParagraph"/>
        <w:numPr>
          <w:ilvl w:val="0"/>
          <w:numId w:val="20"/>
        </w:numPr>
        <w:rPr>
          <w:lang w:val="fr-CA" w:eastAsia="en-CA"/>
        </w:rPr>
      </w:pPr>
      <w:r>
        <w:rPr>
          <w:lang w:val="fr-CA" w:eastAsia="en-CA"/>
        </w:rPr>
        <w:t xml:space="preserve">Tous les paiements </w:t>
      </w:r>
      <w:r w:rsidR="00D1469F">
        <w:rPr>
          <w:lang w:val="fr-CA" w:eastAsia="en-CA"/>
        </w:rPr>
        <w:t>non reliés aux S&amp;C du ministère</w:t>
      </w:r>
      <w:r>
        <w:rPr>
          <w:lang w:val="fr-CA" w:eastAsia="en-CA"/>
        </w:rPr>
        <w:t>.</w:t>
      </w:r>
    </w:p>
    <w:p w14:paraId="5518D6CE" w14:textId="0E27D712" w:rsidR="0009201E" w:rsidRPr="00D91CD1" w:rsidRDefault="00A94932" w:rsidP="0073371E">
      <w:pPr>
        <w:pStyle w:val="ListParagraph"/>
        <w:numPr>
          <w:ilvl w:val="0"/>
          <w:numId w:val="20"/>
        </w:numPr>
        <w:rPr>
          <w:lang w:val="fr-CA" w:eastAsia="en-CA"/>
        </w:rPr>
      </w:pPr>
      <w:r>
        <w:rPr>
          <w:lang w:val="fr-CA" w:eastAsia="en-CA"/>
        </w:rPr>
        <w:t xml:space="preserve">Paiements aux provinces et aux </w:t>
      </w:r>
      <w:r w:rsidR="00014F0A">
        <w:rPr>
          <w:lang w:val="fr-CA" w:eastAsia="en-CA"/>
        </w:rPr>
        <w:t>territoires</w:t>
      </w:r>
      <w:r w:rsidR="00014F0A" w:rsidRPr="00D91CD1">
        <w:rPr>
          <w:lang w:val="fr-CA" w:eastAsia="en-CA"/>
        </w:rPr>
        <w:t xml:space="preserve"> (</w:t>
      </w:r>
      <w:r w:rsidR="00D1469F">
        <w:rPr>
          <w:lang w:val="fr-CA" w:eastAsia="en-CA"/>
        </w:rPr>
        <w:t>tel</w:t>
      </w:r>
      <w:r w:rsidR="00FB5833">
        <w:rPr>
          <w:lang w:val="fr-CA" w:eastAsia="en-CA"/>
        </w:rPr>
        <w:t>s</w:t>
      </w:r>
      <w:r w:rsidR="00D1469F">
        <w:rPr>
          <w:lang w:val="fr-CA" w:eastAsia="en-CA"/>
        </w:rPr>
        <w:t xml:space="preserve"> que </w:t>
      </w:r>
      <w:r w:rsidR="002D06BD">
        <w:rPr>
          <w:lang w:val="fr-CA" w:eastAsia="en-CA"/>
        </w:rPr>
        <w:t>les ententes sur le développement de la main-d’œuvre, sur l’apprentissage et la garde des jeunes enfants, sur le fonds canadien pour la création d’emplois</w:t>
      </w:r>
      <w:r w:rsidR="007475A6" w:rsidRPr="00D91CD1">
        <w:rPr>
          <w:lang w:val="fr-CA" w:eastAsia="en-CA"/>
        </w:rPr>
        <w:t>)</w:t>
      </w:r>
      <w:r>
        <w:rPr>
          <w:lang w:val="fr-CA" w:eastAsia="en-CA"/>
        </w:rPr>
        <w:t>.</w:t>
      </w:r>
    </w:p>
    <w:p w14:paraId="5E5963B6" w14:textId="04E90C3A" w:rsidR="00B71ED5" w:rsidRDefault="003C1C54">
      <w:pPr>
        <w:pStyle w:val="ListParagraph"/>
        <w:numPr>
          <w:ilvl w:val="0"/>
          <w:numId w:val="20"/>
        </w:numPr>
        <w:rPr>
          <w:lang w:val="fr-CA" w:eastAsia="en-CA"/>
        </w:rPr>
      </w:pPr>
      <w:r w:rsidRPr="00337BEA">
        <w:rPr>
          <w:lang w:val="fr-CA" w:eastAsia="en-CA"/>
        </w:rPr>
        <w:t>Paiements</w:t>
      </w:r>
      <w:r w:rsidR="00E47520" w:rsidRPr="00337BEA">
        <w:rPr>
          <w:lang w:val="fr-CA" w:eastAsia="en-CA"/>
        </w:rPr>
        <w:t xml:space="preserve"> par dépôts</w:t>
      </w:r>
      <w:r w:rsidRPr="00337BEA">
        <w:rPr>
          <w:lang w:val="fr-CA" w:eastAsia="en-CA"/>
        </w:rPr>
        <w:t xml:space="preserve"> directs pour les </w:t>
      </w:r>
      <w:r w:rsidR="006938B9" w:rsidRPr="00337BEA">
        <w:rPr>
          <w:lang w:val="fr-CA" w:eastAsia="en-CA"/>
        </w:rPr>
        <w:t xml:space="preserve">programmes internationaux du </w:t>
      </w:r>
      <w:r w:rsidRPr="00337BEA">
        <w:rPr>
          <w:lang w:val="fr-CA" w:eastAsia="en-CA"/>
        </w:rPr>
        <w:t>travail</w:t>
      </w:r>
      <w:r w:rsidR="00D1469F" w:rsidRPr="00337BEA">
        <w:rPr>
          <w:lang w:val="fr-CA" w:eastAsia="en-CA"/>
        </w:rPr>
        <w:t xml:space="preserve">, étant donné que le </w:t>
      </w:r>
      <w:r w:rsidRPr="00337BEA">
        <w:rPr>
          <w:lang w:val="fr-CA" w:eastAsia="en-CA"/>
        </w:rPr>
        <w:t>SCSC</w:t>
      </w:r>
      <w:r w:rsidR="00747E9C" w:rsidRPr="00337BEA">
        <w:rPr>
          <w:lang w:val="fr-CA" w:eastAsia="en-CA"/>
        </w:rPr>
        <w:t xml:space="preserve"> </w:t>
      </w:r>
      <w:r w:rsidR="00014F0A" w:rsidRPr="00337BEA">
        <w:rPr>
          <w:lang w:val="fr-CA" w:eastAsia="en-CA"/>
        </w:rPr>
        <w:t xml:space="preserve">n’est pas </w:t>
      </w:r>
      <w:r w:rsidRPr="00337BEA">
        <w:rPr>
          <w:lang w:val="fr-CA" w:eastAsia="en-CA"/>
        </w:rPr>
        <w:t>en mesure de traiter les paiements</w:t>
      </w:r>
      <w:r w:rsidR="00E47520" w:rsidRPr="00337BEA">
        <w:rPr>
          <w:lang w:val="fr-CA" w:eastAsia="en-CA"/>
        </w:rPr>
        <w:t xml:space="preserve"> par dépôts</w:t>
      </w:r>
      <w:r w:rsidRPr="00337BEA">
        <w:rPr>
          <w:lang w:val="fr-CA" w:eastAsia="en-CA"/>
        </w:rPr>
        <w:t xml:space="preserve"> directs d’origine internationale</w:t>
      </w:r>
      <w:r w:rsidR="004D021A">
        <w:rPr>
          <w:lang w:val="fr-CA" w:eastAsia="en-CA"/>
        </w:rPr>
        <w:t>.</w:t>
      </w:r>
    </w:p>
    <w:p w14:paraId="723535C6" w14:textId="26245CC1" w:rsidR="003C4A26" w:rsidRPr="00483214" w:rsidRDefault="003C4A26" w:rsidP="00D47338">
      <w:pPr>
        <w:pStyle w:val="ListParagraph"/>
        <w:rPr>
          <w:lang w:val="fr-CA" w:eastAsia="en-CA"/>
        </w:rPr>
      </w:pPr>
    </w:p>
    <w:sectPr w:rsidR="003C4A26" w:rsidRPr="00483214" w:rsidSect="009E155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8942A" w14:textId="77777777" w:rsidR="00CD0A4B" w:rsidRDefault="00CD0A4B" w:rsidP="004F4441">
      <w:pPr>
        <w:spacing w:after="0" w:line="240" w:lineRule="auto"/>
      </w:pPr>
      <w:r>
        <w:separator/>
      </w:r>
    </w:p>
  </w:endnote>
  <w:endnote w:type="continuationSeparator" w:id="0">
    <w:p w14:paraId="51C5C4C1" w14:textId="77777777" w:rsidR="00CD0A4B" w:rsidRDefault="00CD0A4B" w:rsidP="004F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939978"/>
      <w:docPartObj>
        <w:docPartGallery w:val="Page Numbers (Bottom of Page)"/>
        <w:docPartUnique/>
      </w:docPartObj>
    </w:sdtPr>
    <w:sdtEndPr/>
    <w:sdtContent>
      <w:p w14:paraId="3BAFA861" w14:textId="472B7F2A" w:rsidR="00CD0A4B" w:rsidRDefault="00CD0A4B">
        <w:pPr>
          <w:pStyle w:val="Footer"/>
          <w:jc w:val="right"/>
        </w:pPr>
        <w:r>
          <w:fldChar w:fldCharType="begin"/>
        </w:r>
        <w:r>
          <w:instrText>PAGE   \* MERGEFORMAT</w:instrText>
        </w:r>
        <w:r>
          <w:fldChar w:fldCharType="separate"/>
        </w:r>
        <w:r w:rsidR="00382D06" w:rsidRPr="00382D06">
          <w:rPr>
            <w:noProof/>
            <w:lang w:val="fr-FR"/>
          </w:rPr>
          <w:t>7</w:t>
        </w:r>
        <w:r>
          <w:rPr>
            <w:noProof/>
            <w:lang w:val="fr-FR"/>
          </w:rPr>
          <w:fldChar w:fldCharType="end"/>
        </w:r>
      </w:p>
    </w:sdtContent>
  </w:sdt>
  <w:p w14:paraId="5CDB5499" w14:textId="77777777" w:rsidR="00CD0A4B" w:rsidRDefault="00CD0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3E538" w14:textId="77777777" w:rsidR="00CD0A4B" w:rsidRDefault="00CD0A4B" w:rsidP="004F4441">
      <w:pPr>
        <w:spacing w:after="0" w:line="240" w:lineRule="auto"/>
      </w:pPr>
      <w:r>
        <w:separator/>
      </w:r>
    </w:p>
  </w:footnote>
  <w:footnote w:type="continuationSeparator" w:id="0">
    <w:p w14:paraId="318E36FD" w14:textId="77777777" w:rsidR="00CD0A4B" w:rsidRDefault="00CD0A4B" w:rsidP="004F4441">
      <w:pPr>
        <w:spacing w:after="0" w:line="240" w:lineRule="auto"/>
      </w:pPr>
      <w:r>
        <w:continuationSeparator/>
      </w:r>
    </w:p>
  </w:footnote>
  <w:footnote w:id="1">
    <w:p w14:paraId="29CD9FE7" w14:textId="77777777" w:rsidR="00DB21C8" w:rsidRPr="00DB21C8" w:rsidRDefault="00DB21C8" w:rsidP="0030340E">
      <w:pPr>
        <w:spacing w:after="0"/>
        <w:rPr>
          <w:b/>
          <w:i/>
          <w:sz w:val="16"/>
          <w:szCs w:val="16"/>
          <w:lang w:val="fr-CA" w:eastAsia="en-CA"/>
        </w:rPr>
      </w:pPr>
      <w:r w:rsidRPr="00DB21C8">
        <w:rPr>
          <w:rStyle w:val="FootnoteReference"/>
          <w:i/>
          <w:sz w:val="16"/>
          <w:szCs w:val="16"/>
        </w:rPr>
        <w:footnoteRef/>
      </w:r>
      <w:r w:rsidRPr="00DB21C8">
        <w:rPr>
          <w:i/>
          <w:sz w:val="16"/>
          <w:szCs w:val="16"/>
          <w:lang w:val="fr-CA"/>
        </w:rPr>
        <w:t xml:space="preserve"> </w:t>
      </w:r>
      <w:r w:rsidRPr="00DB21C8">
        <w:rPr>
          <w:rFonts w:cstheme="minorHAnsi"/>
          <w:b/>
          <w:i/>
          <w:sz w:val="16"/>
          <w:szCs w:val="16"/>
          <w:lang w:val="fr-CA"/>
        </w:rPr>
        <w:t>Mineure</w:t>
      </w:r>
      <w:r w:rsidRPr="00DB21C8">
        <w:rPr>
          <w:rFonts w:cstheme="minorHAnsi"/>
          <w:i/>
          <w:sz w:val="16"/>
          <w:szCs w:val="16"/>
          <w:lang w:val="fr-CA"/>
        </w:rPr>
        <w:t xml:space="preserve"> :  la valeur cumulée des modifications est inférieure à 25% du dernier montant approuvé de l’entente par la colonne A. Une modification mineure peut être approuvée par l’autorité déléguée appropriée de la colonne B pour la valeur totale de l’entente modifiée.</w:t>
      </w:r>
    </w:p>
    <w:p w14:paraId="5A7E8D0A" w14:textId="41094639" w:rsidR="00DB21C8" w:rsidRPr="00DB21C8" w:rsidRDefault="00DB21C8" w:rsidP="00F16DA6">
      <w:pPr>
        <w:pStyle w:val="FootnoteText"/>
        <w:rPr>
          <w:i/>
          <w:sz w:val="16"/>
          <w:szCs w:val="16"/>
          <w:lang w:val="fr-CA"/>
        </w:rPr>
      </w:pPr>
    </w:p>
  </w:footnote>
  <w:footnote w:id="2">
    <w:p w14:paraId="306C9B71" w14:textId="77777777" w:rsidR="00DB21C8" w:rsidRPr="00DB21C8" w:rsidRDefault="00DB21C8" w:rsidP="0030340E">
      <w:pPr>
        <w:spacing w:after="0"/>
        <w:rPr>
          <w:b/>
          <w:i/>
          <w:sz w:val="16"/>
          <w:szCs w:val="16"/>
          <w:lang w:val="fr-CA" w:eastAsia="en-CA"/>
        </w:rPr>
      </w:pPr>
      <w:r w:rsidRPr="00DB21C8">
        <w:rPr>
          <w:rStyle w:val="FootnoteReference"/>
          <w:i/>
          <w:sz w:val="16"/>
          <w:szCs w:val="16"/>
        </w:rPr>
        <w:footnoteRef/>
      </w:r>
      <w:r w:rsidRPr="00DB21C8">
        <w:rPr>
          <w:i/>
          <w:sz w:val="16"/>
          <w:szCs w:val="16"/>
          <w:lang w:val="fr-CA"/>
        </w:rPr>
        <w:t xml:space="preserve"> </w:t>
      </w:r>
      <w:r w:rsidRPr="00DB21C8">
        <w:rPr>
          <w:b/>
          <w:i/>
          <w:sz w:val="16"/>
          <w:szCs w:val="16"/>
          <w:lang w:val="fr-CA" w:eastAsia="en-CA"/>
        </w:rPr>
        <w:t xml:space="preserve">« Colonne B » - B.  </w:t>
      </w:r>
      <w:r w:rsidRPr="00DB21C8">
        <w:rPr>
          <w:b/>
          <w:bCs/>
          <w:i/>
          <w:sz w:val="16"/>
          <w:szCs w:val="16"/>
          <w:lang w:val="fr-CA"/>
        </w:rPr>
        <w:t xml:space="preserve">Signature d’ententes / Modification mineure : </w:t>
      </w:r>
      <w:r w:rsidRPr="00DB21C8">
        <w:rPr>
          <w:i/>
          <w:sz w:val="16"/>
          <w:szCs w:val="16"/>
          <w:lang w:val="fr-CA"/>
        </w:rPr>
        <w:t>Toutes les ententes de financement entre le ministère et le bénéficiaire d’une subvention ou d’une contribution doivent être signées par une personne investie du pouvoir délégué en vertu de la colonne B de l’instrument de délégation. La signature d’une entente par le ministère ne peut se faire qu’une fois la demande/proposition approuvée par la personne compétente investie du pouvoir délégué. Les modifications mineures décrites ci-dessous peuvent aussi être approuvées conformément aux indications de la colonne B de l’instrument de délégation</w:t>
      </w:r>
      <w:r w:rsidRPr="00DB21C8">
        <w:rPr>
          <w:rFonts w:cstheme="minorHAnsi"/>
          <w:i/>
          <w:sz w:val="16"/>
          <w:szCs w:val="16"/>
          <w:lang w:val="fr-CA"/>
        </w:rPr>
        <w:t>.</w:t>
      </w:r>
    </w:p>
    <w:p w14:paraId="5F11705B" w14:textId="7B5FCE21" w:rsidR="00DB21C8" w:rsidRPr="00DB21C8" w:rsidRDefault="00DB21C8">
      <w:pPr>
        <w:pStyle w:val="FootnoteText"/>
        <w:rPr>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BF992" w14:textId="1AA407E8" w:rsidR="00CD0A4B" w:rsidRDefault="00C33A17" w:rsidP="00DF7816">
    <w:pPr>
      <w:pStyle w:val="Header"/>
      <w:jc w:val="center"/>
      <w:rPr>
        <w:b/>
        <w:sz w:val="24"/>
        <w:szCs w:val="24"/>
        <w:lang w:val="fr-CA"/>
      </w:rPr>
    </w:pPr>
    <w:r>
      <w:rPr>
        <w:b/>
        <w:sz w:val="24"/>
        <w:szCs w:val="24"/>
        <w:lang w:val="fr-CA"/>
      </w:rPr>
      <w:t>Approbation des</w:t>
    </w:r>
    <w:r w:rsidR="00CD0A4B" w:rsidRPr="00815AC9">
      <w:rPr>
        <w:b/>
        <w:sz w:val="24"/>
        <w:szCs w:val="24"/>
        <w:lang w:val="fr-CA"/>
      </w:rPr>
      <w:t xml:space="preserve"> </w:t>
    </w:r>
    <w:r w:rsidR="00CD0A4B">
      <w:rPr>
        <w:b/>
        <w:sz w:val="24"/>
        <w:szCs w:val="24"/>
        <w:lang w:val="fr-CA"/>
      </w:rPr>
      <w:t>paiements manuels de</w:t>
    </w:r>
    <w:r w:rsidR="00CD0A4B">
      <w:rPr>
        <w:b/>
        <w:sz w:val="24"/>
        <w:szCs w:val="24"/>
        <w:lang w:val="fr-CA"/>
      </w:rPr>
      <w:br/>
      <w:t>S et C non traités par le SCSC</w:t>
    </w:r>
  </w:p>
  <w:p w14:paraId="2F12144E" w14:textId="6E564B54" w:rsidR="00CD0A4B" w:rsidRDefault="00CD0A4B" w:rsidP="00DF7816">
    <w:pPr>
      <w:pStyle w:val="Header"/>
      <w:jc w:val="center"/>
      <w:rPr>
        <w:b/>
        <w:sz w:val="24"/>
        <w:szCs w:val="24"/>
        <w:lang w:val="fr-CA"/>
      </w:rPr>
    </w:pPr>
    <w:r>
      <w:rPr>
        <w:b/>
        <w:sz w:val="24"/>
        <w:szCs w:val="24"/>
        <w:lang w:val="fr-CA"/>
      </w:rPr>
      <w:t>Processus étapes-par-étapes</w:t>
    </w:r>
  </w:p>
  <w:p w14:paraId="7F94D830" w14:textId="77777777" w:rsidR="00F005DC" w:rsidRDefault="00F005DC" w:rsidP="00B71ED5">
    <w:pPr>
      <w:pStyle w:val="Header"/>
      <w:pBdr>
        <w:bottom w:val="single" w:sz="4" w:space="1" w:color="auto"/>
      </w:pBdr>
      <w:jc w:val="center"/>
      <w:rPr>
        <w:b/>
        <w:sz w:val="24"/>
        <w:szCs w:val="24"/>
        <w:lang w:val="fr-CA"/>
      </w:rPr>
    </w:pPr>
  </w:p>
  <w:p w14:paraId="63A1CC00" w14:textId="288B5494" w:rsidR="00CD0A4B" w:rsidRDefault="00CD0A4B" w:rsidP="00DF7816">
    <w:pPr>
      <w:pStyle w:val="Header"/>
      <w:jc w:val="center"/>
      <w:rPr>
        <w:b/>
        <w:sz w:val="24"/>
        <w:szCs w:val="24"/>
        <w:lang w:val="fr-CA"/>
      </w:rPr>
    </w:pPr>
  </w:p>
  <w:p w14:paraId="04386984" w14:textId="77777777" w:rsidR="00F005DC" w:rsidRPr="00815AC9" w:rsidRDefault="00F005DC" w:rsidP="00DF7816">
    <w:pPr>
      <w:pStyle w:val="Header"/>
      <w:jc w:val="center"/>
      <w:rPr>
        <w:b/>
        <w:sz w:val="24"/>
        <w:szCs w:val="24"/>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0EC0AAE"/>
    <w:multiLevelType w:val="hybridMultilevel"/>
    <w:tmpl w:val="CBBC63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AC1908"/>
    <w:multiLevelType w:val="hybridMultilevel"/>
    <w:tmpl w:val="2D9E8458"/>
    <w:lvl w:ilvl="0" w:tplc="A5E27A34">
      <w:numFmt w:val="bullet"/>
      <w:lvlText w:val="-"/>
      <w:lvlJc w:val="left"/>
      <w:pPr>
        <w:ind w:left="1080" w:hanging="360"/>
      </w:pPr>
      <w:rPr>
        <w:rFonts w:ascii="Calibri" w:eastAsiaTheme="minorHAnsi" w:hAnsi="Calibri" w:cs="Calibri" w:hint="default"/>
      </w:rPr>
    </w:lvl>
    <w:lvl w:ilvl="1" w:tplc="10090005">
      <w:start w:val="1"/>
      <w:numFmt w:val="bullet"/>
      <w:lvlText w:val=""/>
      <w:lvlJc w:val="left"/>
      <w:pPr>
        <w:ind w:left="1800" w:hanging="360"/>
      </w:pPr>
      <w:rPr>
        <w:rFonts w:ascii="Wingdings" w:hAnsi="Wingdings" w:hint="default"/>
      </w:rPr>
    </w:lvl>
    <w:lvl w:ilvl="2" w:tplc="10090001">
      <w:start w:val="1"/>
      <w:numFmt w:val="bullet"/>
      <w:lvlText w:val=""/>
      <w:lvlJc w:val="left"/>
      <w:pPr>
        <w:ind w:left="2520" w:hanging="360"/>
      </w:pPr>
      <w:rPr>
        <w:rFonts w:ascii="Symbol" w:hAnsi="Symbol"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23368B"/>
    <w:multiLevelType w:val="hybridMultilevel"/>
    <w:tmpl w:val="ECB0AF8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58556C"/>
    <w:multiLevelType w:val="hybridMultilevel"/>
    <w:tmpl w:val="CFFA34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FD0CC7"/>
    <w:multiLevelType w:val="hybridMultilevel"/>
    <w:tmpl w:val="B49C47E8"/>
    <w:lvl w:ilvl="0" w:tplc="04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A817C31"/>
    <w:multiLevelType w:val="hybridMultilevel"/>
    <w:tmpl w:val="940C19B8"/>
    <w:lvl w:ilvl="0" w:tplc="FF6A15F8">
      <w:start w:val="1"/>
      <w:numFmt w:val="bullet"/>
      <w:lvlText w:val=""/>
      <w:lvlJc w:val="left"/>
      <w:pPr>
        <w:tabs>
          <w:tab w:val="num" w:pos="720"/>
        </w:tabs>
        <w:ind w:left="720" w:hanging="360"/>
      </w:pPr>
      <w:rPr>
        <w:rFonts w:ascii="Wingdings" w:hAnsi="Wingdings" w:hint="default"/>
      </w:rPr>
    </w:lvl>
    <w:lvl w:ilvl="1" w:tplc="178A5250">
      <w:start w:val="1814"/>
      <w:numFmt w:val="bullet"/>
      <w:lvlText w:val="–"/>
      <w:lvlJc w:val="left"/>
      <w:pPr>
        <w:tabs>
          <w:tab w:val="num" w:pos="1440"/>
        </w:tabs>
        <w:ind w:left="1440" w:hanging="360"/>
      </w:pPr>
      <w:rPr>
        <w:rFonts w:ascii="Times New Roman" w:hAnsi="Times New Roman" w:hint="default"/>
      </w:rPr>
    </w:lvl>
    <w:lvl w:ilvl="2" w:tplc="17068C6A" w:tentative="1">
      <w:start w:val="1"/>
      <w:numFmt w:val="bullet"/>
      <w:lvlText w:val=""/>
      <w:lvlJc w:val="left"/>
      <w:pPr>
        <w:tabs>
          <w:tab w:val="num" w:pos="2160"/>
        </w:tabs>
        <w:ind w:left="2160" w:hanging="360"/>
      </w:pPr>
      <w:rPr>
        <w:rFonts w:ascii="Wingdings" w:hAnsi="Wingdings" w:hint="default"/>
      </w:rPr>
    </w:lvl>
    <w:lvl w:ilvl="3" w:tplc="5BA0A706" w:tentative="1">
      <w:start w:val="1"/>
      <w:numFmt w:val="bullet"/>
      <w:lvlText w:val=""/>
      <w:lvlJc w:val="left"/>
      <w:pPr>
        <w:tabs>
          <w:tab w:val="num" w:pos="2880"/>
        </w:tabs>
        <w:ind w:left="2880" w:hanging="360"/>
      </w:pPr>
      <w:rPr>
        <w:rFonts w:ascii="Wingdings" w:hAnsi="Wingdings" w:hint="default"/>
      </w:rPr>
    </w:lvl>
    <w:lvl w:ilvl="4" w:tplc="2B4A0BC6" w:tentative="1">
      <w:start w:val="1"/>
      <w:numFmt w:val="bullet"/>
      <w:lvlText w:val=""/>
      <w:lvlJc w:val="left"/>
      <w:pPr>
        <w:tabs>
          <w:tab w:val="num" w:pos="3600"/>
        </w:tabs>
        <w:ind w:left="3600" w:hanging="360"/>
      </w:pPr>
      <w:rPr>
        <w:rFonts w:ascii="Wingdings" w:hAnsi="Wingdings" w:hint="default"/>
      </w:rPr>
    </w:lvl>
    <w:lvl w:ilvl="5" w:tplc="EEF6042C" w:tentative="1">
      <w:start w:val="1"/>
      <w:numFmt w:val="bullet"/>
      <w:lvlText w:val=""/>
      <w:lvlJc w:val="left"/>
      <w:pPr>
        <w:tabs>
          <w:tab w:val="num" w:pos="4320"/>
        </w:tabs>
        <w:ind w:left="4320" w:hanging="360"/>
      </w:pPr>
      <w:rPr>
        <w:rFonts w:ascii="Wingdings" w:hAnsi="Wingdings" w:hint="default"/>
      </w:rPr>
    </w:lvl>
    <w:lvl w:ilvl="6" w:tplc="875AF352" w:tentative="1">
      <w:start w:val="1"/>
      <w:numFmt w:val="bullet"/>
      <w:lvlText w:val=""/>
      <w:lvlJc w:val="left"/>
      <w:pPr>
        <w:tabs>
          <w:tab w:val="num" w:pos="5040"/>
        </w:tabs>
        <w:ind w:left="5040" w:hanging="360"/>
      </w:pPr>
      <w:rPr>
        <w:rFonts w:ascii="Wingdings" w:hAnsi="Wingdings" w:hint="default"/>
      </w:rPr>
    </w:lvl>
    <w:lvl w:ilvl="7" w:tplc="4BF095C6" w:tentative="1">
      <w:start w:val="1"/>
      <w:numFmt w:val="bullet"/>
      <w:lvlText w:val=""/>
      <w:lvlJc w:val="left"/>
      <w:pPr>
        <w:tabs>
          <w:tab w:val="num" w:pos="5760"/>
        </w:tabs>
        <w:ind w:left="5760" w:hanging="360"/>
      </w:pPr>
      <w:rPr>
        <w:rFonts w:ascii="Wingdings" w:hAnsi="Wingdings" w:hint="default"/>
      </w:rPr>
    </w:lvl>
    <w:lvl w:ilvl="8" w:tplc="6AEE9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10B76"/>
    <w:multiLevelType w:val="hybridMultilevel"/>
    <w:tmpl w:val="AB86AEC6"/>
    <w:lvl w:ilvl="0" w:tplc="1DF83CF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4812B1"/>
    <w:multiLevelType w:val="hybridMultilevel"/>
    <w:tmpl w:val="B21C8E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8F635A"/>
    <w:multiLevelType w:val="hybridMultilevel"/>
    <w:tmpl w:val="7FEC218C"/>
    <w:lvl w:ilvl="0" w:tplc="E064F514">
      <w:numFmt w:val="bullet"/>
      <w:lvlText w:val="-"/>
      <w:lvlJc w:val="left"/>
      <w:pPr>
        <w:ind w:left="1440" w:hanging="360"/>
      </w:pPr>
      <w:rPr>
        <w:rFonts w:ascii="Calibri" w:eastAsiaTheme="minorHAnsi" w:hAnsi="Calibri" w:cs="Calibri"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39A088B"/>
    <w:multiLevelType w:val="hybridMultilevel"/>
    <w:tmpl w:val="D0EEDBE2"/>
    <w:lvl w:ilvl="0" w:tplc="1DF83CFE">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26BA746C"/>
    <w:multiLevelType w:val="hybridMultilevel"/>
    <w:tmpl w:val="3FE480C4"/>
    <w:lvl w:ilvl="0" w:tplc="78605BD6">
      <w:start w:val="1"/>
      <w:numFmt w:val="bullet"/>
      <w:lvlText w:val="–"/>
      <w:lvlJc w:val="left"/>
      <w:pPr>
        <w:tabs>
          <w:tab w:val="num" w:pos="720"/>
        </w:tabs>
        <w:ind w:left="720" w:hanging="360"/>
      </w:pPr>
      <w:rPr>
        <w:rFonts w:ascii="Times New Roman" w:hAnsi="Times New Roman" w:hint="default"/>
      </w:rPr>
    </w:lvl>
    <w:lvl w:ilvl="1" w:tplc="779AE9F8">
      <w:start w:val="1"/>
      <w:numFmt w:val="bullet"/>
      <w:lvlText w:val="–"/>
      <w:lvlJc w:val="left"/>
      <w:pPr>
        <w:tabs>
          <w:tab w:val="num" w:pos="1440"/>
        </w:tabs>
        <w:ind w:left="1440" w:hanging="360"/>
      </w:pPr>
      <w:rPr>
        <w:rFonts w:ascii="Times New Roman" w:hAnsi="Times New Roman" w:hint="default"/>
      </w:rPr>
    </w:lvl>
    <w:lvl w:ilvl="2" w:tplc="5B0C7332" w:tentative="1">
      <w:start w:val="1"/>
      <w:numFmt w:val="bullet"/>
      <w:lvlText w:val="–"/>
      <w:lvlJc w:val="left"/>
      <w:pPr>
        <w:tabs>
          <w:tab w:val="num" w:pos="2160"/>
        </w:tabs>
        <w:ind w:left="2160" w:hanging="360"/>
      </w:pPr>
      <w:rPr>
        <w:rFonts w:ascii="Times New Roman" w:hAnsi="Times New Roman" w:hint="default"/>
      </w:rPr>
    </w:lvl>
    <w:lvl w:ilvl="3" w:tplc="CDE8C41C" w:tentative="1">
      <w:start w:val="1"/>
      <w:numFmt w:val="bullet"/>
      <w:lvlText w:val="–"/>
      <w:lvlJc w:val="left"/>
      <w:pPr>
        <w:tabs>
          <w:tab w:val="num" w:pos="2880"/>
        </w:tabs>
        <w:ind w:left="2880" w:hanging="360"/>
      </w:pPr>
      <w:rPr>
        <w:rFonts w:ascii="Times New Roman" w:hAnsi="Times New Roman" w:hint="default"/>
      </w:rPr>
    </w:lvl>
    <w:lvl w:ilvl="4" w:tplc="035423AC" w:tentative="1">
      <w:start w:val="1"/>
      <w:numFmt w:val="bullet"/>
      <w:lvlText w:val="–"/>
      <w:lvlJc w:val="left"/>
      <w:pPr>
        <w:tabs>
          <w:tab w:val="num" w:pos="3600"/>
        </w:tabs>
        <w:ind w:left="3600" w:hanging="360"/>
      </w:pPr>
      <w:rPr>
        <w:rFonts w:ascii="Times New Roman" w:hAnsi="Times New Roman" w:hint="default"/>
      </w:rPr>
    </w:lvl>
    <w:lvl w:ilvl="5" w:tplc="D58AB1AA" w:tentative="1">
      <w:start w:val="1"/>
      <w:numFmt w:val="bullet"/>
      <w:lvlText w:val="–"/>
      <w:lvlJc w:val="left"/>
      <w:pPr>
        <w:tabs>
          <w:tab w:val="num" w:pos="4320"/>
        </w:tabs>
        <w:ind w:left="4320" w:hanging="360"/>
      </w:pPr>
      <w:rPr>
        <w:rFonts w:ascii="Times New Roman" w:hAnsi="Times New Roman" w:hint="default"/>
      </w:rPr>
    </w:lvl>
    <w:lvl w:ilvl="6" w:tplc="338CEB40" w:tentative="1">
      <w:start w:val="1"/>
      <w:numFmt w:val="bullet"/>
      <w:lvlText w:val="–"/>
      <w:lvlJc w:val="left"/>
      <w:pPr>
        <w:tabs>
          <w:tab w:val="num" w:pos="5040"/>
        </w:tabs>
        <w:ind w:left="5040" w:hanging="360"/>
      </w:pPr>
      <w:rPr>
        <w:rFonts w:ascii="Times New Roman" w:hAnsi="Times New Roman" w:hint="default"/>
      </w:rPr>
    </w:lvl>
    <w:lvl w:ilvl="7" w:tplc="7870D94C" w:tentative="1">
      <w:start w:val="1"/>
      <w:numFmt w:val="bullet"/>
      <w:lvlText w:val="–"/>
      <w:lvlJc w:val="left"/>
      <w:pPr>
        <w:tabs>
          <w:tab w:val="num" w:pos="5760"/>
        </w:tabs>
        <w:ind w:left="5760" w:hanging="360"/>
      </w:pPr>
      <w:rPr>
        <w:rFonts w:ascii="Times New Roman" w:hAnsi="Times New Roman" w:hint="default"/>
      </w:rPr>
    </w:lvl>
    <w:lvl w:ilvl="8" w:tplc="B3A43D2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B07031"/>
    <w:multiLevelType w:val="hybridMultilevel"/>
    <w:tmpl w:val="A6CED5FE"/>
    <w:lvl w:ilvl="0" w:tplc="2DF6ADD8">
      <w:start w:val="1"/>
      <w:numFmt w:val="bullet"/>
      <w:lvlText w:val="•"/>
      <w:lvlJc w:val="left"/>
      <w:pPr>
        <w:tabs>
          <w:tab w:val="num" w:pos="720"/>
        </w:tabs>
        <w:ind w:left="720" w:hanging="360"/>
      </w:pPr>
      <w:rPr>
        <w:rFonts w:ascii="Times New Roman" w:hAnsi="Times New Roman" w:hint="default"/>
      </w:rPr>
    </w:lvl>
    <w:lvl w:ilvl="1" w:tplc="BDD897F4" w:tentative="1">
      <w:start w:val="1"/>
      <w:numFmt w:val="bullet"/>
      <w:lvlText w:val="•"/>
      <w:lvlJc w:val="left"/>
      <w:pPr>
        <w:tabs>
          <w:tab w:val="num" w:pos="1440"/>
        </w:tabs>
        <w:ind w:left="1440" w:hanging="360"/>
      </w:pPr>
      <w:rPr>
        <w:rFonts w:ascii="Times New Roman" w:hAnsi="Times New Roman" w:hint="default"/>
      </w:rPr>
    </w:lvl>
    <w:lvl w:ilvl="2" w:tplc="F654BDEC">
      <w:start w:val="1"/>
      <w:numFmt w:val="bullet"/>
      <w:lvlText w:val="•"/>
      <w:lvlJc w:val="left"/>
      <w:pPr>
        <w:tabs>
          <w:tab w:val="num" w:pos="2160"/>
        </w:tabs>
        <w:ind w:left="2160" w:hanging="360"/>
      </w:pPr>
      <w:rPr>
        <w:rFonts w:ascii="Times New Roman" w:hAnsi="Times New Roman" w:hint="default"/>
      </w:rPr>
    </w:lvl>
    <w:lvl w:ilvl="3" w:tplc="7BF6ECC4" w:tentative="1">
      <w:start w:val="1"/>
      <w:numFmt w:val="bullet"/>
      <w:lvlText w:val="•"/>
      <w:lvlJc w:val="left"/>
      <w:pPr>
        <w:tabs>
          <w:tab w:val="num" w:pos="2880"/>
        </w:tabs>
        <w:ind w:left="2880" w:hanging="360"/>
      </w:pPr>
      <w:rPr>
        <w:rFonts w:ascii="Times New Roman" w:hAnsi="Times New Roman" w:hint="default"/>
      </w:rPr>
    </w:lvl>
    <w:lvl w:ilvl="4" w:tplc="A72840E6" w:tentative="1">
      <w:start w:val="1"/>
      <w:numFmt w:val="bullet"/>
      <w:lvlText w:val="•"/>
      <w:lvlJc w:val="left"/>
      <w:pPr>
        <w:tabs>
          <w:tab w:val="num" w:pos="3600"/>
        </w:tabs>
        <w:ind w:left="3600" w:hanging="360"/>
      </w:pPr>
      <w:rPr>
        <w:rFonts w:ascii="Times New Roman" w:hAnsi="Times New Roman" w:hint="default"/>
      </w:rPr>
    </w:lvl>
    <w:lvl w:ilvl="5" w:tplc="2452B996" w:tentative="1">
      <w:start w:val="1"/>
      <w:numFmt w:val="bullet"/>
      <w:lvlText w:val="•"/>
      <w:lvlJc w:val="left"/>
      <w:pPr>
        <w:tabs>
          <w:tab w:val="num" w:pos="4320"/>
        </w:tabs>
        <w:ind w:left="4320" w:hanging="360"/>
      </w:pPr>
      <w:rPr>
        <w:rFonts w:ascii="Times New Roman" w:hAnsi="Times New Roman" w:hint="default"/>
      </w:rPr>
    </w:lvl>
    <w:lvl w:ilvl="6" w:tplc="4D343B8E" w:tentative="1">
      <w:start w:val="1"/>
      <w:numFmt w:val="bullet"/>
      <w:lvlText w:val="•"/>
      <w:lvlJc w:val="left"/>
      <w:pPr>
        <w:tabs>
          <w:tab w:val="num" w:pos="5040"/>
        </w:tabs>
        <w:ind w:left="5040" w:hanging="360"/>
      </w:pPr>
      <w:rPr>
        <w:rFonts w:ascii="Times New Roman" w:hAnsi="Times New Roman" w:hint="default"/>
      </w:rPr>
    </w:lvl>
    <w:lvl w:ilvl="7" w:tplc="42144D3A" w:tentative="1">
      <w:start w:val="1"/>
      <w:numFmt w:val="bullet"/>
      <w:lvlText w:val="•"/>
      <w:lvlJc w:val="left"/>
      <w:pPr>
        <w:tabs>
          <w:tab w:val="num" w:pos="5760"/>
        </w:tabs>
        <w:ind w:left="5760" w:hanging="360"/>
      </w:pPr>
      <w:rPr>
        <w:rFonts w:ascii="Times New Roman" w:hAnsi="Times New Roman" w:hint="default"/>
      </w:rPr>
    </w:lvl>
    <w:lvl w:ilvl="8" w:tplc="14E6254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1D3AAE"/>
    <w:multiLevelType w:val="hybridMultilevel"/>
    <w:tmpl w:val="F24022D8"/>
    <w:lvl w:ilvl="0" w:tplc="10090005">
      <w:start w:val="1"/>
      <w:numFmt w:val="bullet"/>
      <w:lvlText w:val=""/>
      <w:lvlJc w:val="left"/>
      <w:pPr>
        <w:ind w:left="2520" w:hanging="360"/>
      </w:pPr>
      <w:rPr>
        <w:rFonts w:ascii="Wingdings" w:hAnsi="Wingdings"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38F30040"/>
    <w:multiLevelType w:val="hybridMultilevel"/>
    <w:tmpl w:val="BB486B62"/>
    <w:lvl w:ilvl="0" w:tplc="3D16EEAC">
      <w:numFmt w:val="bullet"/>
      <w:lvlText w:val="-"/>
      <w:lvlJc w:val="left"/>
      <w:pPr>
        <w:ind w:left="720" w:hanging="360"/>
      </w:pPr>
      <w:rPr>
        <w:rFonts w:ascii="Calibri" w:eastAsia="Times New Roman" w:hAnsi="Calibri" w:cs="Times New Roman"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3FC36D83"/>
    <w:multiLevelType w:val="hybridMultilevel"/>
    <w:tmpl w:val="8A043FE2"/>
    <w:lvl w:ilvl="0" w:tplc="A5E27A34">
      <w:numFmt w:val="bullet"/>
      <w:lvlText w:val="-"/>
      <w:lvlJc w:val="left"/>
      <w:pPr>
        <w:ind w:left="1080" w:hanging="360"/>
      </w:pPr>
      <w:rPr>
        <w:rFonts w:ascii="Calibri" w:eastAsiaTheme="minorHAnsi" w:hAnsi="Calibri" w:cs="Calibri" w:hint="default"/>
      </w:rPr>
    </w:lvl>
    <w:lvl w:ilvl="1" w:tplc="10090005">
      <w:start w:val="1"/>
      <w:numFmt w:val="bullet"/>
      <w:lvlText w:val=""/>
      <w:lvlJc w:val="left"/>
      <w:pPr>
        <w:ind w:left="1800" w:hanging="360"/>
      </w:pPr>
      <w:rPr>
        <w:rFonts w:ascii="Wingdings" w:hAnsi="Wingdings"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46811C0"/>
    <w:multiLevelType w:val="multilevel"/>
    <w:tmpl w:val="59CEBFBA"/>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D1547"/>
    <w:multiLevelType w:val="hybridMultilevel"/>
    <w:tmpl w:val="70E80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80C65"/>
    <w:multiLevelType w:val="hybridMultilevel"/>
    <w:tmpl w:val="559CD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11281B"/>
    <w:multiLevelType w:val="hybridMultilevel"/>
    <w:tmpl w:val="7DCC9C7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4BD02803"/>
    <w:multiLevelType w:val="hybridMultilevel"/>
    <w:tmpl w:val="8934F872"/>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4E171108"/>
    <w:multiLevelType w:val="hybridMultilevel"/>
    <w:tmpl w:val="88DA74AA"/>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98703F"/>
    <w:multiLevelType w:val="multilevel"/>
    <w:tmpl w:val="04B6141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9582E"/>
    <w:multiLevelType w:val="hybridMultilevel"/>
    <w:tmpl w:val="64A21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7552147"/>
    <w:multiLevelType w:val="hybridMultilevel"/>
    <w:tmpl w:val="B3404C88"/>
    <w:lvl w:ilvl="0" w:tplc="A5E27A3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563692"/>
    <w:multiLevelType w:val="hybridMultilevel"/>
    <w:tmpl w:val="165AD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7F871FB"/>
    <w:multiLevelType w:val="hybridMultilevel"/>
    <w:tmpl w:val="E7CAF7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48F617C"/>
    <w:multiLevelType w:val="hybridMultilevel"/>
    <w:tmpl w:val="434C2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6F73D53"/>
    <w:multiLevelType w:val="hybridMultilevel"/>
    <w:tmpl w:val="4A56517A"/>
    <w:lvl w:ilvl="0" w:tplc="488EC796">
      <w:numFmt w:val="bullet"/>
      <w:lvlText w:val="-"/>
      <w:lvlJc w:val="left"/>
      <w:pPr>
        <w:ind w:left="720" w:hanging="360"/>
      </w:pPr>
      <w:rPr>
        <w:rFonts w:ascii="Calibri" w:eastAsia="Times New Roman" w:hAnsi="Calibri" w:cs="Times New Roman"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3"/>
  </w:num>
  <w:num w:numId="4">
    <w:abstractNumId w:val="25"/>
  </w:num>
  <w:num w:numId="5">
    <w:abstractNumId w:val="1"/>
  </w:num>
  <w:num w:numId="6">
    <w:abstractNumId w:val="14"/>
  </w:num>
  <w:num w:numId="7">
    <w:abstractNumId w:val="5"/>
  </w:num>
  <w:num w:numId="8">
    <w:abstractNumId w:val="2"/>
  </w:num>
  <w:num w:numId="9">
    <w:abstractNumId w:val="21"/>
  </w:num>
  <w:num w:numId="10">
    <w:abstractNumId w:val="15"/>
  </w:num>
  <w:num w:numId="11">
    <w:abstractNumId w:val="12"/>
  </w:num>
  <w:num w:numId="12">
    <w:abstractNumId w:val="19"/>
  </w:num>
  <w:num w:numId="13">
    <w:abstractNumId w:val="6"/>
  </w:num>
  <w:num w:numId="14">
    <w:abstractNumId w:val="9"/>
  </w:num>
  <w:num w:numId="15">
    <w:abstractNumId w:val="18"/>
  </w:num>
  <w:num w:numId="16">
    <w:abstractNumId w:val="7"/>
  </w:num>
  <w:num w:numId="17">
    <w:abstractNumId w:val="13"/>
  </w:num>
  <w:num w:numId="18">
    <w:abstractNumId w:val="11"/>
  </w:num>
  <w:num w:numId="19">
    <w:abstractNumId w:val="10"/>
  </w:num>
  <w:num w:numId="20">
    <w:abstractNumId w:val="0"/>
  </w:num>
  <w:num w:numId="21">
    <w:abstractNumId w:val="22"/>
  </w:num>
  <w:num w:numId="22">
    <w:abstractNumId w:val="4"/>
  </w:num>
  <w:num w:numId="23">
    <w:abstractNumId w:val="3"/>
  </w:num>
  <w:num w:numId="24">
    <w:abstractNumId w:val="8"/>
  </w:num>
  <w:num w:numId="25">
    <w:abstractNumId w:val="16"/>
  </w:num>
  <w:num w:numId="26">
    <w:abstractNumId w:val="24"/>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CA" w:vendorID="64" w:dllVersion="131078"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33"/>
    <w:rsid w:val="00002B49"/>
    <w:rsid w:val="00006AA0"/>
    <w:rsid w:val="0001335C"/>
    <w:rsid w:val="00014F0A"/>
    <w:rsid w:val="00015291"/>
    <w:rsid w:val="00016DF0"/>
    <w:rsid w:val="00021B90"/>
    <w:rsid w:val="00023171"/>
    <w:rsid w:val="00034F9E"/>
    <w:rsid w:val="0004510D"/>
    <w:rsid w:val="00045303"/>
    <w:rsid w:val="000502CF"/>
    <w:rsid w:val="00051AE0"/>
    <w:rsid w:val="00053AA7"/>
    <w:rsid w:val="000550A3"/>
    <w:rsid w:val="00055C06"/>
    <w:rsid w:val="00057E5F"/>
    <w:rsid w:val="00061E06"/>
    <w:rsid w:val="00063572"/>
    <w:rsid w:val="00072BE3"/>
    <w:rsid w:val="00075319"/>
    <w:rsid w:val="0008207A"/>
    <w:rsid w:val="00082FEB"/>
    <w:rsid w:val="00087275"/>
    <w:rsid w:val="0009201E"/>
    <w:rsid w:val="000935EE"/>
    <w:rsid w:val="00095A0A"/>
    <w:rsid w:val="00096CD8"/>
    <w:rsid w:val="000A0117"/>
    <w:rsid w:val="000A09CD"/>
    <w:rsid w:val="000A4D9F"/>
    <w:rsid w:val="000B36E3"/>
    <w:rsid w:val="000C0FAE"/>
    <w:rsid w:val="000C4893"/>
    <w:rsid w:val="000C5C2A"/>
    <w:rsid w:val="000C7E70"/>
    <w:rsid w:val="000D333F"/>
    <w:rsid w:val="000D406D"/>
    <w:rsid w:val="000D63EE"/>
    <w:rsid w:val="000E0A64"/>
    <w:rsid w:val="000E333D"/>
    <w:rsid w:val="000E5382"/>
    <w:rsid w:val="000E6235"/>
    <w:rsid w:val="000F16BF"/>
    <w:rsid w:val="000F2C86"/>
    <w:rsid w:val="000F689D"/>
    <w:rsid w:val="001043EE"/>
    <w:rsid w:val="00104F4E"/>
    <w:rsid w:val="00106D86"/>
    <w:rsid w:val="00111226"/>
    <w:rsid w:val="00111E5A"/>
    <w:rsid w:val="00121E0E"/>
    <w:rsid w:val="00122A73"/>
    <w:rsid w:val="00133F23"/>
    <w:rsid w:val="0014110E"/>
    <w:rsid w:val="001509FD"/>
    <w:rsid w:val="00156DEF"/>
    <w:rsid w:val="00157827"/>
    <w:rsid w:val="0016430B"/>
    <w:rsid w:val="001650BC"/>
    <w:rsid w:val="0016606C"/>
    <w:rsid w:val="00167CE5"/>
    <w:rsid w:val="00170714"/>
    <w:rsid w:val="00171FAD"/>
    <w:rsid w:val="00180D14"/>
    <w:rsid w:val="001828F0"/>
    <w:rsid w:val="00183D90"/>
    <w:rsid w:val="001841EC"/>
    <w:rsid w:val="00185DF9"/>
    <w:rsid w:val="00193520"/>
    <w:rsid w:val="001A2E45"/>
    <w:rsid w:val="001A44FE"/>
    <w:rsid w:val="001A524E"/>
    <w:rsid w:val="001A5683"/>
    <w:rsid w:val="001C2828"/>
    <w:rsid w:val="001C566A"/>
    <w:rsid w:val="001D0F78"/>
    <w:rsid w:val="001D11D7"/>
    <w:rsid w:val="001D4787"/>
    <w:rsid w:val="001D7333"/>
    <w:rsid w:val="001E02D1"/>
    <w:rsid w:val="001E6C2C"/>
    <w:rsid w:val="001F1288"/>
    <w:rsid w:val="001F49AF"/>
    <w:rsid w:val="001F66AE"/>
    <w:rsid w:val="001F7CDE"/>
    <w:rsid w:val="00204048"/>
    <w:rsid w:val="0021105F"/>
    <w:rsid w:val="00225229"/>
    <w:rsid w:val="002261AB"/>
    <w:rsid w:val="00226958"/>
    <w:rsid w:val="00231F16"/>
    <w:rsid w:val="00236218"/>
    <w:rsid w:val="00240238"/>
    <w:rsid w:val="00252272"/>
    <w:rsid w:val="00252CAB"/>
    <w:rsid w:val="002601D9"/>
    <w:rsid w:val="00262534"/>
    <w:rsid w:val="00264625"/>
    <w:rsid w:val="00266115"/>
    <w:rsid w:val="0027175D"/>
    <w:rsid w:val="00274213"/>
    <w:rsid w:val="00274A9E"/>
    <w:rsid w:val="00280B32"/>
    <w:rsid w:val="002839D0"/>
    <w:rsid w:val="002851CD"/>
    <w:rsid w:val="002851F6"/>
    <w:rsid w:val="0028535F"/>
    <w:rsid w:val="0029024C"/>
    <w:rsid w:val="00291BDB"/>
    <w:rsid w:val="00292D2F"/>
    <w:rsid w:val="002A5E1C"/>
    <w:rsid w:val="002B03FE"/>
    <w:rsid w:val="002B0ABD"/>
    <w:rsid w:val="002B0C20"/>
    <w:rsid w:val="002B2AE9"/>
    <w:rsid w:val="002B45BE"/>
    <w:rsid w:val="002B5ED0"/>
    <w:rsid w:val="002B7576"/>
    <w:rsid w:val="002D06BD"/>
    <w:rsid w:val="002E109F"/>
    <w:rsid w:val="002E3042"/>
    <w:rsid w:val="002E33F4"/>
    <w:rsid w:val="002E4CAD"/>
    <w:rsid w:val="002E615D"/>
    <w:rsid w:val="002E6793"/>
    <w:rsid w:val="002F0023"/>
    <w:rsid w:val="002F1A8A"/>
    <w:rsid w:val="002F6258"/>
    <w:rsid w:val="0030340E"/>
    <w:rsid w:val="00304E5B"/>
    <w:rsid w:val="00305B44"/>
    <w:rsid w:val="0030637D"/>
    <w:rsid w:val="003126EF"/>
    <w:rsid w:val="0032030D"/>
    <w:rsid w:val="0032697E"/>
    <w:rsid w:val="00326C74"/>
    <w:rsid w:val="00337BEA"/>
    <w:rsid w:val="0034139C"/>
    <w:rsid w:val="00362868"/>
    <w:rsid w:val="00362EE0"/>
    <w:rsid w:val="003672CE"/>
    <w:rsid w:val="00370A6D"/>
    <w:rsid w:val="00373B1B"/>
    <w:rsid w:val="00380723"/>
    <w:rsid w:val="00382042"/>
    <w:rsid w:val="00382D06"/>
    <w:rsid w:val="003833A5"/>
    <w:rsid w:val="00392DD0"/>
    <w:rsid w:val="0039785D"/>
    <w:rsid w:val="00397AA0"/>
    <w:rsid w:val="003A0A5C"/>
    <w:rsid w:val="003A2BEE"/>
    <w:rsid w:val="003B2065"/>
    <w:rsid w:val="003B6090"/>
    <w:rsid w:val="003C1C54"/>
    <w:rsid w:val="003C34A9"/>
    <w:rsid w:val="003C4A26"/>
    <w:rsid w:val="003C557A"/>
    <w:rsid w:val="003D4680"/>
    <w:rsid w:val="003D56C2"/>
    <w:rsid w:val="003D575E"/>
    <w:rsid w:val="003F481E"/>
    <w:rsid w:val="003F6877"/>
    <w:rsid w:val="00400268"/>
    <w:rsid w:val="00407B34"/>
    <w:rsid w:val="00411A8C"/>
    <w:rsid w:val="00413811"/>
    <w:rsid w:val="00415F0E"/>
    <w:rsid w:val="00424B0F"/>
    <w:rsid w:val="004257B1"/>
    <w:rsid w:val="004337E6"/>
    <w:rsid w:val="0043658B"/>
    <w:rsid w:val="004438D0"/>
    <w:rsid w:val="00445FBE"/>
    <w:rsid w:val="00450755"/>
    <w:rsid w:val="0045220D"/>
    <w:rsid w:val="00456F47"/>
    <w:rsid w:val="0045761F"/>
    <w:rsid w:val="00461636"/>
    <w:rsid w:val="004627F4"/>
    <w:rsid w:val="00463111"/>
    <w:rsid w:val="00477A8C"/>
    <w:rsid w:val="00477C0B"/>
    <w:rsid w:val="004809B4"/>
    <w:rsid w:val="00482DAE"/>
    <w:rsid w:val="00483214"/>
    <w:rsid w:val="004879A5"/>
    <w:rsid w:val="00490475"/>
    <w:rsid w:val="004972C9"/>
    <w:rsid w:val="004A281B"/>
    <w:rsid w:val="004A3D1A"/>
    <w:rsid w:val="004C21B7"/>
    <w:rsid w:val="004C2385"/>
    <w:rsid w:val="004C7FC5"/>
    <w:rsid w:val="004D021A"/>
    <w:rsid w:val="004D1D20"/>
    <w:rsid w:val="004D2C86"/>
    <w:rsid w:val="004E0B0D"/>
    <w:rsid w:val="004E23F7"/>
    <w:rsid w:val="004E41C7"/>
    <w:rsid w:val="004E52F9"/>
    <w:rsid w:val="004E6C1E"/>
    <w:rsid w:val="004E7407"/>
    <w:rsid w:val="004E7C8A"/>
    <w:rsid w:val="004F1DE3"/>
    <w:rsid w:val="004F34A7"/>
    <w:rsid w:val="004F41B0"/>
    <w:rsid w:val="004F4441"/>
    <w:rsid w:val="004F545D"/>
    <w:rsid w:val="00501F3B"/>
    <w:rsid w:val="005054EE"/>
    <w:rsid w:val="00505C38"/>
    <w:rsid w:val="005100E8"/>
    <w:rsid w:val="00516076"/>
    <w:rsid w:val="00524E15"/>
    <w:rsid w:val="00525CCE"/>
    <w:rsid w:val="005359D3"/>
    <w:rsid w:val="005379DF"/>
    <w:rsid w:val="00542BE4"/>
    <w:rsid w:val="005440A8"/>
    <w:rsid w:val="00544D49"/>
    <w:rsid w:val="0054510F"/>
    <w:rsid w:val="00554741"/>
    <w:rsid w:val="005600A9"/>
    <w:rsid w:val="005628FA"/>
    <w:rsid w:val="00563B90"/>
    <w:rsid w:val="00567D7F"/>
    <w:rsid w:val="00577DA2"/>
    <w:rsid w:val="00580AAC"/>
    <w:rsid w:val="00580EDB"/>
    <w:rsid w:val="005865F0"/>
    <w:rsid w:val="0058691F"/>
    <w:rsid w:val="0058784A"/>
    <w:rsid w:val="00592D47"/>
    <w:rsid w:val="00594205"/>
    <w:rsid w:val="005B0EFC"/>
    <w:rsid w:val="005B104C"/>
    <w:rsid w:val="005B127F"/>
    <w:rsid w:val="005B3577"/>
    <w:rsid w:val="005B3C1B"/>
    <w:rsid w:val="005B4BAB"/>
    <w:rsid w:val="005B7C1C"/>
    <w:rsid w:val="005C4869"/>
    <w:rsid w:val="005D56F4"/>
    <w:rsid w:val="005D625D"/>
    <w:rsid w:val="005E05C4"/>
    <w:rsid w:val="005E07AB"/>
    <w:rsid w:val="005E0CB6"/>
    <w:rsid w:val="005E456B"/>
    <w:rsid w:val="005E472D"/>
    <w:rsid w:val="005E58A7"/>
    <w:rsid w:val="005E6D8B"/>
    <w:rsid w:val="005F1A55"/>
    <w:rsid w:val="005F54F8"/>
    <w:rsid w:val="005F6B99"/>
    <w:rsid w:val="005F73F4"/>
    <w:rsid w:val="00606587"/>
    <w:rsid w:val="00607778"/>
    <w:rsid w:val="00615308"/>
    <w:rsid w:val="00616FF7"/>
    <w:rsid w:val="006171C3"/>
    <w:rsid w:val="0062147B"/>
    <w:rsid w:val="0062226E"/>
    <w:rsid w:val="00623F4D"/>
    <w:rsid w:val="006247E4"/>
    <w:rsid w:val="00627128"/>
    <w:rsid w:val="006303CA"/>
    <w:rsid w:val="00630AA0"/>
    <w:rsid w:val="006328F4"/>
    <w:rsid w:val="0063357C"/>
    <w:rsid w:val="00636C06"/>
    <w:rsid w:val="0063708D"/>
    <w:rsid w:val="006605E0"/>
    <w:rsid w:val="00660E18"/>
    <w:rsid w:val="00664477"/>
    <w:rsid w:val="00664F61"/>
    <w:rsid w:val="00670061"/>
    <w:rsid w:val="00674489"/>
    <w:rsid w:val="006851AC"/>
    <w:rsid w:val="00686CA9"/>
    <w:rsid w:val="006904AB"/>
    <w:rsid w:val="0069342A"/>
    <w:rsid w:val="006938B9"/>
    <w:rsid w:val="0069462D"/>
    <w:rsid w:val="006B0ADF"/>
    <w:rsid w:val="006B14E6"/>
    <w:rsid w:val="006C06B0"/>
    <w:rsid w:val="006C19EE"/>
    <w:rsid w:val="006C1F42"/>
    <w:rsid w:val="006D035E"/>
    <w:rsid w:val="006D4A42"/>
    <w:rsid w:val="006E07BE"/>
    <w:rsid w:val="006F114A"/>
    <w:rsid w:val="006F1AEE"/>
    <w:rsid w:val="006F1F94"/>
    <w:rsid w:val="006F1FD2"/>
    <w:rsid w:val="006F2470"/>
    <w:rsid w:val="006F45EC"/>
    <w:rsid w:val="00700B2B"/>
    <w:rsid w:val="00706AB5"/>
    <w:rsid w:val="00706B05"/>
    <w:rsid w:val="007110C3"/>
    <w:rsid w:val="0071281E"/>
    <w:rsid w:val="0071485C"/>
    <w:rsid w:val="00717A3A"/>
    <w:rsid w:val="0072371E"/>
    <w:rsid w:val="0073371E"/>
    <w:rsid w:val="00733DE3"/>
    <w:rsid w:val="0073562F"/>
    <w:rsid w:val="00745F45"/>
    <w:rsid w:val="007473BB"/>
    <w:rsid w:val="007475A6"/>
    <w:rsid w:val="00747E9C"/>
    <w:rsid w:val="0075464F"/>
    <w:rsid w:val="00754758"/>
    <w:rsid w:val="00757488"/>
    <w:rsid w:val="00763AAD"/>
    <w:rsid w:val="00767396"/>
    <w:rsid w:val="007679E3"/>
    <w:rsid w:val="00776EA6"/>
    <w:rsid w:val="00785F64"/>
    <w:rsid w:val="007A0657"/>
    <w:rsid w:val="007A5D10"/>
    <w:rsid w:val="007A6208"/>
    <w:rsid w:val="007B0F6E"/>
    <w:rsid w:val="007B34EB"/>
    <w:rsid w:val="007C2F4B"/>
    <w:rsid w:val="007C3BC1"/>
    <w:rsid w:val="007C4613"/>
    <w:rsid w:val="007C57D5"/>
    <w:rsid w:val="007C5FF8"/>
    <w:rsid w:val="007D3D72"/>
    <w:rsid w:val="007D5F34"/>
    <w:rsid w:val="007E0B1A"/>
    <w:rsid w:val="007E2203"/>
    <w:rsid w:val="007F1A32"/>
    <w:rsid w:val="007F481D"/>
    <w:rsid w:val="007F758B"/>
    <w:rsid w:val="0080542B"/>
    <w:rsid w:val="00806ADF"/>
    <w:rsid w:val="00806FAB"/>
    <w:rsid w:val="008077AD"/>
    <w:rsid w:val="00811503"/>
    <w:rsid w:val="0081227B"/>
    <w:rsid w:val="008151E3"/>
    <w:rsid w:val="00815AC9"/>
    <w:rsid w:val="00817CDB"/>
    <w:rsid w:val="00820009"/>
    <w:rsid w:val="00820798"/>
    <w:rsid w:val="00821749"/>
    <w:rsid w:val="00821D0E"/>
    <w:rsid w:val="00825DAA"/>
    <w:rsid w:val="0082626D"/>
    <w:rsid w:val="00832859"/>
    <w:rsid w:val="00844890"/>
    <w:rsid w:val="00847184"/>
    <w:rsid w:val="008523E4"/>
    <w:rsid w:val="0085329C"/>
    <w:rsid w:val="00860538"/>
    <w:rsid w:val="00860CE0"/>
    <w:rsid w:val="00861BBE"/>
    <w:rsid w:val="008621F9"/>
    <w:rsid w:val="00862A3C"/>
    <w:rsid w:val="00867396"/>
    <w:rsid w:val="00872388"/>
    <w:rsid w:val="008765F2"/>
    <w:rsid w:val="00877A08"/>
    <w:rsid w:val="008808D7"/>
    <w:rsid w:val="0088163B"/>
    <w:rsid w:val="008843E0"/>
    <w:rsid w:val="00885198"/>
    <w:rsid w:val="00891B56"/>
    <w:rsid w:val="00891EF6"/>
    <w:rsid w:val="008924C2"/>
    <w:rsid w:val="008971DC"/>
    <w:rsid w:val="00897BF6"/>
    <w:rsid w:val="008B5D96"/>
    <w:rsid w:val="008B78E7"/>
    <w:rsid w:val="008C3D1D"/>
    <w:rsid w:val="008C5298"/>
    <w:rsid w:val="008D23F4"/>
    <w:rsid w:val="008D7B9C"/>
    <w:rsid w:val="008E11BC"/>
    <w:rsid w:val="008E5A8D"/>
    <w:rsid w:val="008E7548"/>
    <w:rsid w:val="008F2BB2"/>
    <w:rsid w:val="008F4CEE"/>
    <w:rsid w:val="008F4E11"/>
    <w:rsid w:val="008F73B6"/>
    <w:rsid w:val="008F7F2E"/>
    <w:rsid w:val="00904551"/>
    <w:rsid w:val="00905125"/>
    <w:rsid w:val="00906C87"/>
    <w:rsid w:val="00907CD3"/>
    <w:rsid w:val="00910CDC"/>
    <w:rsid w:val="009203A3"/>
    <w:rsid w:val="00921915"/>
    <w:rsid w:val="00935144"/>
    <w:rsid w:val="00937E80"/>
    <w:rsid w:val="00941A21"/>
    <w:rsid w:val="00941DF1"/>
    <w:rsid w:val="00943823"/>
    <w:rsid w:val="00955F68"/>
    <w:rsid w:val="009579D7"/>
    <w:rsid w:val="0096146B"/>
    <w:rsid w:val="009624A4"/>
    <w:rsid w:val="009661F8"/>
    <w:rsid w:val="009675F2"/>
    <w:rsid w:val="00973563"/>
    <w:rsid w:val="0097599A"/>
    <w:rsid w:val="0097605C"/>
    <w:rsid w:val="00977390"/>
    <w:rsid w:val="0098193B"/>
    <w:rsid w:val="009900EB"/>
    <w:rsid w:val="00993847"/>
    <w:rsid w:val="009A3046"/>
    <w:rsid w:val="009B3224"/>
    <w:rsid w:val="009C7BF2"/>
    <w:rsid w:val="009D00AB"/>
    <w:rsid w:val="009E06B9"/>
    <w:rsid w:val="009E0A28"/>
    <w:rsid w:val="009E155D"/>
    <w:rsid w:val="009E7BD2"/>
    <w:rsid w:val="009F0ECA"/>
    <w:rsid w:val="009F1157"/>
    <w:rsid w:val="009F23F1"/>
    <w:rsid w:val="009F2634"/>
    <w:rsid w:val="009F6D39"/>
    <w:rsid w:val="00A00519"/>
    <w:rsid w:val="00A011C1"/>
    <w:rsid w:val="00A0510C"/>
    <w:rsid w:val="00A07D6D"/>
    <w:rsid w:val="00A11620"/>
    <w:rsid w:val="00A13EF0"/>
    <w:rsid w:val="00A1424D"/>
    <w:rsid w:val="00A22569"/>
    <w:rsid w:val="00A23809"/>
    <w:rsid w:val="00A26DFB"/>
    <w:rsid w:val="00A40162"/>
    <w:rsid w:val="00A43684"/>
    <w:rsid w:val="00A44C6A"/>
    <w:rsid w:val="00A5464F"/>
    <w:rsid w:val="00A5656A"/>
    <w:rsid w:val="00A6186B"/>
    <w:rsid w:val="00A63560"/>
    <w:rsid w:val="00A650A3"/>
    <w:rsid w:val="00A653B1"/>
    <w:rsid w:val="00A6713F"/>
    <w:rsid w:val="00A67EA1"/>
    <w:rsid w:val="00A70D91"/>
    <w:rsid w:val="00A73291"/>
    <w:rsid w:val="00A83E06"/>
    <w:rsid w:val="00A854C0"/>
    <w:rsid w:val="00A868D6"/>
    <w:rsid w:val="00A934D4"/>
    <w:rsid w:val="00A94932"/>
    <w:rsid w:val="00AA215D"/>
    <w:rsid w:val="00AA283A"/>
    <w:rsid w:val="00AA2DA0"/>
    <w:rsid w:val="00AA46E1"/>
    <w:rsid w:val="00AB0DC0"/>
    <w:rsid w:val="00AB41F4"/>
    <w:rsid w:val="00AC0BE8"/>
    <w:rsid w:val="00AC1730"/>
    <w:rsid w:val="00AC646E"/>
    <w:rsid w:val="00AC7995"/>
    <w:rsid w:val="00AD12D6"/>
    <w:rsid w:val="00AD4360"/>
    <w:rsid w:val="00AD5849"/>
    <w:rsid w:val="00AE0666"/>
    <w:rsid w:val="00AE2EB8"/>
    <w:rsid w:val="00AE5BB0"/>
    <w:rsid w:val="00AE6FDE"/>
    <w:rsid w:val="00AF3104"/>
    <w:rsid w:val="00AF7A14"/>
    <w:rsid w:val="00AF7EFF"/>
    <w:rsid w:val="00B01908"/>
    <w:rsid w:val="00B067FB"/>
    <w:rsid w:val="00B15749"/>
    <w:rsid w:val="00B171DE"/>
    <w:rsid w:val="00B226E5"/>
    <w:rsid w:val="00B25A18"/>
    <w:rsid w:val="00B31D85"/>
    <w:rsid w:val="00B3237F"/>
    <w:rsid w:val="00B32A58"/>
    <w:rsid w:val="00B3308E"/>
    <w:rsid w:val="00B46459"/>
    <w:rsid w:val="00B4706B"/>
    <w:rsid w:val="00B50FCA"/>
    <w:rsid w:val="00B516FE"/>
    <w:rsid w:val="00B66567"/>
    <w:rsid w:val="00B67AC9"/>
    <w:rsid w:val="00B703DA"/>
    <w:rsid w:val="00B71ED5"/>
    <w:rsid w:val="00B73E19"/>
    <w:rsid w:val="00B74AFE"/>
    <w:rsid w:val="00B778A5"/>
    <w:rsid w:val="00B83F0C"/>
    <w:rsid w:val="00B842DB"/>
    <w:rsid w:val="00B90CA8"/>
    <w:rsid w:val="00BA4617"/>
    <w:rsid w:val="00BA7686"/>
    <w:rsid w:val="00BB0386"/>
    <w:rsid w:val="00BB56A0"/>
    <w:rsid w:val="00BC0FA2"/>
    <w:rsid w:val="00BC1D90"/>
    <w:rsid w:val="00BC5404"/>
    <w:rsid w:val="00BC6960"/>
    <w:rsid w:val="00BD1319"/>
    <w:rsid w:val="00BD53AC"/>
    <w:rsid w:val="00BE0231"/>
    <w:rsid w:val="00BE0FBB"/>
    <w:rsid w:val="00BF2255"/>
    <w:rsid w:val="00C0101A"/>
    <w:rsid w:val="00C02069"/>
    <w:rsid w:val="00C03F8D"/>
    <w:rsid w:val="00C157D9"/>
    <w:rsid w:val="00C15F95"/>
    <w:rsid w:val="00C20258"/>
    <w:rsid w:val="00C21A14"/>
    <w:rsid w:val="00C27CA1"/>
    <w:rsid w:val="00C33A17"/>
    <w:rsid w:val="00C35E93"/>
    <w:rsid w:val="00C40E87"/>
    <w:rsid w:val="00C41E75"/>
    <w:rsid w:val="00C45A85"/>
    <w:rsid w:val="00C477FE"/>
    <w:rsid w:val="00C60F04"/>
    <w:rsid w:val="00C612F1"/>
    <w:rsid w:val="00C635F4"/>
    <w:rsid w:val="00C678E2"/>
    <w:rsid w:val="00C67DD0"/>
    <w:rsid w:val="00C770CD"/>
    <w:rsid w:val="00C77AFC"/>
    <w:rsid w:val="00C77E90"/>
    <w:rsid w:val="00C87453"/>
    <w:rsid w:val="00C876EA"/>
    <w:rsid w:val="00C94477"/>
    <w:rsid w:val="00C96444"/>
    <w:rsid w:val="00CA232D"/>
    <w:rsid w:val="00CA30FE"/>
    <w:rsid w:val="00CA3B26"/>
    <w:rsid w:val="00CB2C64"/>
    <w:rsid w:val="00CB6408"/>
    <w:rsid w:val="00CB7282"/>
    <w:rsid w:val="00CC5E40"/>
    <w:rsid w:val="00CD0A4B"/>
    <w:rsid w:val="00CD2EAA"/>
    <w:rsid w:val="00CD31FF"/>
    <w:rsid w:val="00CD3DD2"/>
    <w:rsid w:val="00CE0072"/>
    <w:rsid w:val="00CE3737"/>
    <w:rsid w:val="00CF38C6"/>
    <w:rsid w:val="00D00AB6"/>
    <w:rsid w:val="00D10A73"/>
    <w:rsid w:val="00D12184"/>
    <w:rsid w:val="00D1361E"/>
    <w:rsid w:val="00D14556"/>
    <w:rsid w:val="00D1469F"/>
    <w:rsid w:val="00D2120D"/>
    <w:rsid w:val="00D274E0"/>
    <w:rsid w:val="00D315FC"/>
    <w:rsid w:val="00D33769"/>
    <w:rsid w:val="00D34406"/>
    <w:rsid w:val="00D358F0"/>
    <w:rsid w:val="00D46E65"/>
    <w:rsid w:val="00D47338"/>
    <w:rsid w:val="00D660FC"/>
    <w:rsid w:val="00D71A64"/>
    <w:rsid w:val="00D7596F"/>
    <w:rsid w:val="00D77216"/>
    <w:rsid w:val="00D80334"/>
    <w:rsid w:val="00D81DF7"/>
    <w:rsid w:val="00D82E47"/>
    <w:rsid w:val="00D84D8E"/>
    <w:rsid w:val="00D91CD1"/>
    <w:rsid w:val="00D97A11"/>
    <w:rsid w:val="00DA1B52"/>
    <w:rsid w:val="00DA1B61"/>
    <w:rsid w:val="00DA53B3"/>
    <w:rsid w:val="00DA60CE"/>
    <w:rsid w:val="00DB21C8"/>
    <w:rsid w:val="00DB2C8F"/>
    <w:rsid w:val="00DB4480"/>
    <w:rsid w:val="00DB4EA6"/>
    <w:rsid w:val="00DC0A21"/>
    <w:rsid w:val="00DC149C"/>
    <w:rsid w:val="00DD2572"/>
    <w:rsid w:val="00DD3ED2"/>
    <w:rsid w:val="00DD6ACE"/>
    <w:rsid w:val="00DE1A47"/>
    <w:rsid w:val="00DE4A81"/>
    <w:rsid w:val="00DE5812"/>
    <w:rsid w:val="00DE60BA"/>
    <w:rsid w:val="00DF2B77"/>
    <w:rsid w:val="00DF3BD6"/>
    <w:rsid w:val="00DF643B"/>
    <w:rsid w:val="00DF69D3"/>
    <w:rsid w:val="00DF7816"/>
    <w:rsid w:val="00E00B44"/>
    <w:rsid w:val="00E06C2E"/>
    <w:rsid w:val="00E23A4B"/>
    <w:rsid w:val="00E2793D"/>
    <w:rsid w:val="00E32C5F"/>
    <w:rsid w:val="00E345FA"/>
    <w:rsid w:val="00E35392"/>
    <w:rsid w:val="00E35F76"/>
    <w:rsid w:val="00E37684"/>
    <w:rsid w:val="00E379A5"/>
    <w:rsid w:val="00E4690C"/>
    <w:rsid w:val="00E47520"/>
    <w:rsid w:val="00E62236"/>
    <w:rsid w:val="00E629EF"/>
    <w:rsid w:val="00E62D07"/>
    <w:rsid w:val="00E81585"/>
    <w:rsid w:val="00E86012"/>
    <w:rsid w:val="00E86E20"/>
    <w:rsid w:val="00E87985"/>
    <w:rsid w:val="00E90666"/>
    <w:rsid w:val="00E93DC1"/>
    <w:rsid w:val="00E94758"/>
    <w:rsid w:val="00E96990"/>
    <w:rsid w:val="00E96A0D"/>
    <w:rsid w:val="00E96FC4"/>
    <w:rsid w:val="00EA212C"/>
    <w:rsid w:val="00EA2C9F"/>
    <w:rsid w:val="00EA3D3E"/>
    <w:rsid w:val="00EB0A47"/>
    <w:rsid w:val="00EC29BF"/>
    <w:rsid w:val="00EC5321"/>
    <w:rsid w:val="00EC7E9F"/>
    <w:rsid w:val="00ED37BC"/>
    <w:rsid w:val="00ED7764"/>
    <w:rsid w:val="00EE3E1A"/>
    <w:rsid w:val="00EE4379"/>
    <w:rsid w:val="00EE75E2"/>
    <w:rsid w:val="00EF11BE"/>
    <w:rsid w:val="00EF7187"/>
    <w:rsid w:val="00F005DC"/>
    <w:rsid w:val="00F02DE0"/>
    <w:rsid w:val="00F04F16"/>
    <w:rsid w:val="00F137C4"/>
    <w:rsid w:val="00F15FF8"/>
    <w:rsid w:val="00F16DA6"/>
    <w:rsid w:val="00F27672"/>
    <w:rsid w:val="00F27987"/>
    <w:rsid w:val="00F27BE6"/>
    <w:rsid w:val="00F30D09"/>
    <w:rsid w:val="00F3148A"/>
    <w:rsid w:val="00F35C51"/>
    <w:rsid w:val="00F411E0"/>
    <w:rsid w:val="00F53521"/>
    <w:rsid w:val="00F5641F"/>
    <w:rsid w:val="00F5746A"/>
    <w:rsid w:val="00F6040E"/>
    <w:rsid w:val="00F60711"/>
    <w:rsid w:val="00F61AE2"/>
    <w:rsid w:val="00F654A8"/>
    <w:rsid w:val="00F66035"/>
    <w:rsid w:val="00F70E85"/>
    <w:rsid w:val="00F726E2"/>
    <w:rsid w:val="00F7595A"/>
    <w:rsid w:val="00F75A61"/>
    <w:rsid w:val="00F766A9"/>
    <w:rsid w:val="00F76C8D"/>
    <w:rsid w:val="00F808C8"/>
    <w:rsid w:val="00F81AF5"/>
    <w:rsid w:val="00F900DD"/>
    <w:rsid w:val="00F914B7"/>
    <w:rsid w:val="00F91D79"/>
    <w:rsid w:val="00FA0E75"/>
    <w:rsid w:val="00FA5A74"/>
    <w:rsid w:val="00FB1ED9"/>
    <w:rsid w:val="00FB5833"/>
    <w:rsid w:val="00FC1049"/>
    <w:rsid w:val="00FC313C"/>
    <w:rsid w:val="00FC39CB"/>
    <w:rsid w:val="00FC3D24"/>
    <w:rsid w:val="00FC47E4"/>
    <w:rsid w:val="00FC6587"/>
    <w:rsid w:val="00FC66D9"/>
    <w:rsid w:val="00FD1521"/>
    <w:rsid w:val="00FD6EF4"/>
    <w:rsid w:val="00FE5C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6354"/>
  <w15:docId w15:val="{5C73595B-F1F1-4EFB-B730-EE0A4257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441"/>
    <w:pPr>
      <w:spacing w:after="0" w:line="240" w:lineRule="auto"/>
      <w:ind w:left="720"/>
    </w:pPr>
    <w:rPr>
      <w:rFonts w:ascii="Calibri" w:eastAsia="Times New Roman" w:hAnsi="Calibri" w:cs="Calibri"/>
      <w:lang w:val="en-US"/>
    </w:rPr>
  </w:style>
  <w:style w:type="paragraph" w:styleId="Header">
    <w:name w:val="header"/>
    <w:basedOn w:val="Normal"/>
    <w:link w:val="HeaderChar"/>
    <w:uiPriority w:val="99"/>
    <w:unhideWhenUsed/>
    <w:rsid w:val="004F4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441"/>
  </w:style>
  <w:style w:type="paragraph" w:styleId="Footer">
    <w:name w:val="footer"/>
    <w:basedOn w:val="Normal"/>
    <w:link w:val="FooterChar"/>
    <w:uiPriority w:val="99"/>
    <w:unhideWhenUsed/>
    <w:rsid w:val="004F4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441"/>
  </w:style>
  <w:style w:type="paragraph" w:customStyle="1" w:styleId="Default">
    <w:name w:val="Default"/>
    <w:rsid w:val="007C3BC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650A3"/>
    <w:pPr>
      <w:spacing w:before="100" w:beforeAutospacing="1" w:after="100" w:afterAutospacing="1" w:line="240" w:lineRule="auto"/>
    </w:pPr>
    <w:rPr>
      <w:rFonts w:ascii="Verdana" w:eastAsia="Times New Roman" w:hAnsi="Verdana" w:cs="Arial"/>
      <w:sz w:val="24"/>
      <w:szCs w:val="24"/>
      <w:lang w:eastAsia="en-CA"/>
    </w:rPr>
  </w:style>
  <w:style w:type="character" w:styleId="Hyperlink">
    <w:name w:val="Hyperlink"/>
    <w:basedOn w:val="DefaultParagraphFont"/>
    <w:uiPriority w:val="99"/>
    <w:unhideWhenUsed/>
    <w:rsid w:val="00501F3B"/>
    <w:rPr>
      <w:color w:val="0000FF" w:themeColor="hyperlink"/>
      <w:u w:val="single"/>
    </w:rPr>
  </w:style>
  <w:style w:type="paragraph" w:styleId="BalloonText">
    <w:name w:val="Balloon Text"/>
    <w:basedOn w:val="Normal"/>
    <w:link w:val="BalloonTextChar"/>
    <w:uiPriority w:val="99"/>
    <w:semiHidden/>
    <w:unhideWhenUsed/>
    <w:rsid w:val="00937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E80"/>
    <w:rPr>
      <w:rFonts w:ascii="Tahoma" w:hAnsi="Tahoma" w:cs="Tahoma"/>
      <w:sz w:val="16"/>
      <w:szCs w:val="16"/>
    </w:rPr>
  </w:style>
  <w:style w:type="character" w:styleId="CommentReference">
    <w:name w:val="annotation reference"/>
    <w:basedOn w:val="DefaultParagraphFont"/>
    <w:uiPriority w:val="99"/>
    <w:semiHidden/>
    <w:unhideWhenUsed/>
    <w:rsid w:val="00463111"/>
    <w:rPr>
      <w:sz w:val="16"/>
      <w:szCs w:val="16"/>
    </w:rPr>
  </w:style>
  <w:style w:type="paragraph" w:styleId="CommentText">
    <w:name w:val="annotation text"/>
    <w:basedOn w:val="Normal"/>
    <w:link w:val="CommentTextChar"/>
    <w:uiPriority w:val="99"/>
    <w:unhideWhenUsed/>
    <w:rsid w:val="00463111"/>
    <w:pPr>
      <w:spacing w:line="240" w:lineRule="auto"/>
    </w:pPr>
    <w:rPr>
      <w:sz w:val="20"/>
      <w:szCs w:val="20"/>
    </w:rPr>
  </w:style>
  <w:style w:type="character" w:customStyle="1" w:styleId="CommentTextChar">
    <w:name w:val="Comment Text Char"/>
    <w:basedOn w:val="DefaultParagraphFont"/>
    <w:link w:val="CommentText"/>
    <w:uiPriority w:val="99"/>
    <w:rsid w:val="00463111"/>
    <w:rPr>
      <w:sz w:val="20"/>
      <w:szCs w:val="20"/>
    </w:rPr>
  </w:style>
  <w:style w:type="paragraph" w:styleId="CommentSubject">
    <w:name w:val="annotation subject"/>
    <w:basedOn w:val="CommentText"/>
    <w:next w:val="CommentText"/>
    <w:link w:val="CommentSubjectChar"/>
    <w:uiPriority w:val="99"/>
    <w:semiHidden/>
    <w:unhideWhenUsed/>
    <w:rsid w:val="00463111"/>
    <w:rPr>
      <w:b/>
      <w:bCs/>
    </w:rPr>
  </w:style>
  <w:style w:type="character" w:customStyle="1" w:styleId="CommentSubjectChar">
    <w:name w:val="Comment Subject Char"/>
    <w:basedOn w:val="CommentTextChar"/>
    <w:link w:val="CommentSubject"/>
    <w:uiPriority w:val="99"/>
    <w:semiHidden/>
    <w:rsid w:val="00463111"/>
    <w:rPr>
      <w:b/>
      <w:bCs/>
      <w:sz w:val="20"/>
      <w:szCs w:val="20"/>
    </w:rPr>
  </w:style>
  <w:style w:type="paragraph" w:styleId="Revision">
    <w:name w:val="Revision"/>
    <w:hidden/>
    <w:uiPriority w:val="99"/>
    <w:semiHidden/>
    <w:rsid w:val="00D2120D"/>
    <w:pPr>
      <w:spacing w:after="0" w:line="240" w:lineRule="auto"/>
    </w:pPr>
  </w:style>
  <w:style w:type="character" w:styleId="FollowedHyperlink">
    <w:name w:val="FollowedHyperlink"/>
    <w:basedOn w:val="DefaultParagraphFont"/>
    <w:uiPriority w:val="99"/>
    <w:semiHidden/>
    <w:unhideWhenUsed/>
    <w:rsid w:val="008D23F4"/>
    <w:rPr>
      <w:color w:val="800080" w:themeColor="followedHyperlink"/>
      <w:u w:val="single"/>
    </w:rPr>
  </w:style>
  <w:style w:type="character" w:customStyle="1" w:styleId="normal1">
    <w:name w:val="normal1"/>
    <w:basedOn w:val="DefaultParagraphFont"/>
    <w:rsid w:val="009F1157"/>
    <w:rPr>
      <w:b w:val="0"/>
      <w:bCs w:val="0"/>
    </w:rPr>
  </w:style>
  <w:style w:type="table" w:styleId="TableGrid">
    <w:name w:val="Table Grid"/>
    <w:basedOn w:val="TableNormal"/>
    <w:uiPriority w:val="59"/>
    <w:rsid w:val="005379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43EE"/>
  </w:style>
  <w:style w:type="paragraph" w:styleId="FootnoteText">
    <w:name w:val="footnote text"/>
    <w:basedOn w:val="Normal"/>
    <w:link w:val="FootnoteTextChar"/>
    <w:uiPriority w:val="99"/>
    <w:semiHidden/>
    <w:unhideWhenUsed/>
    <w:rsid w:val="00DB21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1C8"/>
    <w:rPr>
      <w:sz w:val="20"/>
      <w:szCs w:val="20"/>
    </w:rPr>
  </w:style>
  <w:style w:type="character" w:styleId="FootnoteReference">
    <w:name w:val="footnote reference"/>
    <w:basedOn w:val="DefaultParagraphFont"/>
    <w:uiPriority w:val="99"/>
    <w:semiHidden/>
    <w:unhideWhenUsed/>
    <w:rsid w:val="00DB2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8466">
      <w:bodyDiv w:val="1"/>
      <w:marLeft w:val="0"/>
      <w:marRight w:val="0"/>
      <w:marTop w:val="0"/>
      <w:marBottom w:val="0"/>
      <w:divBdr>
        <w:top w:val="none" w:sz="0" w:space="0" w:color="auto"/>
        <w:left w:val="none" w:sz="0" w:space="0" w:color="auto"/>
        <w:bottom w:val="none" w:sz="0" w:space="0" w:color="auto"/>
        <w:right w:val="none" w:sz="0" w:space="0" w:color="auto"/>
      </w:divBdr>
    </w:div>
    <w:div w:id="108622197">
      <w:bodyDiv w:val="1"/>
      <w:marLeft w:val="0"/>
      <w:marRight w:val="0"/>
      <w:marTop w:val="0"/>
      <w:marBottom w:val="0"/>
      <w:divBdr>
        <w:top w:val="none" w:sz="0" w:space="0" w:color="auto"/>
        <w:left w:val="none" w:sz="0" w:space="0" w:color="auto"/>
        <w:bottom w:val="none" w:sz="0" w:space="0" w:color="auto"/>
        <w:right w:val="none" w:sz="0" w:space="0" w:color="auto"/>
      </w:divBdr>
    </w:div>
    <w:div w:id="230236888">
      <w:bodyDiv w:val="1"/>
      <w:marLeft w:val="0"/>
      <w:marRight w:val="0"/>
      <w:marTop w:val="0"/>
      <w:marBottom w:val="0"/>
      <w:divBdr>
        <w:top w:val="none" w:sz="0" w:space="0" w:color="auto"/>
        <w:left w:val="none" w:sz="0" w:space="0" w:color="auto"/>
        <w:bottom w:val="none" w:sz="0" w:space="0" w:color="auto"/>
        <w:right w:val="none" w:sz="0" w:space="0" w:color="auto"/>
      </w:divBdr>
      <w:divsChild>
        <w:div w:id="944849275">
          <w:marLeft w:val="360"/>
          <w:marRight w:val="0"/>
          <w:marTop w:val="96"/>
          <w:marBottom w:val="0"/>
          <w:divBdr>
            <w:top w:val="none" w:sz="0" w:space="0" w:color="auto"/>
            <w:left w:val="none" w:sz="0" w:space="0" w:color="auto"/>
            <w:bottom w:val="none" w:sz="0" w:space="0" w:color="auto"/>
            <w:right w:val="none" w:sz="0" w:space="0" w:color="auto"/>
          </w:divBdr>
        </w:div>
        <w:div w:id="1678117358">
          <w:marLeft w:val="360"/>
          <w:marRight w:val="0"/>
          <w:marTop w:val="96"/>
          <w:marBottom w:val="0"/>
          <w:divBdr>
            <w:top w:val="none" w:sz="0" w:space="0" w:color="auto"/>
            <w:left w:val="none" w:sz="0" w:space="0" w:color="auto"/>
            <w:bottom w:val="none" w:sz="0" w:space="0" w:color="auto"/>
            <w:right w:val="none" w:sz="0" w:space="0" w:color="auto"/>
          </w:divBdr>
        </w:div>
        <w:div w:id="2051032688">
          <w:marLeft w:val="360"/>
          <w:marRight w:val="0"/>
          <w:marTop w:val="96"/>
          <w:marBottom w:val="0"/>
          <w:divBdr>
            <w:top w:val="none" w:sz="0" w:space="0" w:color="auto"/>
            <w:left w:val="none" w:sz="0" w:space="0" w:color="auto"/>
            <w:bottom w:val="none" w:sz="0" w:space="0" w:color="auto"/>
            <w:right w:val="none" w:sz="0" w:space="0" w:color="auto"/>
          </w:divBdr>
        </w:div>
        <w:div w:id="883447322">
          <w:marLeft w:val="360"/>
          <w:marRight w:val="0"/>
          <w:marTop w:val="96"/>
          <w:marBottom w:val="0"/>
          <w:divBdr>
            <w:top w:val="none" w:sz="0" w:space="0" w:color="auto"/>
            <w:left w:val="none" w:sz="0" w:space="0" w:color="auto"/>
            <w:bottom w:val="none" w:sz="0" w:space="0" w:color="auto"/>
            <w:right w:val="none" w:sz="0" w:space="0" w:color="auto"/>
          </w:divBdr>
        </w:div>
        <w:div w:id="1909608590">
          <w:marLeft w:val="360"/>
          <w:marRight w:val="0"/>
          <w:marTop w:val="96"/>
          <w:marBottom w:val="0"/>
          <w:divBdr>
            <w:top w:val="none" w:sz="0" w:space="0" w:color="auto"/>
            <w:left w:val="none" w:sz="0" w:space="0" w:color="auto"/>
            <w:bottom w:val="none" w:sz="0" w:space="0" w:color="auto"/>
            <w:right w:val="none" w:sz="0" w:space="0" w:color="auto"/>
          </w:divBdr>
        </w:div>
        <w:div w:id="1157113765">
          <w:marLeft w:val="1080"/>
          <w:marRight w:val="0"/>
          <w:marTop w:val="96"/>
          <w:marBottom w:val="0"/>
          <w:divBdr>
            <w:top w:val="none" w:sz="0" w:space="0" w:color="auto"/>
            <w:left w:val="none" w:sz="0" w:space="0" w:color="auto"/>
            <w:bottom w:val="none" w:sz="0" w:space="0" w:color="auto"/>
            <w:right w:val="none" w:sz="0" w:space="0" w:color="auto"/>
          </w:divBdr>
        </w:div>
        <w:div w:id="1009329681">
          <w:marLeft w:val="1080"/>
          <w:marRight w:val="0"/>
          <w:marTop w:val="96"/>
          <w:marBottom w:val="0"/>
          <w:divBdr>
            <w:top w:val="none" w:sz="0" w:space="0" w:color="auto"/>
            <w:left w:val="none" w:sz="0" w:space="0" w:color="auto"/>
            <w:bottom w:val="none" w:sz="0" w:space="0" w:color="auto"/>
            <w:right w:val="none" w:sz="0" w:space="0" w:color="auto"/>
          </w:divBdr>
        </w:div>
        <w:div w:id="1354959497">
          <w:marLeft w:val="1080"/>
          <w:marRight w:val="0"/>
          <w:marTop w:val="96"/>
          <w:marBottom w:val="0"/>
          <w:divBdr>
            <w:top w:val="none" w:sz="0" w:space="0" w:color="auto"/>
            <w:left w:val="none" w:sz="0" w:space="0" w:color="auto"/>
            <w:bottom w:val="none" w:sz="0" w:space="0" w:color="auto"/>
            <w:right w:val="none" w:sz="0" w:space="0" w:color="auto"/>
          </w:divBdr>
        </w:div>
        <w:div w:id="294141736">
          <w:marLeft w:val="1080"/>
          <w:marRight w:val="0"/>
          <w:marTop w:val="96"/>
          <w:marBottom w:val="0"/>
          <w:divBdr>
            <w:top w:val="none" w:sz="0" w:space="0" w:color="auto"/>
            <w:left w:val="none" w:sz="0" w:space="0" w:color="auto"/>
            <w:bottom w:val="none" w:sz="0" w:space="0" w:color="auto"/>
            <w:right w:val="none" w:sz="0" w:space="0" w:color="auto"/>
          </w:divBdr>
        </w:div>
      </w:divsChild>
    </w:div>
    <w:div w:id="447705056">
      <w:bodyDiv w:val="1"/>
      <w:marLeft w:val="0"/>
      <w:marRight w:val="0"/>
      <w:marTop w:val="0"/>
      <w:marBottom w:val="0"/>
      <w:divBdr>
        <w:top w:val="none" w:sz="0" w:space="0" w:color="auto"/>
        <w:left w:val="none" w:sz="0" w:space="0" w:color="auto"/>
        <w:bottom w:val="none" w:sz="0" w:space="0" w:color="auto"/>
        <w:right w:val="none" w:sz="0" w:space="0" w:color="auto"/>
      </w:divBdr>
      <w:divsChild>
        <w:div w:id="2091612846">
          <w:marLeft w:val="1080"/>
          <w:marRight w:val="0"/>
          <w:marTop w:val="77"/>
          <w:marBottom w:val="0"/>
          <w:divBdr>
            <w:top w:val="none" w:sz="0" w:space="0" w:color="auto"/>
            <w:left w:val="none" w:sz="0" w:space="0" w:color="auto"/>
            <w:bottom w:val="none" w:sz="0" w:space="0" w:color="auto"/>
            <w:right w:val="none" w:sz="0" w:space="0" w:color="auto"/>
          </w:divBdr>
        </w:div>
      </w:divsChild>
    </w:div>
    <w:div w:id="507715877">
      <w:bodyDiv w:val="1"/>
      <w:marLeft w:val="0"/>
      <w:marRight w:val="0"/>
      <w:marTop w:val="0"/>
      <w:marBottom w:val="0"/>
      <w:divBdr>
        <w:top w:val="none" w:sz="0" w:space="0" w:color="auto"/>
        <w:left w:val="none" w:sz="0" w:space="0" w:color="auto"/>
        <w:bottom w:val="none" w:sz="0" w:space="0" w:color="auto"/>
        <w:right w:val="none" w:sz="0" w:space="0" w:color="auto"/>
      </w:divBdr>
    </w:div>
    <w:div w:id="557591295">
      <w:bodyDiv w:val="1"/>
      <w:marLeft w:val="0"/>
      <w:marRight w:val="0"/>
      <w:marTop w:val="0"/>
      <w:marBottom w:val="0"/>
      <w:divBdr>
        <w:top w:val="none" w:sz="0" w:space="0" w:color="auto"/>
        <w:left w:val="none" w:sz="0" w:space="0" w:color="auto"/>
        <w:bottom w:val="none" w:sz="0" w:space="0" w:color="auto"/>
        <w:right w:val="none" w:sz="0" w:space="0" w:color="auto"/>
      </w:divBdr>
    </w:div>
    <w:div w:id="739207536">
      <w:bodyDiv w:val="1"/>
      <w:marLeft w:val="0"/>
      <w:marRight w:val="0"/>
      <w:marTop w:val="0"/>
      <w:marBottom w:val="0"/>
      <w:divBdr>
        <w:top w:val="none" w:sz="0" w:space="0" w:color="auto"/>
        <w:left w:val="none" w:sz="0" w:space="0" w:color="auto"/>
        <w:bottom w:val="none" w:sz="0" w:space="0" w:color="auto"/>
        <w:right w:val="none" w:sz="0" w:space="0" w:color="auto"/>
      </w:divBdr>
    </w:div>
    <w:div w:id="773748454">
      <w:bodyDiv w:val="1"/>
      <w:marLeft w:val="0"/>
      <w:marRight w:val="0"/>
      <w:marTop w:val="0"/>
      <w:marBottom w:val="0"/>
      <w:divBdr>
        <w:top w:val="none" w:sz="0" w:space="0" w:color="auto"/>
        <w:left w:val="none" w:sz="0" w:space="0" w:color="auto"/>
        <w:bottom w:val="none" w:sz="0" w:space="0" w:color="auto"/>
        <w:right w:val="none" w:sz="0" w:space="0" w:color="auto"/>
      </w:divBdr>
    </w:div>
    <w:div w:id="826169522">
      <w:bodyDiv w:val="1"/>
      <w:marLeft w:val="0"/>
      <w:marRight w:val="0"/>
      <w:marTop w:val="0"/>
      <w:marBottom w:val="0"/>
      <w:divBdr>
        <w:top w:val="none" w:sz="0" w:space="0" w:color="auto"/>
        <w:left w:val="none" w:sz="0" w:space="0" w:color="auto"/>
        <w:bottom w:val="none" w:sz="0" w:space="0" w:color="auto"/>
        <w:right w:val="none" w:sz="0" w:space="0" w:color="auto"/>
      </w:divBdr>
    </w:div>
    <w:div w:id="885917965">
      <w:bodyDiv w:val="1"/>
      <w:marLeft w:val="0"/>
      <w:marRight w:val="0"/>
      <w:marTop w:val="0"/>
      <w:marBottom w:val="0"/>
      <w:divBdr>
        <w:top w:val="none" w:sz="0" w:space="0" w:color="auto"/>
        <w:left w:val="none" w:sz="0" w:space="0" w:color="auto"/>
        <w:bottom w:val="none" w:sz="0" w:space="0" w:color="auto"/>
        <w:right w:val="none" w:sz="0" w:space="0" w:color="auto"/>
      </w:divBdr>
    </w:div>
    <w:div w:id="1217089333">
      <w:bodyDiv w:val="1"/>
      <w:marLeft w:val="0"/>
      <w:marRight w:val="0"/>
      <w:marTop w:val="0"/>
      <w:marBottom w:val="0"/>
      <w:divBdr>
        <w:top w:val="none" w:sz="0" w:space="0" w:color="auto"/>
        <w:left w:val="none" w:sz="0" w:space="0" w:color="auto"/>
        <w:bottom w:val="none" w:sz="0" w:space="0" w:color="auto"/>
        <w:right w:val="none" w:sz="0" w:space="0" w:color="auto"/>
      </w:divBdr>
      <w:divsChild>
        <w:div w:id="1692610168">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0"/>
              <w:marRight w:val="0"/>
              <w:marTop w:val="0"/>
              <w:marBottom w:val="0"/>
              <w:divBdr>
                <w:top w:val="none" w:sz="0" w:space="0" w:color="auto"/>
                <w:left w:val="none" w:sz="0" w:space="0" w:color="auto"/>
                <w:bottom w:val="none" w:sz="0" w:space="0" w:color="auto"/>
                <w:right w:val="none" w:sz="0" w:space="0" w:color="auto"/>
              </w:divBdr>
              <w:divsChild>
                <w:div w:id="1418593543">
                  <w:marLeft w:val="0"/>
                  <w:marRight w:val="0"/>
                  <w:marTop w:val="0"/>
                  <w:marBottom w:val="0"/>
                  <w:divBdr>
                    <w:top w:val="none" w:sz="0" w:space="0" w:color="auto"/>
                    <w:left w:val="none" w:sz="0" w:space="0" w:color="auto"/>
                    <w:bottom w:val="none" w:sz="0" w:space="0" w:color="auto"/>
                    <w:right w:val="none" w:sz="0" w:space="0" w:color="auto"/>
                  </w:divBdr>
                  <w:divsChild>
                    <w:div w:id="417481925">
                      <w:marLeft w:val="2475"/>
                      <w:marRight w:val="0"/>
                      <w:marTop w:val="0"/>
                      <w:marBottom w:val="0"/>
                      <w:divBdr>
                        <w:top w:val="none" w:sz="0" w:space="0" w:color="auto"/>
                        <w:left w:val="none" w:sz="0" w:space="0" w:color="auto"/>
                        <w:bottom w:val="none" w:sz="0" w:space="0" w:color="auto"/>
                        <w:right w:val="none" w:sz="0" w:space="0" w:color="auto"/>
                      </w:divBdr>
                      <w:divsChild>
                        <w:div w:id="2014992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37729510">
      <w:bodyDiv w:val="1"/>
      <w:marLeft w:val="0"/>
      <w:marRight w:val="0"/>
      <w:marTop w:val="0"/>
      <w:marBottom w:val="0"/>
      <w:divBdr>
        <w:top w:val="none" w:sz="0" w:space="0" w:color="auto"/>
        <w:left w:val="none" w:sz="0" w:space="0" w:color="auto"/>
        <w:bottom w:val="none" w:sz="0" w:space="0" w:color="auto"/>
        <w:right w:val="none" w:sz="0" w:space="0" w:color="auto"/>
      </w:divBdr>
      <w:divsChild>
        <w:div w:id="1678998799">
          <w:marLeft w:val="1267"/>
          <w:marRight w:val="0"/>
          <w:marTop w:val="86"/>
          <w:marBottom w:val="0"/>
          <w:divBdr>
            <w:top w:val="none" w:sz="0" w:space="0" w:color="auto"/>
            <w:left w:val="none" w:sz="0" w:space="0" w:color="auto"/>
            <w:bottom w:val="none" w:sz="0" w:space="0" w:color="auto"/>
            <w:right w:val="none" w:sz="0" w:space="0" w:color="auto"/>
          </w:divBdr>
        </w:div>
      </w:divsChild>
    </w:div>
    <w:div w:id="1376858155">
      <w:bodyDiv w:val="1"/>
      <w:marLeft w:val="0"/>
      <w:marRight w:val="0"/>
      <w:marTop w:val="0"/>
      <w:marBottom w:val="0"/>
      <w:divBdr>
        <w:top w:val="none" w:sz="0" w:space="0" w:color="auto"/>
        <w:left w:val="none" w:sz="0" w:space="0" w:color="auto"/>
        <w:bottom w:val="none" w:sz="0" w:space="0" w:color="auto"/>
        <w:right w:val="none" w:sz="0" w:space="0" w:color="auto"/>
      </w:divBdr>
    </w:div>
    <w:div w:id="1625185941">
      <w:bodyDiv w:val="1"/>
      <w:marLeft w:val="0"/>
      <w:marRight w:val="0"/>
      <w:marTop w:val="0"/>
      <w:marBottom w:val="0"/>
      <w:divBdr>
        <w:top w:val="none" w:sz="0" w:space="0" w:color="auto"/>
        <w:left w:val="none" w:sz="0" w:space="0" w:color="auto"/>
        <w:bottom w:val="none" w:sz="0" w:space="0" w:color="auto"/>
        <w:right w:val="none" w:sz="0" w:space="0" w:color="auto"/>
      </w:divBdr>
      <w:divsChild>
        <w:div w:id="1213618798">
          <w:marLeft w:val="0"/>
          <w:marRight w:val="0"/>
          <w:marTop w:val="0"/>
          <w:marBottom w:val="0"/>
          <w:divBdr>
            <w:top w:val="none" w:sz="0" w:space="0" w:color="auto"/>
            <w:left w:val="none" w:sz="0" w:space="0" w:color="auto"/>
            <w:bottom w:val="none" w:sz="0" w:space="0" w:color="auto"/>
            <w:right w:val="none" w:sz="0" w:space="0" w:color="auto"/>
          </w:divBdr>
          <w:divsChild>
            <w:div w:id="171722172">
              <w:marLeft w:val="0"/>
              <w:marRight w:val="0"/>
              <w:marTop w:val="0"/>
              <w:marBottom w:val="0"/>
              <w:divBdr>
                <w:top w:val="none" w:sz="0" w:space="0" w:color="auto"/>
                <w:left w:val="none" w:sz="0" w:space="0" w:color="auto"/>
                <w:bottom w:val="none" w:sz="0" w:space="0" w:color="auto"/>
                <w:right w:val="none" w:sz="0" w:space="0" w:color="auto"/>
              </w:divBdr>
              <w:divsChild>
                <w:div w:id="1327711127">
                  <w:marLeft w:val="0"/>
                  <w:marRight w:val="0"/>
                  <w:marTop w:val="0"/>
                  <w:marBottom w:val="0"/>
                  <w:divBdr>
                    <w:top w:val="none" w:sz="0" w:space="0" w:color="auto"/>
                    <w:left w:val="none" w:sz="0" w:space="0" w:color="auto"/>
                    <w:bottom w:val="none" w:sz="0" w:space="0" w:color="auto"/>
                    <w:right w:val="none" w:sz="0" w:space="0" w:color="auto"/>
                  </w:divBdr>
                  <w:divsChild>
                    <w:div w:id="766123689">
                      <w:marLeft w:val="2475"/>
                      <w:marRight w:val="0"/>
                      <w:marTop w:val="0"/>
                      <w:marBottom w:val="0"/>
                      <w:divBdr>
                        <w:top w:val="none" w:sz="0" w:space="0" w:color="auto"/>
                        <w:left w:val="none" w:sz="0" w:space="0" w:color="auto"/>
                        <w:bottom w:val="none" w:sz="0" w:space="0" w:color="auto"/>
                        <w:right w:val="none" w:sz="0" w:space="0" w:color="auto"/>
                      </w:divBdr>
                      <w:divsChild>
                        <w:div w:id="20644068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87666">
      <w:bodyDiv w:val="1"/>
      <w:marLeft w:val="0"/>
      <w:marRight w:val="0"/>
      <w:marTop w:val="0"/>
      <w:marBottom w:val="0"/>
      <w:divBdr>
        <w:top w:val="none" w:sz="0" w:space="0" w:color="auto"/>
        <w:left w:val="none" w:sz="0" w:space="0" w:color="auto"/>
        <w:bottom w:val="none" w:sz="0" w:space="0" w:color="auto"/>
        <w:right w:val="none" w:sz="0" w:space="0" w:color="auto"/>
      </w:divBdr>
    </w:div>
    <w:div w:id="1694765520">
      <w:bodyDiv w:val="1"/>
      <w:marLeft w:val="0"/>
      <w:marRight w:val="0"/>
      <w:marTop w:val="0"/>
      <w:marBottom w:val="0"/>
      <w:divBdr>
        <w:top w:val="none" w:sz="0" w:space="0" w:color="auto"/>
        <w:left w:val="none" w:sz="0" w:space="0" w:color="auto"/>
        <w:bottom w:val="none" w:sz="0" w:space="0" w:color="auto"/>
        <w:right w:val="none" w:sz="0" w:space="0" w:color="auto"/>
      </w:divBdr>
    </w:div>
    <w:div w:id="1807162352">
      <w:bodyDiv w:val="1"/>
      <w:marLeft w:val="0"/>
      <w:marRight w:val="0"/>
      <w:marTop w:val="0"/>
      <w:marBottom w:val="0"/>
      <w:divBdr>
        <w:top w:val="none" w:sz="0" w:space="0" w:color="auto"/>
        <w:left w:val="none" w:sz="0" w:space="0" w:color="auto"/>
        <w:bottom w:val="none" w:sz="0" w:space="0" w:color="auto"/>
        <w:right w:val="none" w:sz="0" w:space="0" w:color="auto"/>
      </w:divBdr>
    </w:div>
    <w:div w:id="183317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fra/lois/F-11/index.html" TargetMode="External"/><Relationship Id="rId13" Type="http://schemas.openxmlformats.org/officeDocument/2006/relationships/hyperlink" Target="http://iservice.prv/fra/catalogue_services/services_finance.shtml" TargetMode="External"/><Relationship Id="rId18" Type="http://schemas.openxmlformats.org/officeDocument/2006/relationships/hyperlink" Target="http://iservice.prv/fra/catalogue_services/services_finance.shtml"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esdc.prv/fr/service-canada/dgop/cdesc/scsc/index.shtml" TargetMode="External"/><Relationship Id="rId17" Type="http://schemas.openxmlformats.org/officeDocument/2006/relationships/hyperlink" Target="mailto:NC-GCCE-CESC-GD?subject=Paiement%20manuel%20/%20Manual%20Paiement" TargetMode="External"/><Relationship Id="rId2" Type="http://schemas.openxmlformats.org/officeDocument/2006/relationships/numbering" Target="numbering.xml"/><Relationship Id="rId16" Type="http://schemas.openxmlformats.org/officeDocument/2006/relationships/hyperlink" Target="http://iservice.prv/fra/finance/DELEG/2016/programmes_edsc_section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bs-sct.gc.ca/pol/doc-fra.aspx?id=27260" TargetMode="External"/><Relationship Id="rId5" Type="http://schemas.openxmlformats.org/officeDocument/2006/relationships/webSettings" Target="webSettings.xml"/><Relationship Id="rId15" Type="http://schemas.openxmlformats.org/officeDocument/2006/relationships/hyperlink" Target="http://iservice.prv/fra/catalogue_services/services_finance.shtml" TargetMode="External"/><Relationship Id="rId23" Type="http://schemas.openxmlformats.org/officeDocument/2006/relationships/theme" Target="theme/theme1.xml"/><Relationship Id="rId10" Type="http://schemas.openxmlformats.org/officeDocument/2006/relationships/hyperlink" Target="https://www.tbs-sct.gc.ca/pol/doc-fra.aspx?id=135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bs-sct.gc.ca/pol/doc-fra.aspx?id=32530" TargetMode="External"/><Relationship Id="rId14" Type="http://schemas.openxmlformats.org/officeDocument/2006/relationships/hyperlink" Target="http://iservice.prv/fra/catalogue_services/services_financ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59B5D-99C8-45D5-A895-42B8017C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1601</Words>
  <Characters>9129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Péladeau, Annie [NC]</dc:creator>
  <cp:keywords/>
  <dc:description/>
  <cp:lastModifiedBy>Pion, Lyne L [NC]</cp:lastModifiedBy>
  <cp:revision>3</cp:revision>
  <cp:lastPrinted>2019-09-05T10:57:00Z</cp:lastPrinted>
  <dcterms:created xsi:type="dcterms:W3CDTF">2020-01-17T14:15:00Z</dcterms:created>
  <dcterms:modified xsi:type="dcterms:W3CDTF">2020-01-17T14:15:00Z</dcterms:modified>
</cp:coreProperties>
</file>