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941AA" w14:textId="64902963" w:rsidR="004242F3" w:rsidRDefault="004242F3" w:rsidP="00DB44B8">
      <w:pPr>
        <w:autoSpaceDE w:val="0"/>
        <w:autoSpaceDN w:val="0"/>
        <w:adjustRightInd w:val="0"/>
        <w:spacing w:before="100" w:beforeAutospacing="1" w:after="100" w:afterAutospacing="1"/>
        <w:jc w:val="center"/>
        <w:rPr>
          <w:rFonts w:cs="Arial"/>
          <w:b/>
          <w:bCs/>
          <w:color w:val="000000"/>
          <w:sz w:val="48"/>
          <w:szCs w:val="48"/>
          <w:lang w:val="en-US"/>
        </w:rPr>
      </w:pPr>
      <w:bookmarkStart w:id="0" w:name="_GoBack"/>
      <w:bookmarkEnd w:id="0"/>
    </w:p>
    <w:p w14:paraId="09909E06" w14:textId="77777777" w:rsidR="00AF357C" w:rsidRDefault="00AF357C" w:rsidP="00DB44B8">
      <w:pPr>
        <w:autoSpaceDE w:val="0"/>
        <w:autoSpaceDN w:val="0"/>
        <w:adjustRightInd w:val="0"/>
        <w:spacing w:before="100" w:beforeAutospacing="1" w:after="100" w:afterAutospacing="1"/>
        <w:jc w:val="center"/>
        <w:rPr>
          <w:rFonts w:cs="Arial"/>
          <w:b/>
          <w:bCs/>
          <w:color w:val="000000"/>
          <w:sz w:val="48"/>
          <w:szCs w:val="48"/>
          <w:lang w:val="en-US"/>
        </w:rPr>
      </w:pPr>
    </w:p>
    <w:p w14:paraId="68A93597" w14:textId="77777777" w:rsidR="004242F3" w:rsidRPr="00BF4995" w:rsidRDefault="004242F3" w:rsidP="00DB44B8">
      <w:pPr>
        <w:autoSpaceDE w:val="0"/>
        <w:autoSpaceDN w:val="0"/>
        <w:adjustRightInd w:val="0"/>
        <w:spacing w:before="100" w:beforeAutospacing="1" w:after="100" w:afterAutospacing="1"/>
        <w:jc w:val="center"/>
        <w:rPr>
          <w:rFonts w:cs="Arial"/>
          <w:b/>
          <w:bCs/>
          <w:color w:val="000000"/>
          <w:sz w:val="48"/>
          <w:szCs w:val="48"/>
          <w:lang w:val="en-US"/>
        </w:rPr>
      </w:pPr>
    </w:p>
    <w:p w14:paraId="4470CA59" w14:textId="77777777" w:rsidR="00DB44B8" w:rsidRPr="00BD61F2" w:rsidRDefault="00DB44B8" w:rsidP="00DB44B8">
      <w:pPr>
        <w:jc w:val="center"/>
        <w:rPr>
          <w:b/>
          <w:sz w:val="40"/>
          <w:szCs w:val="40"/>
        </w:rPr>
      </w:pPr>
      <w:r w:rsidRPr="00BD61F2">
        <w:rPr>
          <w:b/>
          <w:sz w:val="40"/>
          <w:szCs w:val="40"/>
        </w:rPr>
        <w:t>Employment and Social Development Canada</w:t>
      </w:r>
    </w:p>
    <w:p w14:paraId="360F82BD" w14:textId="77777777" w:rsidR="00DB44B8" w:rsidRPr="00331F4B" w:rsidRDefault="00DB44B8" w:rsidP="009324E6">
      <w:pPr>
        <w:autoSpaceDE w:val="0"/>
        <w:autoSpaceDN w:val="0"/>
        <w:adjustRightInd w:val="0"/>
        <w:spacing w:before="100" w:beforeAutospacing="1" w:after="100" w:afterAutospacing="1"/>
        <w:jc w:val="center"/>
        <w:rPr>
          <w:rFonts w:cs="Arial"/>
          <w:b/>
          <w:bCs/>
          <w:color w:val="000000"/>
          <w:sz w:val="48"/>
          <w:szCs w:val="48"/>
        </w:rPr>
      </w:pPr>
    </w:p>
    <w:p w14:paraId="4C2912AA" w14:textId="46CA4C26" w:rsidR="004242F3" w:rsidRDefault="004242F3" w:rsidP="00DB44B8">
      <w:pPr>
        <w:autoSpaceDE w:val="0"/>
        <w:autoSpaceDN w:val="0"/>
        <w:adjustRightInd w:val="0"/>
        <w:spacing w:before="100" w:beforeAutospacing="1" w:after="100" w:afterAutospacing="1"/>
        <w:jc w:val="center"/>
        <w:rPr>
          <w:rFonts w:cs="Arial"/>
          <w:b/>
          <w:bCs/>
          <w:color w:val="000000"/>
          <w:sz w:val="48"/>
          <w:szCs w:val="48"/>
          <w:lang w:val="en-US"/>
        </w:rPr>
      </w:pPr>
    </w:p>
    <w:p w14:paraId="59D82804" w14:textId="77777777" w:rsidR="004242F3" w:rsidRDefault="004242F3" w:rsidP="00DB44B8">
      <w:pPr>
        <w:autoSpaceDE w:val="0"/>
        <w:autoSpaceDN w:val="0"/>
        <w:adjustRightInd w:val="0"/>
        <w:spacing w:before="100" w:beforeAutospacing="1" w:after="100" w:afterAutospacing="1"/>
        <w:jc w:val="center"/>
        <w:rPr>
          <w:rFonts w:cs="Arial"/>
          <w:b/>
          <w:bCs/>
          <w:color w:val="000000"/>
          <w:sz w:val="48"/>
          <w:szCs w:val="48"/>
          <w:lang w:val="en-US"/>
        </w:rPr>
      </w:pPr>
    </w:p>
    <w:p w14:paraId="752397F1" w14:textId="268553F6" w:rsidR="00DB44B8" w:rsidRPr="00BF4995" w:rsidRDefault="00DB44B8" w:rsidP="00922FCD">
      <w:pPr>
        <w:autoSpaceDE w:val="0"/>
        <w:autoSpaceDN w:val="0"/>
        <w:adjustRightInd w:val="0"/>
        <w:spacing w:before="100" w:beforeAutospacing="1" w:after="100" w:afterAutospacing="1"/>
        <w:jc w:val="center"/>
        <w:rPr>
          <w:rFonts w:cs="Arial"/>
          <w:b/>
          <w:bCs/>
          <w:color w:val="000000"/>
          <w:sz w:val="48"/>
          <w:szCs w:val="48"/>
          <w:lang w:val="en-US"/>
        </w:rPr>
      </w:pPr>
      <w:r w:rsidRPr="00C46FA2">
        <w:rPr>
          <w:rFonts w:cs="Arial"/>
          <w:b/>
          <w:bCs/>
          <w:color w:val="000000"/>
          <w:sz w:val="48"/>
          <w:szCs w:val="48"/>
          <w:lang w:val="en-US"/>
        </w:rPr>
        <w:t>20</w:t>
      </w:r>
      <w:r w:rsidR="007563DF">
        <w:rPr>
          <w:rFonts w:cs="Arial"/>
          <w:b/>
          <w:bCs/>
          <w:color w:val="000000"/>
          <w:sz w:val="48"/>
          <w:szCs w:val="48"/>
          <w:lang w:val="en-US"/>
        </w:rPr>
        <w:t>2</w:t>
      </w:r>
      <w:r w:rsidR="00E41E1D">
        <w:rPr>
          <w:rFonts w:cs="Arial"/>
          <w:b/>
          <w:bCs/>
          <w:color w:val="000000"/>
          <w:sz w:val="48"/>
          <w:szCs w:val="48"/>
          <w:lang w:val="en-US"/>
        </w:rPr>
        <w:t>1</w:t>
      </w:r>
      <w:r w:rsidRPr="00C46FA2">
        <w:rPr>
          <w:rFonts w:cs="Arial"/>
          <w:b/>
          <w:bCs/>
          <w:color w:val="000000"/>
          <w:sz w:val="48"/>
          <w:szCs w:val="48"/>
          <w:lang w:val="en-US"/>
        </w:rPr>
        <w:t>-20</w:t>
      </w:r>
      <w:r>
        <w:rPr>
          <w:rFonts w:cs="Arial"/>
          <w:b/>
          <w:bCs/>
          <w:color w:val="000000"/>
          <w:sz w:val="48"/>
          <w:szCs w:val="48"/>
          <w:lang w:val="en-US"/>
        </w:rPr>
        <w:t>2</w:t>
      </w:r>
      <w:r w:rsidR="00E41E1D">
        <w:rPr>
          <w:rFonts w:cs="Arial"/>
          <w:b/>
          <w:bCs/>
          <w:color w:val="000000"/>
          <w:sz w:val="48"/>
          <w:szCs w:val="48"/>
          <w:lang w:val="en-US"/>
        </w:rPr>
        <w:t>2</w:t>
      </w:r>
    </w:p>
    <w:p w14:paraId="7188ECB0" w14:textId="77777777" w:rsidR="00DB44B8" w:rsidRDefault="00DB44B8" w:rsidP="00DB44B8">
      <w:pPr>
        <w:autoSpaceDE w:val="0"/>
        <w:autoSpaceDN w:val="0"/>
        <w:adjustRightInd w:val="0"/>
        <w:spacing w:before="100" w:beforeAutospacing="1" w:after="100" w:afterAutospacing="1"/>
        <w:jc w:val="center"/>
        <w:rPr>
          <w:rFonts w:cs="Arial"/>
          <w:b/>
          <w:bCs/>
          <w:color w:val="000000"/>
          <w:sz w:val="48"/>
          <w:szCs w:val="48"/>
          <w:u w:val="single"/>
          <w:lang w:val="en-US"/>
        </w:rPr>
      </w:pPr>
      <w:r>
        <w:rPr>
          <w:rFonts w:cs="Arial"/>
          <w:b/>
          <w:bCs/>
          <w:color w:val="000000"/>
          <w:sz w:val="48"/>
          <w:szCs w:val="48"/>
          <w:u w:val="single"/>
          <w:lang w:val="en-US"/>
        </w:rPr>
        <w:t xml:space="preserve">Financial </w:t>
      </w:r>
      <w:r w:rsidRPr="00BF4995">
        <w:rPr>
          <w:rFonts w:cs="Arial"/>
          <w:b/>
          <w:bCs/>
          <w:color w:val="000000"/>
          <w:sz w:val="48"/>
          <w:szCs w:val="48"/>
          <w:u w:val="single"/>
          <w:lang w:val="en-US"/>
        </w:rPr>
        <w:t>Forecasting Guidelines</w:t>
      </w:r>
    </w:p>
    <w:p w14:paraId="2CED0AC2" w14:textId="77777777" w:rsidR="00DB44B8" w:rsidRPr="001707E9" w:rsidRDefault="00DB44B8" w:rsidP="00DB44B8">
      <w:pPr>
        <w:autoSpaceDE w:val="0"/>
        <w:autoSpaceDN w:val="0"/>
        <w:adjustRightInd w:val="0"/>
        <w:spacing w:before="100" w:beforeAutospacing="1" w:after="100" w:afterAutospacing="1"/>
        <w:jc w:val="center"/>
        <w:rPr>
          <w:rFonts w:cs="Arial"/>
          <w:b/>
          <w:bCs/>
          <w:color w:val="000000"/>
          <w:sz w:val="48"/>
          <w:szCs w:val="48"/>
          <w:u w:val="single"/>
          <w:lang w:val="en-US"/>
        </w:rPr>
      </w:pPr>
    </w:p>
    <w:p w14:paraId="1CC280D5" w14:textId="77777777" w:rsidR="00DB44B8" w:rsidRPr="00BF4995" w:rsidRDefault="00DB44B8" w:rsidP="00DB44B8">
      <w:pPr>
        <w:autoSpaceDE w:val="0"/>
        <w:autoSpaceDN w:val="0"/>
        <w:adjustRightInd w:val="0"/>
        <w:spacing w:before="100" w:beforeAutospacing="1" w:after="100" w:afterAutospacing="1"/>
        <w:jc w:val="center"/>
        <w:rPr>
          <w:rFonts w:cs="Arial"/>
          <w:b/>
          <w:bCs/>
          <w:color w:val="000000"/>
          <w:sz w:val="48"/>
          <w:szCs w:val="48"/>
          <w:lang w:val="en-US"/>
        </w:rPr>
      </w:pPr>
    </w:p>
    <w:p w14:paraId="6CD52260" w14:textId="77777777" w:rsidR="00DB44B8" w:rsidRPr="00BF4995" w:rsidRDefault="00DB44B8" w:rsidP="00DB44B8">
      <w:pPr>
        <w:rPr>
          <w:rFonts w:cs="Arial"/>
          <w:lang w:val="en-US"/>
        </w:rPr>
      </w:pPr>
    </w:p>
    <w:p w14:paraId="306A90BA" w14:textId="77777777" w:rsidR="00DB44B8" w:rsidRPr="00BF4995" w:rsidRDefault="00DB44B8" w:rsidP="00DB44B8">
      <w:pPr>
        <w:rPr>
          <w:rFonts w:cs="Arial"/>
          <w:lang w:val="en-US"/>
        </w:rPr>
      </w:pPr>
    </w:p>
    <w:p w14:paraId="033EF28F" w14:textId="1102773F" w:rsidR="00DB44B8" w:rsidRDefault="00DB44B8" w:rsidP="00DB44B8">
      <w:pPr>
        <w:rPr>
          <w:rFonts w:cs="Arial"/>
          <w:lang w:val="en-US"/>
        </w:rPr>
      </w:pPr>
    </w:p>
    <w:p w14:paraId="26A5613D" w14:textId="4EEB38F2" w:rsidR="00AF357C" w:rsidRDefault="00AF357C" w:rsidP="00DB44B8">
      <w:pPr>
        <w:rPr>
          <w:rFonts w:cs="Arial"/>
          <w:lang w:val="en-US"/>
        </w:rPr>
      </w:pPr>
    </w:p>
    <w:p w14:paraId="30F48CE8" w14:textId="3AD704AA" w:rsidR="00AF357C" w:rsidRDefault="00AF357C" w:rsidP="00DB44B8">
      <w:pPr>
        <w:rPr>
          <w:rFonts w:cs="Arial"/>
          <w:lang w:val="en-US"/>
        </w:rPr>
      </w:pPr>
    </w:p>
    <w:p w14:paraId="65DABED4" w14:textId="77777777" w:rsidR="00AF357C" w:rsidRPr="00BF4995" w:rsidRDefault="00AF357C" w:rsidP="00DB44B8">
      <w:pPr>
        <w:rPr>
          <w:rFonts w:cs="Arial"/>
          <w:lang w:val="en-US"/>
        </w:rPr>
      </w:pPr>
    </w:p>
    <w:p w14:paraId="1CB89AC2" w14:textId="77777777" w:rsidR="00DB44B8" w:rsidRPr="00BF4995" w:rsidRDefault="00DB44B8" w:rsidP="00DB44B8">
      <w:pPr>
        <w:rPr>
          <w:rFonts w:cs="Arial"/>
          <w:lang w:val="en-US"/>
        </w:rPr>
      </w:pPr>
    </w:p>
    <w:p w14:paraId="7115BB65" w14:textId="77777777" w:rsidR="00DB44B8" w:rsidRPr="00BF4995" w:rsidRDefault="00DB44B8" w:rsidP="00DB44B8">
      <w:pPr>
        <w:rPr>
          <w:rFonts w:cs="Arial"/>
          <w:lang w:val="en-US"/>
        </w:rPr>
      </w:pPr>
    </w:p>
    <w:p w14:paraId="69C3175C" w14:textId="77777777" w:rsidR="00DB44B8" w:rsidRPr="00BF4995" w:rsidRDefault="00DB44B8" w:rsidP="00DB44B8">
      <w:pPr>
        <w:rPr>
          <w:rFonts w:cs="Arial"/>
          <w:lang w:val="en-US"/>
        </w:rPr>
      </w:pPr>
    </w:p>
    <w:p w14:paraId="7C64266B" w14:textId="77777777" w:rsidR="00DB44B8" w:rsidRPr="00BF4995" w:rsidRDefault="00DB44B8" w:rsidP="00DB44B8">
      <w:pPr>
        <w:rPr>
          <w:rFonts w:cs="Arial"/>
          <w:sz w:val="22"/>
          <w:szCs w:val="22"/>
          <w:lang w:val="en-US"/>
        </w:rPr>
      </w:pPr>
      <w:r w:rsidRPr="00BF4995">
        <w:rPr>
          <w:rFonts w:cs="Arial"/>
          <w:sz w:val="22"/>
          <w:szCs w:val="22"/>
          <w:lang w:val="en-US"/>
        </w:rPr>
        <w:t>Prepared by:</w:t>
      </w:r>
      <w:r w:rsidRPr="00BF4995">
        <w:rPr>
          <w:rFonts w:cs="Arial"/>
          <w:sz w:val="22"/>
          <w:szCs w:val="22"/>
          <w:lang w:val="en-US"/>
        </w:rPr>
        <w:tab/>
        <w:t>Corporate Resource Management (CRM)</w:t>
      </w:r>
    </w:p>
    <w:p w14:paraId="2922DCB2" w14:textId="77777777" w:rsidR="00DB44B8" w:rsidRPr="00BF4995" w:rsidRDefault="00DB44B8" w:rsidP="00DB44B8">
      <w:pPr>
        <w:rPr>
          <w:rFonts w:cs="Arial"/>
          <w:sz w:val="22"/>
          <w:szCs w:val="22"/>
          <w:lang w:val="en-US"/>
        </w:rPr>
      </w:pPr>
      <w:r w:rsidRPr="00BF4995">
        <w:rPr>
          <w:rFonts w:cs="Arial"/>
          <w:sz w:val="22"/>
          <w:szCs w:val="22"/>
          <w:lang w:val="en-US"/>
        </w:rPr>
        <w:tab/>
      </w:r>
      <w:r w:rsidRPr="00BF4995">
        <w:rPr>
          <w:rFonts w:cs="Arial"/>
          <w:sz w:val="22"/>
          <w:szCs w:val="22"/>
          <w:lang w:val="en-US"/>
        </w:rPr>
        <w:tab/>
        <w:t>Chief Financial Officer Branch (CFOB)</w:t>
      </w:r>
    </w:p>
    <w:p w14:paraId="39795C06" w14:textId="77777777" w:rsidR="00DB44B8" w:rsidRPr="00BF4995" w:rsidRDefault="00DB44B8" w:rsidP="00DB44B8">
      <w:pPr>
        <w:rPr>
          <w:rFonts w:cs="Arial"/>
          <w:sz w:val="22"/>
          <w:szCs w:val="22"/>
          <w:lang w:val="en-US"/>
        </w:rPr>
      </w:pPr>
    </w:p>
    <w:p w14:paraId="7FCC3754" w14:textId="58EC883A" w:rsidR="00DB44B8" w:rsidRPr="00BF4995" w:rsidRDefault="00DB44B8" w:rsidP="00DB44B8">
      <w:pPr>
        <w:rPr>
          <w:rFonts w:cs="Arial"/>
          <w:sz w:val="22"/>
          <w:szCs w:val="22"/>
          <w:lang w:val="en-US"/>
        </w:rPr>
      </w:pPr>
      <w:r w:rsidRPr="0024644B">
        <w:rPr>
          <w:rFonts w:cs="Arial"/>
          <w:sz w:val="22"/>
          <w:szCs w:val="22"/>
          <w:lang w:val="en-US"/>
        </w:rPr>
        <w:t>Last update</w:t>
      </w:r>
      <w:r w:rsidRPr="00365280">
        <w:rPr>
          <w:rFonts w:cs="Arial"/>
          <w:sz w:val="22"/>
          <w:szCs w:val="22"/>
          <w:lang w:val="en-US"/>
        </w:rPr>
        <w:t>:</w:t>
      </w:r>
      <w:r w:rsidRPr="00365280">
        <w:rPr>
          <w:rFonts w:cs="Arial"/>
          <w:sz w:val="22"/>
          <w:szCs w:val="22"/>
          <w:lang w:val="en-US"/>
        </w:rPr>
        <w:tab/>
      </w:r>
      <w:r w:rsidR="001205DF">
        <w:rPr>
          <w:rFonts w:cs="Arial"/>
          <w:sz w:val="22"/>
          <w:szCs w:val="22"/>
          <w:lang w:val="en-US"/>
        </w:rPr>
        <w:t>May</w:t>
      </w:r>
      <w:r w:rsidR="007563DF" w:rsidRPr="003A5561">
        <w:rPr>
          <w:rFonts w:cs="Arial"/>
          <w:sz w:val="22"/>
          <w:szCs w:val="22"/>
          <w:lang w:val="en-US"/>
        </w:rPr>
        <w:t xml:space="preserve"> 202</w:t>
      </w:r>
      <w:r w:rsidR="003A5561">
        <w:rPr>
          <w:rFonts w:cs="Arial"/>
          <w:sz w:val="22"/>
          <w:szCs w:val="22"/>
          <w:lang w:val="en-US"/>
        </w:rPr>
        <w:t>1</w:t>
      </w:r>
      <w:r w:rsidRPr="003A5561">
        <w:rPr>
          <w:rFonts w:cs="Arial"/>
          <w:sz w:val="22"/>
          <w:szCs w:val="22"/>
          <w:lang w:val="en-US"/>
        </w:rPr>
        <w:t xml:space="preserve"> </w:t>
      </w:r>
    </w:p>
    <w:p w14:paraId="587399F5" w14:textId="77777777" w:rsidR="00DB44B8" w:rsidRPr="00BD61F2" w:rsidRDefault="00DB44B8" w:rsidP="00DB44B8">
      <w:pPr>
        <w:rPr>
          <w:b/>
          <w:sz w:val="32"/>
          <w:lang w:val="en-US"/>
        </w:rPr>
      </w:pPr>
      <w:r w:rsidRPr="00BF4995">
        <w:rPr>
          <w:lang w:val="en-US"/>
        </w:rPr>
        <w:br w:type="page"/>
      </w:r>
      <w:r w:rsidRPr="00660AE1">
        <w:rPr>
          <w:rFonts w:asciiTheme="majorHAnsi" w:eastAsiaTheme="majorEastAsia" w:hAnsiTheme="majorHAnsi" w:cstheme="majorBidi"/>
          <w:b/>
          <w:bCs/>
          <w:color w:val="8E0022" w:themeColor="accent1" w:themeShade="B5"/>
          <w:sz w:val="32"/>
          <w:szCs w:val="32"/>
        </w:rPr>
        <w:lastRenderedPageBreak/>
        <w:t>Table of Contents</w:t>
      </w:r>
    </w:p>
    <w:p w14:paraId="65E6435D" w14:textId="77777777" w:rsidR="00DB44B8" w:rsidRDefault="00DB44B8" w:rsidP="00DB44B8">
      <w:pPr>
        <w:rPr>
          <w:lang w:val="en-US"/>
        </w:rPr>
      </w:pPr>
    </w:p>
    <w:p w14:paraId="2D25D326" w14:textId="706187B7" w:rsidR="00F6090D" w:rsidRDefault="00F6090D">
      <w:pPr>
        <w:pStyle w:val="TOC1"/>
        <w:tabs>
          <w:tab w:val="left" w:pos="480"/>
          <w:tab w:val="right" w:leader="dot" w:pos="8990"/>
        </w:tabs>
        <w:rPr>
          <w:rFonts w:eastAsiaTheme="minorEastAsia" w:cstheme="minorBidi"/>
          <w:b w:val="0"/>
          <w:bCs w:val="0"/>
          <w:noProof/>
          <w:sz w:val="22"/>
          <w:szCs w:val="22"/>
        </w:rPr>
      </w:pPr>
      <w:r>
        <w:rPr>
          <w:i/>
          <w:iCs/>
          <w:lang w:val="en-US"/>
        </w:rPr>
        <w:fldChar w:fldCharType="begin"/>
      </w:r>
      <w:r>
        <w:rPr>
          <w:i/>
          <w:iCs/>
          <w:lang w:val="en-US"/>
        </w:rPr>
        <w:instrText xml:space="preserve"> TOC \o "1-3" \h \z \u </w:instrText>
      </w:r>
      <w:r>
        <w:rPr>
          <w:i/>
          <w:iCs/>
          <w:lang w:val="en-US"/>
        </w:rPr>
        <w:fldChar w:fldCharType="separate"/>
      </w:r>
      <w:hyperlink w:anchor="_Toc72402732" w:history="1">
        <w:r w:rsidRPr="00117B26">
          <w:rPr>
            <w:rStyle w:val="Hyperlink"/>
            <w:rFonts w:eastAsiaTheme="majorEastAsia"/>
            <w:noProof/>
            <w:lang w:val="en-US"/>
          </w:rPr>
          <w:t>1</w:t>
        </w:r>
        <w:r>
          <w:rPr>
            <w:rFonts w:eastAsiaTheme="minorEastAsia" w:cstheme="minorBidi"/>
            <w:b w:val="0"/>
            <w:bCs w:val="0"/>
            <w:noProof/>
            <w:sz w:val="22"/>
            <w:szCs w:val="22"/>
          </w:rPr>
          <w:tab/>
        </w:r>
        <w:r w:rsidRPr="00117B26">
          <w:rPr>
            <w:rStyle w:val="Hyperlink"/>
            <w:rFonts w:eastAsiaTheme="majorEastAsia"/>
            <w:noProof/>
          </w:rPr>
          <w:t>General Guidelines</w:t>
        </w:r>
        <w:r>
          <w:rPr>
            <w:noProof/>
            <w:webHidden/>
          </w:rPr>
          <w:tab/>
        </w:r>
        <w:r>
          <w:rPr>
            <w:noProof/>
            <w:webHidden/>
          </w:rPr>
          <w:fldChar w:fldCharType="begin"/>
        </w:r>
        <w:r>
          <w:rPr>
            <w:noProof/>
            <w:webHidden/>
          </w:rPr>
          <w:instrText xml:space="preserve"> PAGEREF _Toc72402732 \h </w:instrText>
        </w:r>
        <w:r>
          <w:rPr>
            <w:noProof/>
            <w:webHidden/>
          </w:rPr>
        </w:r>
        <w:r>
          <w:rPr>
            <w:noProof/>
            <w:webHidden/>
          </w:rPr>
          <w:fldChar w:fldCharType="separate"/>
        </w:r>
        <w:r>
          <w:rPr>
            <w:noProof/>
            <w:webHidden/>
          </w:rPr>
          <w:t>4</w:t>
        </w:r>
        <w:r>
          <w:rPr>
            <w:noProof/>
            <w:webHidden/>
          </w:rPr>
          <w:fldChar w:fldCharType="end"/>
        </w:r>
      </w:hyperlink>
    </w:p>
    <w:p w14:paraId="1F22187F" w14:textId="09A14421" w:rsidR="00F6090D" w:rsidRDefault="00660AE1">
      <w:pPr>
        <w:pStyle w:val="TOC2"/>
        <w:tabs>
          <w:tab w:val="left" w:pos="720"/>
          <w:tab w:val="right" w:leader="dot" w:pos="8990"/>
        </w:tabs>
        <w:rPr>
          <w:rFonts w:eastAsiaTheme="minorEastAsia" w:cstheme="minorBidi"/>
          <w:i w:val="0"/>
          <w:iCs w:val="0"/>
          <w:noProof/>
          <w:sz w:val="22"/>
          <w:szCs w:val="22"/>
        </w:rPr>
      </w:pPr>
      <w:hyperlink w:anchor="_Toc72402733" w:history="1">
        <w:r w:rsidR="00F6090D" w:rsidRPr="00117B26">
          <w:rPr>
            <w:rStyle w:val="Hyperlink"/>
            <w:rFonts w:eastAsiaTheme="majorEastAsia"/>
            <w:noProof/>
          </w:rPr>
          <w:t>1.1</w:t>
        </w:r>
        <w:r w:rsidR="00F6090D">
          <w:rPr>
            <w:rFonts w:eastAsiaTheme="minorEastAsia" w:cstheme="minorBidi"/>
            <w:i w:val="0"/>
            <w:iCs w:val="0"/>
            <w:noProof/>
            <w:sz w:val="22"/>
            <w:szCs w:val="22"/>
          </w:rPr>
          <w:tab/>
        </w:r>
        <w:r w:rsidR="00F6090D" w:rsidRPr="00117B26">
          <w:rPr>
            <w:rStyle w:val="Hyperlink"/>
            <w:rFonts w:eastAsiaTheme="majorEastAsia"/>
            <w:noProof/>
          </w:rPr>
          <w:t>Departmental Financial Resource Management Principles</w:t>
        </w:r>
        <w:r w:rsidR="00F6090D">
          <w:rPr>
            <w:noProof/>
            <w:webHidden/>
          </w:rPr>
          <w:tab/>
        </w:r>
        <w:r w:rsidR="00F6090D">
          <w:rPr>
            <w:noProof/>
            <w:webHidden/>
          </w:rPr>
          <w:fldChar w:fldCharType="begin"/>
        </w:r>
        <w:r w:rsidR="00F6090D">
          <w:rPr>
            <w:noProof/>
            <w:webHidden/>
          </w:rPr>
          <w:instrText xml:space="preserve"> PAGEREF _Toc72402733 \h </w:instrText>
        </w:r>
        <w:r w:rsidR="00F6090D">
          <w:rPr>
            <w:noProof/>
            <w:webHidden/>
          </w:rPr>
        </w:r>
        <w:r w:rsidR="00F6090D">
          <w:rPr>
            <w:noProof/>
            <w:webHidden/>
          </w:rPr>
          <w:fldChar w:fldCharType="separate"/>
        </w:r>
        <w:r w:rsidR="00F6090D">
          <w:rPr>
            <w:noProof/>
            <w:webHidden/>
          </w:rPr>
          <w:t>4</w:t>
        </w:r>
        <w:r w:rsidR="00F6090D">
          <w:rPr>
            <w:noProof/>
            <w:webHidden/>
          </w:rPr>
          <w:fldChar w:fldCharType="end"/>
        </w:r>
      </w:hyperlink>
    </w:p>
    <w:p w14:paraId="7A1282BF" w14:textId="41554A4D" w:rsidR="00F6090D" w:rsidRDefault="00660AE1">
      <w:pPr>
        <w:pStyle w:val="TOC2"/>
        <w:tabs>
          <w:tab w:val="left" w:pos="720"/>
          <w:tab w:val="right" w:leader="dot" w:pos="8990"/>
        </w:tabs>
        <w:rPr>
          <w:rFonts w:eastAsiaTheme="minorEastAsia" w:cstheme="minorBidi"/>
          <w:i w:val="0"/>
          <w:iCs w:val="0"/>
          <w:noProof/>
          <w:sz w:val="22"/>
          <w:szCs w:val="22"/>
        </w:rPr>
      </w:pPr>
      <w:hyperlink w:anchor="_Toc72402734" w:history="1">
        <w:r w:rsidR="00F6090D" w:rsidRPr="00117B26">
          <w:rPr>
            <w:rStyle w:val="Hyperlink"/>
            <w:rFonts w:eastAsiaTheme="majorEastAsia"/>
            <w:noProof/>
            <w:lang w:val="en-US"/>
          </w:rPr>
          <w:t>1.2</w:t>
        </w:r>
        <w:r w:rsidR="00F6090D">
          <w:rPr>
            <w:rFonts w:eastAsiaTheme="minorEastAsia" w:cstheme="minorBidi"/>
            <w:i w:val="0"/>
            <w:iCs w:val="0"/>
            <w:noProof/>
            <w:sz w:val="22"/>
            <w:szCs w:val="22"/>
          </w:rPr>
          <w:tab/>
        </w:r>
        <w:r w:rsidR="00F6090D" w:rsidRPr="00117B26">
          <w:rPr>
            <w:rStyle w:val="Hyperlink"/>
            <w:rFonts w:eastAsiaTheme="majorEastAsia"/>
            <w:noProof/>
            <w:lang w:val="en-US"/>
          </w:rPr>
          <w:t>Accountability</w:t>
        </w:r>
        <w:r w:rsidR="00F6090D">
          <w:rPr>
            <w:noProof/>
            <w:webHidden/>
          </w:rPr>
          <w:tab/>
        </w:r>
        <w:r w:rsidR="00F6090D">
          <w:rPr>
            <w:noProof/>
            <w:webHidden/>
          </w:rPr>
          <w:fldChar w:fldCharType="begin"/>
        </w:r>
        <w:r w:rsidR="00F6090D">
          <w:rPr>
            <w:noProof/>
            <w:webHidden/>
          </w:rPr>
          <w:instrText xml:space="preserve"> PAGEREF _Toc72402734 \h </w:instrText>
        </w:r>
        <w:r w:rsidR="00F6090D">
          <w:rPr>
            <w:noProof/>
            <w:webHidden/>
          </w:rPr>
        </w:r>
        <w:r w:rsidR="00F6090D">
          <w:rPr>
            <w:noProof/>
            <w:webHidden/>
          </w:rPr>
          <w:fldChar w:fldCharType="separate"/>
        </w:r>
        <w:r w:rsidR="00F6090D">
          <w:rPr>
            <w:noProof/>
            <w:webHidden/>
          </w:rPr>
          <w:t>5</w:t>
        </w:r>
        <w:r w:rsidR="00F6090D">
          <w:rPr>
            <w:noProof/>
            <w:webHidden/>
          </w:rPr>
          <w:fldChar w:fldCharType="end"/>
        </w:r>
      </w:hyperlink>
    </w:p>
    <w:p w14:paraId="332EC596" w14:textId="04A35356" w:rsidR="00F6090D" w:rsidRDefault="00660AE1">
      <w:pPr>
        <w:pStyle w:val="TOC2"/>
        <w:tabs>
          <w:tab w:val="left" w:pos="720"/>
          <w:tab w:val="right" w:leader="dot" w:pos="8990"/>
        </w:tabs>
        <w:rPr>
          <w:rFonts w:eastAsiaTheme="minorEastAsia" w:cstheme="minorBidi"/>
          <w:i w:val="0"/>
          <w:iCs w:val="0"/>
          <w:noProof/>
          <w:sz w:val="22"/>
          <w:szCs w:val="22"/>
        </w:rPr>
      </w:pPr>
      <w:hyperlink w:anchor="_Toc72402735" w:history="1">
        <w:r w:rsidR="00F6090D" w:rsidRPr="00117B26">
          <w:rPr>
            <w:rStyle w:val="Hyperlink"/>
            <w:rFonts w:eastAsiaTheme="majorEastAsia"/>
            <w:noProof/>
          </w:rPr>
          <w:t>1.3</w:t>
        </w:r>
        <w:r w:rsidR="00F6090D">
          <w:rPr>
            <w:rFonts w:eastAsiaTheme="minorEastAsia" w:cstheme="minorBidi"/>
            <w:i w:val="0"/>
            <w:iCs w:val="0"/>
            <w:noProof/>
            <w:sz w:val="22"/>
            <w:szCs w:val="22"/>
          </w:rPr>
          <w:tab/>
        </w:r>
        <w:r w:rsidR="00F6090D" w:rsidRPr="00117B26">
          <w:rPr>
            <w:rStyle w:val="Hyperlink"/>
            <w:rFonts w:eastAsiaTheme="majorEastAsia"/>
            <w:noProof/>
          </w:rPr>
          <w:t>Departmental Forecasting Calendar</w:t>
        </w:r>
        <w:r w:rsidR="00F6090D">
          <w:rPr>
            <w:noProof/>
            <w:webHidden/>
          </w:rPr>
          <w:tab/>
        </w:r>
        <w:r w:rsidR="00F6090D">
          <w:rPr>
            <w:noProof/>
            <w:webHidden/>
          </w:rPr>
          <w:fldChar w:fldCharType="begin"/>
        </w:r>
        <w:r w:rsidR="00F6090D">
          <w:rPr>
            <w:noProof/>
            <w:webHidden/>
          </w:rPr>
          <w:instrText xml:space="preserve"> PAGEREF _Toc72402735 \h </w:instrText>
        </w:r>
        <w:r w:rsidR="00F6090D">
          <w:rPr>
            <w:noProof/>
            <w:webHidden/>
          </w:rPr>
        </w:r>
        <w:r w:rsidR="00F6090D">
          <w:rPr>
            <w:noProof/>
            <w:webHidden/>
          </w:rPr>
          <w:fldChar w:fldCharType="separate"/>
        </w:r>
        <w:r w:rsidR="00F6090D">
          <w:rPr>
            <w:noProof/>
            <w:webHidden/>
          </w:rPr>
          <w:t>5</w:t>
        </w:r>
        <w:r w:rsidR="00F6090D">
          <w:rPr>
            <w:noProof/>
            <w:webHidden/>
          </w:rPr>
          <w:fldChar w:fldCharType="end"/>
        </w:r>
      </w:hyperlink>
    </w:p>
    <w:p w14:paraId="245ECA0F" w14:textId="7DAFF91A" w:rsidR="00F6090D" w:rsidRDefault="00660AE1">
      <w:pPr>
        <w:pStyle w:val="TOC2"/>
        <w:tabs>
          <w:tab w:val="left" w:pos="720"/>
          <w:tab w:val="right" w:leader="dot" w:pos="8990"/>
        </w:tabs>
        <w:rPr>
          <w:rFonts w:eastAsiaTheme="minorEastAsia" w:cstheme="minorBidi"/>
          <w:i w:val="0"/>
          <w:iCs w:val="0"/>
          <w:noProof/>
          <w:sz w:val="22"/>
          <w:szCs w:val="22"/>
        </w:rPr>
      </w:pPr>
      <w:hyperlink w:anchor="_Toc72402736" w:history="1">
        <w:r w:rsidR="00F6090D" w:rsidRPr="00117B26">
          <w:rPr>
            <w:rStyle w:val="Hyperlink"/>
            <w:rFonts w:eastAsiaTheme="majorEastAsia"/>
            <w:noProof/>
          </w:rPr>
          <w:t>1.4</w:t>
        </w:r>
        <w:r w:rsidR="00F6090D">
          <w:rPr>
            <w:rFonts w:eastAsiaTheme="minorEastAsia" w:cstheme="minorBidi"/>
            <w:i w:val="0"/>
            <w:iCs w:val="0"/>
            <w:noProof/>
            <w:sz w:val="22"/>
            <w:szCs w:val="22"/>
          </w:rPr>
          <w:tab/>
        </w:r>
        <w:r w:rsidR="00F6090D" w:rsidRPr="00117B26">
          <w:rPr>
            <w:rStyle w:val="Hyperlink"/>
            <w:rFonts w:eastAsiaTheme="majorEastAsia"/>
            <w:noProof/>
          </w:rPr>
          <w:t>Canada Pension Plan Administrative Costs Forecast</w:t>
        </w:r>
        <w:r w:rsidR="00F6090D">
          <w:rPr>
            <w:noProof/>
            <w:webHidden/>
          </w:rPr>
          <w:tab/>
        </w:r>
        <w:r w:rsidR="00F6090D">
          <w:rPr>
            <w:noProof/>
            <w:webHidden/>
          </w:rPr>
          <w:fldChar w:fldCharType="begin"/>
        </w:r>
        <w:r w:rsidR="00F6090D">
          <w:rPr>
            <w:noProof/>
            <w:webHidden/>
          </w:rPr>
          <w:instrText xml:space="preserve"> PAGEREF _Toc72402736 \h </w:instrText>
        </w:r>
        <w:r w:rsidR="00F6090D">
          <w:rPr>
            <w:noProof/>
            <w:webHidden/>
          </w:rPr>
        </w:r>
        <w:r w:rsidR="00F6090D">
          <w:rPr>
            <w:noProof/>
            <w:webHidden/>
          </w:rPr>
          <w:fldChar w:fldCharType="separate"/>
        </w:r>
        <w:r w:rsidR="00F6090D">
          <w:rPr>
            <w:noProof/>
            <w:webHidden/>
          </w:rPr>
          <w:t>5</w:t>
        </w:r>
        <w:r w:rsidR="00F6090D">
          <w:rPr>
            <w:noProof/>
            <w:webHidden/>
          </w:rPr>
          <w:fldChar w:fldCharType="end"/>
        </w:r>
      </w:hyperlink>
    </w:p>
    <w:p w14:paraId="637A6EA0" w14:textId="1D0660A6" w:rsidR="00F6090D" w:rsidRDefault="00660AE1">
      <w:pPr>
        <w:pStyle w:val="TOC1"/>
        <w:tabs>
          <w:tab w:val="left" w:pos="480"/>
          <w:tab w:val="right" w:leader="dot" w:pos="8990"/>
        </w:tabs>
        <w:rPr>
          <w:rFonts w:eastAsiaTheme="minorEastAsia" w:cstheme="minorBidi"/>
          <w:b w:val="0"/>
          <w:bCs w:val="0"/>
          <w:noProof/>
          <w:sz w:val="22"/>
          <w:szCs w:val="22"/>
        </w:rPr>
      </w:pPr>
      <w:hyperlink w:anchor="_Toc72402737" w:history="1">
        <w:r w:rsidR="00F6090D" w:rsidRPr="00117B26">
          <w:rPr>
            <w:rStyle w:val="Hyperlink"/>
            <w:rFonts w:eastAsiaTheme="majorEastAsia"/>
            <w:noProof/>
          </w:rPr>
          <w:t>2</w:t>
        </w:r>
        <w:r w:rsidR="00F6090D">
          <w:rPr>
            <w:rFonts w:eastAsiaTheme="minorEastAsia" w:cstheme="minorBidi"/>
            <w:b w:val="0"/>
            <w:bCs w:val="0"/>
            <w:noProof/>
            <w:sz w:val="22"/>
            <w:szCs w:val="22"/>
          </w:rPr>
          <w:tab/>
        </w:r>
        <w:r w:rsidR="00F6090D" w:rsidRPr="00117B26">
          <w:rPr>
            <w:rStyle w:val="Hyperlink"/>
            <w:rFonts w:eastAsiaTheme="majorEastAsia"/>
            <w:noProof/>
          </w:rPr>
          <w:t>Forecasting Process</w:t>
        </w:r>
        <w:r w:rsidR="00F6090D">
          <w:rPr>
            <w:noProof/>
            <w:webHidden/>
          </w:rPr>
          <w:tab/>
        </w:r>
        <w:r w:rsidR="00F6090D">
          <w:rPr>
            <w:noProof/>
            <w:webHidden/>
          </w:rPr>
          <w:fldChar w:fldCharType="begin"/>
        </w:r>
        <w:r w:rsidR="00F6090D">
          <w:rPr>
            <w:noProof/>
            <w:webHidden/>
          </w:rPr>
          <w:instrText xml:space="preserve"> PAGEREF _Toc72402737 \h </w:instrText>
        </w:r>
        <w:r w:rsidR="00F6090D">
          <w:rPr>
            <w:noProof/>
            <w:webHidden/>
          </w:rPr>
        </w:r>
        <w:r w:rsidR="00F6090D">
          <w:rPr>
            <w:noProof/>
            <w:webHidden/>
          </w:rPr>
          <w:fldChar w:fldCharType="separate"/>
        </w:r>
        <w:r w:rsidR="00F6090D">
          <w:rPr>
            <w:noProof/>
            <w:webHidden/>
          </w:rPr>
          <w:t>6</w:t>
        </w:r>
        <w:r w:rsidR="00F6090D">
          <w:rPr>
            <w:noProof/>
            <w:webHidden/>
          </w:rPr>
          <w:fldChar w:fldCharType="end"/>
        </w:r>
      </w:hyperlink>
    </w:p>
    <w:p w14:paraId="6AF2CD69" w14:textId="3EAEF07E" w:rsidR="00F6090D" w:rsidRDefault="00660AE1">
      <w:pPr>
        <w:pStyle w:val="TOC2"/>
        <w:tabs>
          <w:tab w:val="left" w:pos="720"/>
          <w:tab w:val="right" w:leader="dot" w:pos="8990"/>
        </w:tabs>
        <w:rPr>
          <w:rFonts w:eastAsiaTheme="minorEastAsia" w:cstheme="minorBidi"/>
          <w:i w:val="0"/>
          <w:iCs w:val="0"/>
          <w:noProof/>
          <w:sz w:val="22"/>
          <w:szCs w:val="22"/>
        </w:rPr>
      </w:pPr>
      <w:hyperlink w:anchor="_Toc72402738" w:history="1">
        <w:r w:rsidR="00F6090D" w:rsidRPr="00117B26">
          <w:rPr>
            <w:rStyle w:val="Hyperlink"/>
            <w:rFonts w:eastAsiaTheme="majorEastAsia"/>
            <w:noProof/>
          </w:rPr>
          <w:t>2.1</w:t>
        </w:r>
        <w:r w:rsidR="00F6090D">
          <w:rPr>
            <w:rFonts w:eastAsiaTheme="minorEastAsia" w:cstheme="minorBidi"/>
            <w:i w:val="0"/>
            <w:iCs w:val="0"/>
            <w:noProof/>
            <w:sz w:val="22"/>
            <w:szCs w:val="22"/>
          </w:rPr>
          <w:tab/>
        </w:r>
        <w:r w:rsidR="00F6090D" w:rsidRPr="00117B26">
          <w:rPr>
            <w:rStyle w:val="Hyperlink"/>
            <w:rFonts w:eastAsiaTheme="majorEastAsia"/>
            <w:noProof/>
          </w:rPr>
          <w:t>Forecasting Process Initiation</w:t>
        </w:r>
        <w:r w:rsidR="00F6090D">
          <w:rPr>
            <w:noProof/>
            <w:webHidden/>
          </w:rPr>
          <w:tab/>
        </w:r>
        <w:r w:rsidR="00F6090D">
          <w:rPr>
            <w:noProof/>
            <w:webHidden/>
          </w:rPr>
          <w:fldChar w:fldCharType="begin"/>
        </w:r>
        <w:r w:rsidR="00F6090D">
          <w:rPr>
            <w:noProof/>
            <w:webHidden/>
          </w:rPr>
          <w:instrText xml:space="preserve"> PAGEREF _Toc72402738 \h </w:instrText>
        </w:r>
        <w:r w:rsidR="00F6090D">
          <w:rPr>
            <w:noProof/>
            <w:webHidden/>
          </w:rPr>
        </w:r>
        <w:r w:rsidR="00F6090D">
          <w:rPr>
            <w:noProof/>
            <w:webHidden/>
          </w:rPr>
          <w:fldChar w:fldCharType="separate"/>
        </w:r>
        <w:r w:rsidR="00F6090D">
          <w:rPr>
            <w:noProof/>
            <w:webHidden/>
          </w:rPr>
          <w:t>6</w:t>
        </w:r>
        <w:r w:rsidR="00F6090D">
          <w:rPr>
            <w:noProof/>
            <w:webHidden/>
          </w:rPr>
          <w:fldChar w:fldCharType="end"/>
        </w:r>
      </w:hyperlink>
    </w:p>
    <w:p w14:paraId="7FBF1473" w14:textId="2879B33C" w:rsidR="00F6090D" w:rsidRDefault="00660AE1">
      <w:pPr>
        <w:pStyle w:val="TOC2"/>
        <w:tabs>
          <w:tab w:val="left" w:pos="720"/>
          <w:tab w:val="right" w:leader="dot" w:pos="8990"/>
        </w:tabs>
        <w:rPr>
          <w:rFonts w:eastAsiaTheme="minorEastAsia" w:cstheme="minorBidi"/>
          <w:i w:val="0"/>
          <w:iCs w:val="0"/>
          <w:noProof/>
          <w:sz w:val="22"/>
          <w:szCs w:val="22"/>
        </w:rPr>
      </w:pPr>
      <w:hyperlink w:anchor="_Toc72402739" w:history="1">
        <w:r w:rsidR="00F6090D" w:rsidRPr="00117B26">
          <w:rPr>
            <w:rStyle w:val="Hyperlink"/>
            <w:rFonts w:eastAsiaTheme="majorEastAsia"/>
            <w:noProof/>
          </w:rPr>
          <w:t>2.2</w:t>
        </w:r>
        <w:r w:rsidR="00F6090D">
          <w:rPr>
            <w:rFonts w:eastAsiaTheme="minorEastAsia" w:cstheme="minorBidi"/>
            <w:i w:val="0"/>
            <w:iCs w:val="0"/>
            <w:noProof/>
            <w:sz w:val="22"/>
            <w:szCs w:val="22"/>
          </w:rPr>
          <w:tab/>
        </w:r>
        <w:r w:rsidR="00F6090D" w:rsidRPr="00117B26">
          <w:rPr>
            <w:rStyle w:val="Hyperlink"/>
            <w:rFonts w:eastAsiaTheme="majorEastAsia"/>
            <w:noProof/>
          </w:rPr>
          <w:t>Forecast Preparation and Consolidation</w:t>
        </w:r>
        <w:r w:rsidR="00F6090D">
          <w:rPr>
            <w:noProof/>
            <w:webHidden/>
          </w:rPr>
          <w:tab/>
        </w:r>
        <w:r w:rsidR="00F6090D">
          <w:rPr>
            <w:noProof/>
            <w:webHidden/>
          </w:rPr>
          <w:fldChar w:fldCharType="begin"/>
        </w:r>
        <w:r w:rsidR="00F6090D">
          <w:rPr>
            <w:noProof/>
            <w:webHidden/>
          </w:rPr>
          <w:instrText xml:space="preserve"> PAGEREF _Toc72402739 \h </w:instrText>
        </w:r>
        <w:r w:rsidR="00F6090D">
          <w:rPr>
            <w:noProof/>
            <w:webHidden/>
          </w:rPr>
        </w:r>
        <w:r w:rsidR="00F6090D">
          <w:rPr>
            <w:noProof/>
            <w:webHidden/>
          </w:rPr>
          <w:fldChar w:fldCharType="separate"/>
        </w:r>
        <w:r w:rsidR="00F6090D">
          <w:rPr>
            <w:noProof/>
            <w:webHidden/>
          </w:rPr>
          <w:t>7</w:t>
        </w:r>
        <w:r w:rsidR="00F6090D">
          <w:rPr>
            <w:noProof/>
            <w:webHidden/>
          </w:rPr>
          <w:fldChar w:fldCharType="end"/>
        </w:r>
      </w:hyperlink>
    </w:p>
    <w:p w14:paraId="608081C7" w14:textId="543171AE" w:rsidR="00F6090D" w:rsidRDefault="00660AE1">
      <w:pPr>
        <w:pStyle w:val="TOC2"/>
        <w:tabs>
          <w:tab w:val="left" w:pos="720"/>
          <w:tab w:val="right" w:leader="dot" w:pos="8990"/>
        </w:tabs>
        <w:rPr>
          <w:rFonts w:eastAsiaTheme="minorEastAsia" w:cstheme="minorBidi"/>
          <w:i w:val="0"/>
          <w:iCs w:val="0"/>
          <w:noProof/>
          <w:sz w:val="22"/>
          <w:szCs w:val="22"/>
        </w:rPr>
      </w:pPr>
      <w:hyperlink w:anchor="_Toc72402740" w:history="1">
        <w:r w:rsidR="00F6090D" w:rsidRPr="00117B26">
          <w:rPr>
            <w:rStyle w:val="Hyperlink"/>
            <w:rFonts w:eastAsiaTheme="majorEastAsia"/>
            <w:noProof/>
          </w:rPr>
          <w:t>2.3</w:t>
        </w:r>
        <w:r w:rsidR="00F6090D">
          <w:rPr>
            <w:rFonts w:eastAsiaTheme="minorEastAsia" w:cstheme="minorBidi"/>
            <w:i w:val="0"/>
            <w:iCs w:val="0"/>
            <w:noProof/>
            <w:sz w:val="22"/>
            <w:szCs w:val="22"/>
          </w:rPr>
          <w:tab/>
        </w:r>
        <w:r w:rsidR="00F6090D" w:rsidRPr="00117B26">
          <w:rPr>
            <w:rStyle w:val="Hyperlink"/>
            <w:rFonts w:eastAsiaTheme="majorEastAsia"/>
            <w:noProof/>
          </w:rPr>
          <w:t>Departmental Forecast Consolidation</w:t>
        </w:r>
        <w:r w:rsidR="00F6090D">
          <w:rPr>
            <w:noProof/>
            <w:webHidden/>
          </w:rPr>
          <w:tab/>
        </w:r>
        <w:r w:rsidR="00F6090D">
          <w:rPr>
            <w:noProof/>
            <w:webHidden/>
          </w:rPr>
          <w:fldChar w:fldCharType="begin"/>
        </w:r>
        <w:r w:rsidR="00F6090D">
          <w:rPr>
            <w:noProof/>
            <w:webHidden/>
          </w:rPr>
          <w:instrText xml:space="preserve"> PAGEREF _Toc72402740 \h </w:instrText>
        </w:r>
        <w:r w:rsidR="00F6090D">
          <w:rPr>
            <w:noProof/>
            <w:webHidden/>
          </w:rPr>
        </w:r>
        <w:r w:rsidR="00F6090D">
          <w:rPr>
            <w:noProof/>
            <w:webHidden/>
          </w:rPr>
          <w:fldChar w:fldCharType="separate"/>
        </w:r>
        <w:r w:rsidR="00F6090D">
          <w:rPr>
            <w:noProof/>
            <w:webHidden/>
          </w:rPr>
          <w:t>9</w:t>
        </w:r>
        <w:r w:rsidR="00F6090D">
          <w:rPr>
            <w:noProof/>
            <w:webHidden/>
          </w:rPr>
          <w:fldChar w:fldCharType="end"/>
        </w:r>
      </w:hyperlink>
    </w:p>
    <w:p w14:paraId="3CFF8ED4" w14:textId="098381F1" w:rsidR="00F6090D" w:rsidRDefault="00660AE1">
      <w:pPr>
        <w:pStyle w:val="TOC1"/>
        <w:tabs>
          <w:tab w:val="left" w:pos="480"/>
          <w:tab w:val="right" w:leader="dot" w:pos="8990"/>
        </w:tabs>
        <w:rPr>
          <w:rFonts w:eastAsiaTheme="minorEastAsia" w:cstheme="minorBidi"/>
          <w:b w:val="0"/>
          <w:bCs w:val="0"/>
          <w:noProof/>
          <w:sz w:val="22"/>
          <w:szCs w:val="22"/>
        </w:rPr>
      </w:pPr>
      <w:hyperlink w:anchor="_Toc72402741" w:history="1">
        <w:r w:rsidR="00F6090D" w:rsidRPr="00117B26">
          <w:rPr>
            <w:rStyle w:val="Hyperlink"/>
            <w:rFonts w:eastAsiaTheme="majorEastAsia"/>
            <w:noProof/>
            <w:lang w:val="en-US"/>
          </w:rPr>
          <w:t>3</w:t>
        </w:r>
        <w:r w:rsidR="00F6090D">
          <w:rPr>
            <w:rFonts w:eastAsiaTheme="minorEastAsia" w:cstheme="minorBidi"/>
            <w:b w:val="0"/>
            <w:bCs w:val="0"/>
            <w:noProof/>
            <w:sz w:val="22"/>
            <w:szCs w:val="22"/>
          </w:rPr>
          <w:tab/>
        </w:r>
        <w:r w:rsidR="00F6090D" w:rsidRPr="00117B26">
          <w:rPr>
            <w:rStyle w:val="Hyperlink"/>
            <w:rFonts w:eastAsiaTheme="majorEastAsia"/>
            <w:noProof/>
            <w:lang w:val="en-US"/>
          </w:rPr>
          <w:t>Detailed Guidelines</w:t>
        </w:r>
        <w:r w:rsidR="00F6090D">
          <w:rPr>
            <w:noProof/>
            <w:webHidden/>
          </w:rPr>
          <w:tab/>
        </w:r>
        <w:r w:rsidR="00F6090D">
          <w:rPr>
            <w:noProof/>
            <w:webHidden/>
          </w:rPr>
          <w:fldChar w:fldCharType="begin"/>
        </w:r>
        <w:r w:rsidR="00F6090D">
          <w:rPr>
            <w:noProof/>
            <w:webHidden/>
          </w:rPr>
          <w:instrText xml:space="preserve"> PAGEREF _Toc72402741 \h </w:instrText>
        </w:r>
        <w:r w:rsidR="00F6090D">
          <w:rPr>
            <w:noProof/>
            <w:webHidden/>
          </w:rPr>
        </w:r>
        <w:r w:rsidR="00F6090D">
          <w:rPr>
            <w:noProof/>
            <w:webHidden/>
          </w:rPr>
          <w:fldChar w:fldCharType="separate"/>
        </w:r>
        <w:r w:rsidR="00F6090D">
          <w:rPr>
            <w:noProof/>
            <w:webHidden/>
          </w:rPr>
          <w:t>9</w:t>
        </w:r>
        <w:r w:rsidR="00F6090D">
          <w:rPr>
            <w:noProof/>
            <w:webHidden/>
          </w:rPr>
          <w:fldChar w:fldCharType="end"/>
        </w:r>
      </w:hyperlink>
    </w:p>
    <w:p w14:paraId="33172532" w14:textId="19FC70A3" w:rsidR="00F6090D" w:rsidRDefault="00660AE1">
      <w:pPr>
        <w:pStyle w:val="TOC2"/>
        <w:tabs>
          <w:tab w:val="left" w:pos="720"/>
          <w:tab w:val="right" w:leader="dot" w:pos="8990"/>
        </w:tabs>
        <w:rPr>
          <w:rFonts w:eastAsiaTheme="minorEastAsia" w:cstheme="minorBidi"/>
          <w:i w:val="0"/>
          <w:iCs w:val="0"/>
          <w:noProof/>
          <w:sz w:val="22"/>
          <w:szCs w:val="22"/>
        </w:rPr>
      </w:pPr>
      <w:hyperlink w:anchor="_Toc72402742" w:history="1">
        <w:r w:rsidR="00F6090D" w:rsidRPr="00117B26">
          <w:rPr>
            <w:rStyle w:val="Hyperlink"/>
            <w:rFonts w:eastAsiaTheme="majorEastAsia"/>
            <w:noProof/>
          </w:rPr>
          <w:t>3.1</w:t>
        </w:r>
        <w:r w:rsidR="00F6090D">
          <w:rPr>
            <w:rFonts w:eastAsiaTheme="minorEastAsia" w:cstheme="minorBidi"/>
            <w:i w:val="0"/>
            <w:iCs w:val="0"/>
            <w:noProof/>
            <w:sz w:val="22"/>
            <w:szCs w:val="22"/>
          </w:rPr>
          <w:tab/>
        </w:r>
        <w:r w:rsidR="00F6090D" w:rsidRPr="00117B26">
          <w:rPr>
            <w:rStyle w:val="Hyperlink"/>
            <w:rFonts w:eastAsiaTheme="majorEastAsia"/>
            <w:noProof/>
          </w:rPr>
          <w:t>Approved Potential Funding for Planning Purposes Budget</w:t>
        </w:r>
        <w:r w:rsidR="00F6090D">
          <w:rPr>
            <w:noProof/>
            <w:webHidden/>
          </w:rPr>
          <w:tab/>
        </w:r>
        <w:r w:rsidR="00F6090D">
          <w:rPr>
            <w:noProof/>
            <w:webHidden/>
          </w:rPr>
          <w:fldChar w:fldCharType="begin"/>
        </w:r>
        <w:r w:rsidR="00F6090D">
          <w:rPr>
            <w:noProof/>
            <w:webHidden/>
          </w:rPr>
          <w:instrText xml:space="preserve"> PAGEREF _Toc72402742 \h </w:instrText>
        </w:r>
        <w:r w:rsidR="00F6090D">
          <w:rPr>
            <w:noProof/>
            <w:webHidden/>
          </w:rPr>
        </w:r>
        <w:r w:rsidR="00F6090D">
          <w:rPr>
            <w:noProof/>
            <w:webHidden/>
          </w:rPr>
          <w:fldChar w:fldCharType="separate"/>
        </w:r>
        <w:r w:rsidR="00F6090D">
          <w:rPr>
            <w:noProof/>
            <w:webHidden/>
          </w:rPr>
          <w:t>9</w:t>
        </w:r>
        <w:r w:rsidR="00F6090D">
          <w:rPr>
            <w:noProof/>
            <w:webHidden/>
          </w:rPr>
          <w:fldChar w:fldCharType="end"/>
        </w:r>
      </w:hyperlink>
    </w:p>
    <w:p w14:paraId="19FAC243" w14:textId="578EF22B" w:rsidR="00F6090D" w:rsidRDefault="00660AE1">
      <w:pPr>
        <w:pStyle w:val="TOC2"/>
        <w:tabs>
          <w:tab w:val="left" w:pos="720"/>
          <w:tab w:val="right" w:leader="dot" w:pos="8990"/>
        </w:tabs>
        <w:rPr>
          <w:rFonts w:eastAsiaTheme="minorEastAsia" w:cstheme="minorBidi"/>
          <w:i w:val="0"/>
          <w:iCs w:val="0"/>
          <w:noProof/>
          <w:sz w:val="22"/>
          <w:szCs w:val="22"/>
        </w:rPr>
      </w:pPr>
      <w:hyperlink w:anchor="_Toc72402743" w:history="1">
        <w:r w:rsidR="00F6090D" w:rsidRPr="00117B26">
          <w:rPr>
            <w:rStyle w:val="Hyperlink"/>
            <w:rFonts w:eastAsiaTheme="majorEastAsia"/>
            <w:noProof/>
          </w:rPr>
          <w:t>3.2</w:t>
        </w:r>
        <w:r w:rsidR="00F6090D">
          <w:rPr>
            <w:rFonts w:eastAsiaTheme="minorEastAsia" w:cstheme="minorBidi"/>
            <w:i w:val="0"/>
            <w:iCs w:val="0"/>
            <w:noProof/>
            <w:sz w:val="22"/>
            <w:szCs w:val="22"/>
          </w:rPr>
          <w:tab/>
        </w:r>
        <w:r w:rsidR="00F6090D" w:rsidRPr="00117B26">
          <w:rPr>
            <w:rStyle w:val="Hyperlink"/>
            <w:rFonts w:eastAsiaTheme="majorEastAsia"/>
            <w:noProof/>
          </w:rPr>
          <w:t>Personnel Forecasts</w:t>
        </w:r>
        <w:r w:rsidR="00F6090D">
          <w:rPr>
            <w:noProof/>
            <w:webHidden/>
          </w:rPr>
          <w:tab/>
        </w:r>
        <w:r w:rsidR="00F6090D">
          <w:rPr>
            <w:noProof/>
            <w:webHidden/>
          </w:rPr>
          <w:fldChar w:fldCharType="begin"/>
        </w:r>
        <w:r w:rsidR="00F6090D">
          <w:rPr>
            <w:noProof/>
            <w:webHidden/>
          </w:rPr>
          <w:instrText xml:space="preserve"> PAGEREF _Toc72402743 \h </w:instrText>
        </w:r>
        <w:r w:rsidR="00F6090D">
          <w:rPr>
            <w:noProof/>
            <w:webHidden/>
          </w:rPr>
        </w:r>
        <w:r w:rsidR="00F6090D">
          <w:rPr>
            <w:noProof/>
            <w:webHidden/>
          </w:rPr>
          <w:fldChar w:fldCharType="separate"/>
        </w:r>
        <w:r w:rsidR="00F6090D">
          <w:rPr>
            <w:noProof/>
            <w:webHidden/>
          </w:rPr>
          <w:t>10</w:t>
        </w:r>
        <w:r w:rsidR="00F6090D">
          <w:rPr>
            <w:noProof/>
            <w:webHidden/>
          </w:rPr>
          <w:fldChar w:fldCharType="end"/>
        </w:r>
      </w:hyperlink>
    </w:p>
    <w:p w14:paraId="43FB48AD" w14:textId="1AECCC01" w:rsidR="00F6090D" w:rsidRDefault="00660AE1">
      <w:pPr>
        <w:pStyle w:val="TOC3"/>
        <w:tabs>
          <w:tab w:val="left" w:pos="1200"/>
          <w:tab w:val="right" w:leader="dot" w:pos="8990"/>
        </w:tabs>
        <w:rPr>
          <w:rFonts w:eastAsiaTheme="minorEastAsia" w:cstheme="minorBidi"/>
          <w:noProof/>
          <w:sz w:val="22"/>
          <w:szCs w:val="22"/>
        </w:rPr>
      </w:pPr>
      <w:hyperlink w:anchor="_Toc72402744" w:history="1">
        <w:r w:rsidR="00F6090D" w:rsidRPr="00117B26">
          <w:rPr>
            <w:rStyle w:val="Hyperlink"/>
            <w:rFonts w:eastAsiaTheme="majorEastAsia"/>
            <w:noProof/>
            <w:lang w:val="en-US"/>
          </w:rPr>
          <w:t>3.2.1</w:t>
        </w:r>
        <w:r w:rsidR="00F6090D">
          <w:rPr>
            <w:rFonts w:eastAsiaTheme="minorEastAsia" w:cstheme="minorBidi"/>
            <w:noProof/>
            <w:sz w:val="22"/>
            <w:szCs w:val="22"/>
          </w:rPr>
          <w:tab/>
        </w:r>
        <w:r w:rsidR="00F6090D" w:rsidRPr="00117B26">
          <w:rPr>
            <w:rStyle w:val="Hyperlink"/>
            <w:rFonts w:eastAsiaTheme="majorEastAsia"/>
            <w:noProof/>
            <w:lang w:val="en-US"/>
          </w:rPr>
          <w:t>Employee Forecasts (PRI Level)</w:t>
        </w:r>
        <w:r w:rsidR="00F6090D">
          <w:rPr>
            <w:noProof/>
            <w:webHidden/>
          </w:rPr>
          <w:tab/>
        </w:r>
        <w:r w:rsidR="00F6090D">
          <w:rPr>
            <w:noProof/>
            <w:webHidden/>
          </w:rPr>
          <w:fldChar w:fldCharType="begin"/>
        </w:r>
        <w:r w:rsidR="00F6090D">
          <w:rPr>
            <w:noProof/>
            <w:webHidden/>
          </w:rPr>
          <w:instrText xml:space="preserve"> PAGEREF _Toc72402744 \h </w:instrText>
        </w:r>
        <w:r w:rsidR="00F6090D">
          <w:rPr>
            <w:noProof/>
            <w:webHidden/>
          </w:rPr>
        </w:r>
        <w:r w:rsidR="00F6090D">
          <w:rPr>
            <w:noProof/>
            <w:webHidden/>
          </w:rPr>
          <w:fldChar w:fldCharType="separate"/>
        </w:r>
        <w:r w:rsidR="00F6090D">
          <w:rPr>
            <w:noProof/>
            <w:webHidden/>
          </w:rPr>
          <w:t>10</w:t>
        </w:r>
        <w:r w:rsidR="00F6090D">
          <w:rPr>
            <w:noProof/>
            <w:webHidden/>
          </w:rPr>
          <w:fldChar w:fldCharType="end"/>
        </w:r>
      </w:hyperlink>
    </w:p>
    <w:p w14:paraId="1A1FE180" w14:textId="76DF5518" w:rsidR="00F6090D" w:rsidRDefault="00660AE1">
      <w:pPr>
        <w:pStyle w:val="TOC3"/>
        <w:tabs>
          <w:tab w:val="left" w:pos="1200"/>
          <w:tab w:val="right" w:leader="dot" w:pos="8990"/>
        </w:tabs>
        <w:rPr>
          <w:rFonts w:eastAsiaTheme="minorEastAsia" w:cstheme="minorBidi"/>
          <w:noProof/>
          <w:sz w:val="22"/>
          <w:szCs w:val="22"/>
        </w:rPr>
      </w:pPr>
      <w:hyperlink w:anchor="_Toc72402745" w:history="1">
        <w:r w:rsidR="00F6090D" w:rsidRPr="00117B26">
          <w:rPr>
            <w:rStyle w:val="Hyperlink"/>
            <w:rFonts w:eastAsiaTheme="majorEastAsia"/>
            <w:noProof/>
            <w:lang w:val="en-US"/>
          </w:rPr>
          <w:t>3.2.2</w:t>
        </w:r>
        <w:r w:rsidR="00F6090D">
          <w:rPr>
            <w:rFonts w:eastAsiaTheme="minorEastAsia" w:cstheme="minorBidi"/>
            <w:noProof/>
            <w:sz w:val="22"/>
            <w:szCs w:val="22"/>
          </w:rPr>
          <w:tab/>
        </w:r>
        <w:r w:rsidR="00F6090D" w:rsidRPr="00117B26">
          <w:rPr>
            <w:rStyle w:val="Hyperlink"/>
            <w:rFonts w:eastAsiaTheme="majorEastAsia"/>
            <w:noProof/>
            <w:lang w:val="en-US"/>
          </w:rPr>
          <w:t>Performance Pay Forecasts</w:t>
        </w:r>
        <w:r w:rsidR="00F6090D">
          <w:rPr>
            <w:noProof/>
            <w:webHidden/>
          </w:rPr>
          <w:tab/>
        </w:r>
        <w:r w:rsidR="00F6090D">
          <w:rPr>
            <w:noProof/>
            <w:webHidden/>
          </w:rPr>
          <w:fldChar w:fldCharType="begin"/>
        </w:r>
        <w:r w:rsidR="00F6090D">
          <w:rPr>
            <w:noProof/>
            <w:webHidden/>
          </w:rPr>
          <w:instrText xml:space="preserve"> PAGEREF _Toc72402745 \h </w:instrText>
        </w:r>
        <w:r w:rsidR="00F6090D">
          <w:rPr>
            <w:noProof/>
            <w:webHidden/>
          </w:rPr>
        </w:r>
        <w:r w:rsidR="00F6090D">
          <w:rPr>
            <w:noProof/>
            <w:webHidden/>
          </w:rPr>
          <w:fldChar w:fldCharType="separate"/>
        </w:r>
        <w:r w:rsidR="00F6090D">
          <w:rPr>
            <w:noProof/>
            <w:webHidden/>
          </w:rPr>
          <w:t>11</w:t>
        </w:r>
        <w:r w:rsidR="00F6090D">
          <w:rPr>
            <w:noProof/>
            <w:webHidden/>
          </w:rPr>
          <w:fldChar w:fldCharType="end"/>
        </w:r>
      </w:hyperlink>
    </w:p>
    <w:p w14:paraId="541ABE5F" w14:textId="6C97D2FE" w:rsidR="00F6090D" w:rsidRDefault="00660AE1">
      <w:pPr>
        <w:pStyle w:val="TOC3"/>
        <w:tabs>
          <w:tab w:val="left" w:pos="1200"/>
          <w:tab w:val="right" w:leader="dot" w:pos="8990"/>
        </w:tabs>
        <w:rPr>
          <w:rFonts w:eastAsiaTheme="minorEastAsia" w:cstheme="minorBidi"/>
          <w:noProof/>
          <w:sz w:val="22"/>
          <w:szCs w:val="22"/>
        </w:rPr>
      </w:pPr>
      <w:hyperlink w:anchor="_Toc72402746" w:history="1">
        <w:r w:rsidR="00F6090D" w:rsidRPr="00117B26">
          <w:rPr>
            <w:rStyle w:val="Hyperlink"/>
            <w:rFonts w:eastAsiaTheme="majorEastAsia"/>
            <w:noProof/>
            <w:lang w:val="en-US"/>
          </w:rPr>
          <w:t>3.2.3</w:t>
        </w:r>
        <w:r w:rsidR="00F6090D">
          <w:rPr>
            <w:rFonts w:eastAsiaTheme="minorEastAsia" w:cstheme="minorBidi"/>
            <w:noProof/>
            <w:sz w:val="22"/>
            <w:szCs w:val="22"/>
          </w:rPr>
          <w:tab/>
        </w:r>
        <w:r w:rsidR="00F6090D" w:rsidRPr="00117B26">
          <w:rPr>
            <w:rStyle w:val="Hyperlink"/>
            <w:rFonts w:eastAsiaTheme="majorEastAsia"/>
            <w:noProof/>
            <w:lang w:val="en-US"/>
          </w:rPr>
          <w:t>Cash out of Vacation leave Forecasts</w:t>
        </w:r>
        <w:r w:rsidR="00F6090D">
          <w:rPr>
            <w:noProof/>
            <w:webHidden/>
          </w:rPr>
          <w:tab/>
        </w:r>
        <w:r w:rsidR="00F6090D">
          <w:rPr>
            <w:noProof/>
            <w:webHidden/>
          </w:rPr>
          <w:fldChar w:fldCharType="begin"/>
        </w:r>
        <w:r w:rsidR="00F6090D">
          <w:rPr>
            <w:noProof/>
            <w:webHidden/>
          </w:rPr>
          <w:instrText xml:space="preserve"> PAGEREF _Toc72402746 \h </w:instrText>
        </w:r>
        <w:r w:rsidR="00F6090D">
          <w:rPr>
            <w:noProof/>
            <w:webHidden/>
          </w:rPr>
        </w:r>
        <w:r w:rsidR="00F6090D">
          <w:rPr>
            <w:noProof/>
            <w:webHidden/>
          </w:rPr>
          <w:fldChar w:fldCharType="separate"/>
        </w:r>
        <w:r w:rsidR="00F6090D">
          <w:rPr>
            <w:noProof/>
            <w:webHidden/>
          </w:rPr>
          <w:t>12</w:t>
        </w:r>
        <w:r w:rsidR="00F6090D">
          <w:rPr>
            <w:noProof/>
            <w:webHidden/>
          </w:rPr>
          <w:fldChar w:fldCharType="end"/>
        </w:r>
      </w:hyperlink>
    </w:p>
    <w:p w14:paraId="2106184F" w14:textId="12312DDD" w:rsidR="00F6090D" w:rsidRDefault="00660AE1">
      <w:pPr>
        <w:pStyle w:val="TOC3"/>
        <w:tabs>
          <w:tab w:val="left" w:pos="1200"/>
          <w:tab w:val="right" w:leader="dot" w:pos="8990"/>
        </w:tabs>
        <w:rPr>
          <w:rFonts w:eastAsiaTheme="minorEastAsia" w:cstheme="minorBidi"/>
          <w:noProof/>
          <w:sz w:val="22"/>
          <w:szCs w:val="22"/>
        </w:rPr>
      </w:pPr>
      <w:hyperlink w:anchor="_Toc72402747" w:history="1">
        <w:r w:rsidR="00F6090D" w:rsidRPr="00117B26">
          <w:rPr>
            <w:rStyle w:val="Hyperlink"/>
            <w:rFonts w:eastAsiaTheme="majorEastAsia"/>
            <w:noProof/>
            <w:lang w:val="en-US"/>
          </w:rPr>
          <w:t>3.2.4</w:t>
        </w:r>
        <w:r w:rsidR="00F6090D">
          <w:rPr>
            <w:rFonts w:eastAsiaTheme="minorEastAsia" w:cstheme="minorBidi"/>
            <w:noProof/>
            <w:sz w:val="22"/>
            <w:szCs w:val="22"/>
          </w:rPr>
          <w:tab/>
        </w:r>
        <w:r w:rsidR="00F6090D" w:rsidRPr="00117B26">
          <w:rPr>
            <w:rStyle w:val="Hyperlink"/>
            <w:rFonts w:eastAsiaTheme="majorEastAsia"/>
            <w:noProof/>
            <w:lang w:val="en-US"/>
          </w:rPr>
          <w:t>Personnel Forecasts Exclusions</w:t>
        </w:r>
        <w:r w:rsidR="00F6090D">
          <w:rPr>
            <w:noProof/>
            <w:webHidden/>
          </w:rPr>
          <w:tab/>
        </w:r>
        <w:r w:rsidR="00F6090D">
          <w:rPr>
            <w:noProof/>
            <w:webHidden/>
          </w:rPr>
          <w:fldChar w:fldCharType="begin"/>
        </w:r>
        <w:r w:rsidR="00F6090D">
          <w:rPr>
            <w:noProof/>
            <w:webHidden/>
          </w:rPr>
          <w:instrText xml:space="preserve"> PAGEREF _Toc72402747 \h </w:instrText>
        </w:r>
        <w:r w:rsidR="00F6090D">
          <w:rPr>
            <w:noProof/>
            <w:webHidden/>
          </w:rPr>
        </w:r>
        <w:r w:rsidR="00F6090D">
          <w:rPr>
            <w:noProof/>
            <w:webHidden/>
          </w:rPr>
          <w:fldChar w:fldCharType="separate"/>
        </w:r>
        <w:r w:rsidR="00F6090D">
          <w:rPr>
            <w:noProof/>
            <w:webHidden/>
          </w:rPr>
          <w:t>12</w:t>
        </w:r>
        <w:r w:rsidR="00F6090D">
          <w:rPr>
            <w:noProof/>
            <w:webHidden/>
          </w:rPr>
          <w:fldChar w:fldCharType="end"/>
        </w:r>
      </w:hyperlink>
    </w:p>
    <w:p w14:paraId="01DF415B" w14:textId="01940F75" w:rsidR="00F6090D" w:rsidRDefault="00660AE1">
      <w:pPr>
        <w:pStyle w:val="TOC3"/>
        <w:tabs>
          <w:tab w:val="left" w:pos="1200"/>
          <w:tab w:val="right" w:leader="dot" w:pos="8990"/>
        </w:tabs>
        <w:rPr>
          <w:rFonts w:eastAsiaTheme="minorEastAsia" w:cstheme="minorBidi"/>
          <w:noProof/>
          <w:sz w:val="22"/>
          <w:szCs w:val="22"/>
        </w:rPr>
      </w:pPr>
      <w:hyperlink w:anchor="_Toc72402748" w:history="1">
        <w:r w:rsidR="00F6090D" w:rsidRPr="00117B26">
          <w:rPr>
            <w:rStyle w:val="Hyperlink"/>
            <w:rFonts w:eastAsiaTheme="majorEastAsia"/>
            <w:noProof/>
          </w:rPr>
          <w:t>3.2.5</w:t>
        </w:r>
        <w:r w:rsidR="00F6090D">
          <w:rPr>
            <w:rFonts w:eastAsiaTheme="minorEastAsia" w:cstheme="minorBidi"/>
            <w:noProof/>
            <w:sz w:val="22"/>
            <w:szCs w:val="22"/>
          </w:rPr>
          <w:tab/>
        </w:r>
        <w:r w:rsidR="00F6090D" w:rsidRPr="00117B26">
          <w:rPr>
            <w:rStyle w:val="Hyperlink"/>
            <w:rFonts w:eastAsiaTheme="majorEastAsia"/>
            <w:noProof/>
          </w:rPr>
          <w:t>Collective Agreement Increases</w:t>
        </w:r>
        <w:r w:rsidR="00F6090D">
          <w:rPr>
            <w:noProof/>
            <w:webHidden/>
          </w:rPr>
          <w:tab/>
        </w:r>
        <w:r w:rsidR="00F6090D">
          <w:rPr>
            <w:noProof/>
            <w:webHidden/>
          </w:rPr>
          <w:fldChar w:fldCharType="begin"/>
        </w:r>
        <w:r w:rsidR="00F6090D">
          <w:rPr>
            <w:noProof/>
            <w:webHidden/>
          </w:rPr>
          <w:instrText xml:space="preserve"> PAGEREF _Toc72402748 \h </w:instrText>
        </w:r>
        <w:r w:rsidR="00F6090D">
          <w:rPr>
            <w:noProof/>
            <w:webHidden/>
          </w:rPr>
        </w:r>
        <w:r w:rsidR="00F6090D">
          <w:rPr>
            <w:noProof/>
            <w:webHidden/>
          </w:rPr>
          <w:fldChar w:fldCharType="separate"/>
        </w:r>
        <w:r w:rsidR="00F6090D">
          <w:rPr>
            <w:noProof/>
            <w:webHidden/>
          </w:rPr>
          <w:t>12</w:t>
        </w:r>
        <w:r w:rsidR="00F6090D">
          <w:rPr>
            <w:noProof/>
            <w:webHidden/>
          </w:rPr>
          <w:fldChar w:fldCharType="end"/>
        </w:r>
      </w:hyperlink>
    </w:p>
    <w:p w14:paraId="6CDAEB71" w14:textId="6252B591" w:rsidR="00F6090D" w:rsidRDefault="00660AE1">
      <w:pPr>
        <w:pStyle w:val="TOC3"/>
        <w:tabs>
          <w:tab w:val="left" w:pos="1200"/>
          <w:tab w:val="right" w:leader="dot" w:pos="8990"/>
        </w:tabs>
        <w:rPr>
          <w:rFonts w:eastAsiaTheme="minorEastAsia" w:cstheme="minorBidi"/>
          <w:noProof/>
          <w:sz w:val="22"/>
          <w:szCs w:val="22"/>
        </w:rPr>
      </w:pPr>
      <w:hyperlink w:anchor="_Toc72402749" w:history="1">
        <w:r w:rsidR="00F6090D" w:rsidRPr="00117B26">
          <w:rPr>
            <w:rStyle w:val="Hyperlink"/>
            <w:rFonts w:eastAsiaTheme="majorEastAsia"/>
            <w:noProof/>
            <w:lang w:val="en-US"/>
          </w:rPr>
          <w:t>3.2.6</w:t>
        </w:r>
        <w:r w:rsidR="00F6090D">
          <w:rPr>
            <w:rFonts w:eastAsiaTheme="minorEastAsia" w:cstheme="minorBidi"/>
            <w:noProof/>
            <w:sz w:val="22"/>
            <w:szCs w:val="22"/>
          </w:rPr>
          <w:tab/>
        </w:r>
        <w:r w:rsidR="00F6090D" w:rsidRPr="00117B26">
          <w:rPr>
            <w:rStyle w:val="Hyperlink"/>
            <w:rFonts w:eastAsiaTheme="majorEastAsia"/>
            <w:noProof/>
            <w:lang w:val="en-US"/>
          </w:rPr>
          <w:t>Planned Staffing (Position Forecasts)</w:t>
        </w:r>
        <w:r w:rsidR="00F6090D">
          <w:rPr>
            <w:noProof/>
            <w:webHidden/>
          </w:rPr>
          <w:tab/>
        </w:r>
        <w:r w:rsidR="00F6090D">
          <w:rPr>
            <w:noProof/>
            <w:webHidden/>
          </w:rPr>
          <w:fldChar w:fldCharType="begin"/>
        </w:r>
        <w:r w:rsidR="00F6090D">
          <w:rPr>
            <w:noProof/>
            <w:webHidden/>
          </w:rPr>
          <w:instrText xml:space="preserve"> PAGEREF _Toc72402749 \h </w:instrText>
        </w:r>
        <w:r w:rsidR="00F6090D">
          <w:rPr>
            <w:noProof/>
            <w:webHidden/>
          </w:rPr>
        </w:r>
        <w:r w:rsidR="00F6090D">
          <w:rPr>
            <w:noProof/>
            <w:webHidden/>
          </w:rPr>
          <w:fldChar w:fldCharType="separate"/>
        </w:r>
        <w:r w:rsidR="00F6090D">
          <w:rPr>
            <w:noProof/>
            <w:webHidden/>
          </w:rPr>
          <w:t>13</w:t>
        </w:r>
        <w:r w:rsidR="00F6090D">
          <w:rPr>
            <w:noProof/>
            <w:webHidden/>
          </w:rPr>
          <w:fldChar w:fldCharType="end"/>
        </w:r>
      </w:hyperlink>
    </w:p>
    <w:p w14:paraId="25872E6A" w14:textId="249D601B" w:rsidR="00F6090D" w:rsidRDefault="00660AE1">
      <w:pPr>
        <w:pStyle w:val="TOC3"/>
        <w:tabs>
          <w:tab w:val="left" w:pos="1200"/>
          <w:tab w:val="right" w:leader="dot" w:pos="8990"/>
        </w:tabs>
        <w:rPr>
          <w:rFonts w:eastAsiaTheme="minorEastAsia" w:cstheme="minorBidi"/>
          <w:noProof/>
          <w:sz w:val="22"/>
          <w:szCs w:val="22"/>
        </w:rPr>
      </w:pPr>
      <w:hyperlink w:anchor="_Toc72402750" w:history="1">
        <w:r w:rsidR="00F6090D" w:rsidRPr="00117B26">
          <w:rPr>
            <w:rStyle w:val="Hyperlink"/>
            <w:rFonts w:eastAsiaTheme="majorEastAsia"/>
            <w:noProof/>
            <w:lang w:val="en-US"/>
          </w:rPr>
          <w:t>3.2.7</w:t>
        </w:r>
        <w:r w:rsidR="00F6090D">
          <w:rPr>
            <w:rFonts w:eastAsiaTheme="minorEastAsia" w:cstheme="minorBidi"/>
            <w:noProof/>
            <w:sz w:val="22"/>
            <w:szCs w:val="22"/>
          </w:rPr>
          <w:tab/>
        </w:r>
        <w:r w:rsidR="00F6090D" w:rsidRPr="00117B26">
          <w:rPr>
            <w:rStyle w:val="Hyperlink"/>
            <w:rFonts w:eastAsiaTheme="majorEastAsia"/>
            <w:noProof/>
            <w:lang w:val="en-US"/>
          </w:rPr>
          <w:t>Global Forecasts</w:t>
        </w:r>
        <w:r w:rsidR="00F6090D">
          <w:rPr>
            <w:noProof/>
            <w:webHidden/>
          </w:rPr>
          <w:tab/>
        </w:r>
        <w:r w:rsidR="00F6090D">
          <w:rPr>
            <w:noProof/>
            <w:webHidden/>
          </w:rPr>
          <w:fldChar w:fldCharType="begin"/>
        </w:r>
        <w:r w:rsidR="00F6090D">
          <w:rPr>
            <w:noProof/>
            <w:webHidden/>
          </w:rPr>
          <w:instrText xml:space="preserve"> PAGEREF _Toc72402750 \h </w:instrText>
        </w:r>
        <w:r w:rsidR="00F6090D">
          <w:rPr>
            <w:noProof/>
            <w:webHidden/>
          </w:rPr>
        </w:r>
        <w:r w:rsidR="00F6090D">
          <w:rPr>
            <w:noProof/>
            <w:webHidden/>
          </w:rPr>
          <w:fldChar w:fldCharType="separate"/>
        </w:r>
        <w:r w:rsidR="00F6090D">
          <w:rPr>
            <w:noProof/>
            <w:webHidden/>
          </w:rPr>
          <w:t>14</w:t>
        </w:r>
        <w:r w:rsidR="00F6090D">
          <w:rPr>
            <w:noProof/>
            <w:webHidden/>
          </w:rPr>
          <w:fldChar w:fldCharType="end"/>
        </w:r>
      </w:hyperlink>
    </w:p>
    <w:p w14:paraId="4E0C5353" w14:textId="720AE24C" w:rsidR="00F6090D" w:rsidRDefault="00660AE1">
      <w:pPr>
        <w:pStyle w:val="TOC3"/>
        <w:tabs>
          <w:tab w:val="left" w:pos="1200"/>
          <w:tab w:val="right" w:leader="dot" w:pos="8990"/>
        </w:tabs>
        <w:rPr>
          <w:rFonts w:eastAsiaTheme="minorEastAsia" w:cstheme="minorBidi"/>
          <w:noProof/>
          <w:sz w:val="22"/>
          <w:szCs w:val="22"/>
        </w:rPr>
      </w:pPr>
      <w:hyperlink w:anchor="_Toc72402751" w:history="1">
        <w:r w:rsidR="00F6090D" w:rsidRPr="00117B26">
          <w:rPr>
            <w:rStyle w:val="Hyperlink"/>
            <w:rFonts w:eastAsiaTheme="majorEastAsia"/>
            <w:noProof/>
            <w:lang w:val="en-US"/>
          </w:rPr>
          <w:t>3.2.8</w:t>
        </w:r>
        <w:r w:rsidR="00F6090D">
          <w:rPr>
            <w:rFonts w:eastAsiaTheme="minorEastAsia" w:cstheme="minorBidi"/>
            <w:noProof/>
            <w:sz w:val="22"/>
            <w:szCs w:val="22"/>
          </w:rPr>
          <w:tab/>
        </w:r>
        <w:r w:rsidR="00F6090D" w:rsidRPr="00117B26">
          <w:rPr>
            <w:rStyle w:val="Hyperlink"/>
            <w:rFonts w:eastAsiaTheme="majorEastAsia"/>
            <w:noProof/>
            <w:lang w:val="en-US"/>
          </w:rPr>
          <w:t>Personnel Commitments (Personnel Reservation) under BI</w:t>
        </w:r>
        <w:r w:rsidR="00F6090D">
          <w:rPr>
            <w:noProof/>
            <w:webHidden/>
          </w:rPr>
          <w:tab/>
        </w:r>
        <w:r w:rsidR="00F6090D">
          <w:rPr>
            <w:noProof/>
            <w:webHidden/>
          </w:rPr>
          <w:fldChar w:fldCharType="begin"/>
        </w:r>
        <w:r w:rsidR="00F6090D">
          <w:rPr>
            <w:noProof/>
            <w:webHidden/>
          </w:rPr>
          <w:instrText xml:space="preserve"> PAGEREF _Toc72402751 \h </w:instrText>
        </w:r>
        <w:r w:rsidR="00F6090D">
          <w:rPr>
            <w:noProof/>
            <w:webHidden/>
          </w:rPr>
        </w:r>
        <w:r w:rsidR="00F6090D">
          <w:rPr>
            <w:noProof/>
            <w:webHidden/>
          </w:rPr>
          <w:fldChar w:fldCharType="separate"/>
        </w:r>
        <w:r w:rsidR="00F6090D">
          <w:rPr>
            <w:noProof/>
            <w:webHidden/>
          </w:rPr>
          <w:t>15</w:t>
        </w:r>
        <w:r w:rsidR="00F6090D">
          <w:rPr>
            <w:noProof/>
            <w:webHidden/>
          </w:rPr>
          <w:fldChar w:fldCharType="end"/>
        </w:r>
      </w:hyperlink>
    </w:p>
    <w:p w14:paraId="49E5878B" w14:textId="27A98E94" w:rsidR="00F6090D" w:rsidRDefault="00660AE1">
      <w:pPr>
        <w:pStyle w:val="TOC2"/>
        <w:tabs>
          <w:tab w:val="left" w:pos="720"/>
          <w:tab w:val="right" w:leader="dot" w:pos="8990"/>
        </w:tabs>
        <w:rPr>
          <w:rFonts w:eastAsiaTheme="minorEastAsia" w:cstheme="minorBidi"/>
          <w:i w:val="0"/>
          <w:iCs w:val="0"/>
          <w:noProof/>
          <w:sz w:val="22"/>
          <w:szCs w:val="22"/>
        </w:rPr>
      </w:pPr>
      <w:hyperlink w:anchor="_Toc72402752" w:history="1">
        <w:r w:rsidR="00F6090D" w:rsidRPr="00117B26">
          <w:rPr>
            <w:rStyle w:val="Hyperlink"/>
            <w:rFonts w:eastAsiaTheme="majorEastAsia"/>
            <w:noProof/>
          </w:rPr>
          <w:t>3.3</w:t>
        </w:r>
        <w:r w:rsidR="00F6090D">
          <w:rPr>
            <w:rFonts w:eastAsiaTheme="minorEastAsia" w:cstheme="minorBidi"/>
            <w:i w:val="0"/>
            <w:iCs w:val="0"/>
            <w:noProof/>
            <w:sz w:val="22"/>
            <w:szCs w:val="22"/>
          </w:rPr>
          <w:tab/>
        </w:r>
        <w:r w:rsidR="00F6090D" w:rsidRPr="00117B26">
          <w:rPr>
            <w:rStyle w:val="Hyperlink"/>
            <w:rFonts w:eastAsiaTheme="majorEastAsia"/>
            <w:noProof/>
          </w:rPr>
          <w:t>Non-Personnel Forecasts</w:t>
        </w:r>
        <w:r w:rsidR="00F6090D">
          <w:rPr>
            <w:noProof/>
            <w:webHidden/>
          </w:rPr>
          <w:tab/>
        </w:r>
        <w:r w:rsidR="00F6090D">
          <w:rPr>
            <w:noProof/>
            <w:webHidden/>
          </w:rPr>
          <w:fldChar w:fldCharType="begin"/>
        </w:r>
        <w:r w:rsidR="00F6090D">
          <w:rPr>
            <w:noProof/>
            <w:webHidden/>
          </w:rPr>
          <w:instrText xml:space="preserve"> PAGEREF _Toc72402752 \h </w:instrText>
        </w:r>
        <w:r w:rsidR="00F6090D">
          <w:rPr>
            <w:noProof/>
            <w:webHidden/>
          </w:rPr>
        </w:r>
        <w:r w:rsidR="00F6090D">
          <w:rPr>
            <w:noProof/>
            <w:webHidden/>
          </w:rPr>
          <w:fldChar w:fldCharType="separate"/>
        </w:r>
        <w:r w:rsidR="00F6090D">
          <w:rPr>
            <w:noProof/>
            <w:webHidden/>
          </w:rPr>
          <w:t>15</w:t>
        </w:r>
        <w:r w:rsidR="00F6090D">
          <w:rPr>
            <w:noProof/>
            <w:webHidden/>
          </w:rPr>
          <w:fldChar w:fldCharType="end"/>
        </w:r>
      </w:hyperlink>
    </w:p>
    <w:p w14:paraId="058DCB06" w14:textId="554090E0" w:rsidR="00F6090D" w:rsidRDefault="00660AE1">
      <w:pPr>
        <w:pStyle w:val="TOC3"/>
        <w:tabs>
          <w:tab w:val="left" w:pos="1200"/>
          <w:tab w:val="right" w:leader="dot" w:pos="8990"/>
        </w:tabs>
        <w:rPr>
          <w:rFonts w:eastAsiaTheme="minorEastAsia" w:cstheme="minorBidi"/>
          <w:noProof/>
          <w:sz w:val="22"/>
          <w:szCs w:val="22"/>
        </w:rPr>
      </w:pPr>
      <w:hyperlink w:anchor="_Toc72402753" w:history="1">
        <w:r w:rsidR="00F6090D" w:rsidRPr="00117B26">
          <w:rPr>
            <w:rStyle w:val="Hyperlink"/>
            <w:rFonts w:eastAsiaTheme="majorEastAsia"/>
            <w:noProof/>
          </w:rPr>
          <w:t>3.3.1</w:t>
        </w:r>
        <w:r w:rsidR="00F6090D">
          <w:rPr>
            <w:rFonts w:eastAsiaTheme="minorEastAsia" w:cstheme="minorBidi"/>
            <w:noProof/>
            <w:sz w:val="22"/>
            <w:szCs w:val="22"/>
          </w:rPr>
          <w:tab/>
        </w:r>
        <w:r w:rsidR="00F6090D" w:rsidRPr="00117B26">
          <w:rPr>
            <w:rStyle w:val="Hyperlink"/>
            <w:rFonts w:eastAsiaTheme="majorEastAsia"/>
            <w:noProof/>
          </w:rPr>
          <w:t>Forecasting Input Screen (FR11)</w:t>
        </w:r>
        <w:r w:rsidR="00F6090D">
          <w:rPr>
            <w:noProof/>
            <w:webHidden/>
          </w:rPr>
          <w:tab/>
        </w:r>
        <w:r w:rsidR="00F6090D">
          <w:rPr>
            <w:noProof/>
            <w:webHidden/>
          </w:rPr>
          <w:fldChar w:fldCharType="begin"/>
        </w:r>
        <w:r w:rsidR="00F6090D">
          <w:rPr>
            <w:noProof/>
            <w:webHidden/>
          </w:rPr>
          <w:instrText xml:space="preserve"> PAGEREF _Toc72402753 \h </w:instrText>
        </w:r>
        <w:r w:rsidR="00F6090D">
          <w:rPr>
            <w:noProof/>
            <w:webHidden/>
          </w:rPr>
        </w:r>
        <w:r w:rsidR="00F6090D">
          <w:rPr>
            <w:noProof/>
            <w:webHidden/>
          </w:rPr>
          <w:fldChar w:fldCharType="separate"/>
        </w:r>
        <w:r w:rsidR="00F6090D">
          <w:rPr>
            <w:noProof/>
            <w:webHidden/>
          </w:rPr>
          <w:t>16</w:t>
        </w:r>
        <w:r w:rsidR="00F6090D">
          <w:rPr>
            <w:noProof/>
            <w:webHidden/>
          </w:rPr>
          <w:fldChar w:fldCharType="end"/>
        </w:r>
      </w:hyperlink>
    </w:p>
    <w:p w14:paraId="2BB24B65" w14:textId="56916C3E" w:rsidR="00F6090D" w:rsidRDefault="00660AE1">
      <w:pPr>
        <w:pStyle w:val="TOC3"/>
        <w:tabs>
          <w:tab w:val="left" w:pos="1200"/>
          <w:tab w:val="right" w:leader="dot" w:pos="8990"/>
        </w:tabs>
        <w:rPr>
          <w:rFonts w:eastAsiaTheme="minorEastAsia" w:cstheme="minorBidi"/>
          <w:noProof/>
          <w:sz w:val="22"/>
          <w:szCs w:val="22"/>
        </w:rPr>
      </w:pPr>
      <w:hyperlink w:anchor="_Toc72402754" w:history="1">
        <w:r w:rsidR="00F6090D" w:rsidRPr="00117B26">
          <w:rPr>
            <w:rStyle w:val="Hyperlink"/>
            <w:rFonts w:eastAsiaTheme="majorEastAsia"/>
            <w:noProof/>
          </w:rPr>
          <w:t>3.3.2</w:t>
        </w:r>
        <w:r w:rsidR="00F6090D">
          <w:rPr>
            <w:rFonts w:eastAsiaTheme="minorEastAsia" w:cstheme="minorBidi"/>
            <w:noProof/>
            <w:sz w:val="22"/>
            <w:szCs w:val="22"/>
          </w:rPr>
          <w:tab/>
        </w:r>
        <w:r w:rsidR="00F6090D" w:rsidRPr="00117B26">
          <w:rPr>
            <w:rStyle w:val="Hyperlink"/>
            <w:rFonts w:eastAsiaTheme="majorEastAsia"/>
            <w:noProof/>
          </w:rPr>
          <w:t>Forecasting Input Report (FR12)</w:t>
        </w:r>
        <w:r w:rsidR="00F6090D">
          <w:rPr>
            <w:noProof/>
            <w:webHidden/>
          </w:rPr>
          <w:tab/>
        </w:r>
        <w:r w:rsidR="00F6090D">
          <w:rPr>
            <w:noProof/>
            <w:webHidden/>
          </w:rPr>
          <w:fldChar w:fldCharType="begin"/>
        </w:r>
        <w:r w:rsidR="00F6090D">
          <w:rPr>
            <w:noProof/>
            <w:webHidden/>
          </w:rPr>
          <w:instrText xml:space="preserve"> PAGEREF _Toc72402754 \h </w:instrText>
        </w:r>
        <w:r w:rsidR="00F6090D">
          <w:rPr>
            <w:noProof/>
            <w:webHidden/>
          </w:rPr>
        </w:r>
        <w:r w:rsidR="00F6090D">
          <w:rPr>
            <w:noProof/>
            <w:webHidden/>
          </w:rPr>
          <w:fldChar w:fldCharType="separate"/>
        </w:r>
        <w:r w:rsidR="00F6090D">
          <w:rPr>
            <w:noProof/>
            <w:webHidden/>
          </w:rPr>
          <w:t>17</w:t>
        </w:r>
        <w:r w:rsidR="00F6090D">
          <w:rPr>
            <w:noProof/>
            <w:webHidden/>
          </w:rPr>
          <w:fldChar w:fldCharType="end"/>
        </w:r>
      </w:hyperlink>
    </w:p>
    <w:p w14:paraId="72032D97" w14:textId="0CADC718" w:rsidR="00F6090D" w:rsidRDefault="00660AE1">
      <w:pPr>
        <w:pStyle w:val="TOC3"/>
        <w:tabs>
          <w:tab w:val="left" w:pos="1200"/>
          <w:tab w:val="right" w:leader="dot" w:pos="8990"/>
        </w:tabs>
        <w:rPr>
          <w:rFonts w:eastAsiaTheme="minorEastAsia" w:cstheme="minorBidi"/>
          <w:noProof/>
          <w:sz w:val="22"/>
          <w:szCs w:val="22"/>
        </w:rPr>
      </w:pPr>
      <w:hyperlink w:anchor="_Toc72402755" w:history="1">
        <w:r w:rsidR="00F6090D" w:rsidRPr="00117B26">
          <w:rPr>
            <w:rStyle w:val="Hyperlink"/>
            <w:rFonts w:eastAsiaTheme="majorEastAsia"/>
            <w:noProof/>
          </w:rPr>
          <w:t>3.3.3</w:t>
        </w:r>
        <w:r w:rsidR="00F6090D">
          <w:rPr>
            <w:rFonts w:eastAsiaTheme="minorEastAsia" w:cstheme="minorBidi"/>
            <w:noProof/>
            <w:sz w:val="22"/>
            <w:szCs w:val="22"/>
          </w:rPr>
          <w:tab/>
        </w:r>
        <w:r w:rsidR="00F6090D" w:rsidRPr="00117B26">
          <w:rPr>
            <w:rStyle w:val="Hyperlink"/>
            <w:rFonts w:eastAsiaTheme="majorEastAsia"/>
            <w:noProof/>
          </w:rPr>
          <w:t>O&amp;M Commitments</w:t>
        </w:r>
        <w:r w:rsidR="00F6090D">
          <w:rPr>
            <w:noProof/>
            <w:webHidden/>
          </w:rPr>
          <w:tab/>
        </w:r>
        <w:r w:rsidR="00F6090D">
          <w:rPr>
            <w:noProof/>
            <w:webHidden/>
          </w:rPr>
          <w:fldChar w:fldCharType="begin"/>
        </w:r>
        <w:r w:rsidR="00F6090D">
          <w:rPr>
            <w:noProof/>
            <w:webHidden/>
          </w:rPr>
          <w:instrText xml:space="preserve"> PAGEREF _Toc72402755 \h </w:instrText>
        </w:r>
        <w:r w:rsidR="00F6090D">
          <w:rPr>
            <w:noProof/>
            <w:webHidden/>
          </w:rPr>
        </w:r>
        <w:r w:rsidR="00F6090D">
          <w:rPr>
            <w:noProof/>
            <w:webHidden/>
          </w:rPr>
          <w:fldChar w:fldCharType="separate"/>
        </w:r>
        <w:r w:rsidR="00F6090D">
          <w:rPr>
            <w:noProof/>
            <w:webHidden/>
          </w:rPr>
          <w:t>17</w:t>
        </w:r>
        <w:r w:rsidR="00F6090D">
          <w:rPr>
            <w:noProof/>
            <w:webHidden/>
          </w:rPr>
          <w:fldChar w:fldCharType="end"/>
        </w:r>
      </w:hyperlink>
    </w:p>
    <w:p w14:paraId="7EF8FA21" w14:textId="2CFF1741" w:rsidR="00F6090D" w:rsidRDefault="00660AE1">
      <w:pPr>
        <w:pStyle w:val="TOC3"/>
        <w:tabs>
          <w:tab w:val="left" w:pos="1200"/>
          <w:tab w:val="right" w:leader="dot" w:pos="8990"/>
        </w:tabs>
        <w:rPr>
          <w:rFonts w:eastAsiaTheme="minorEastAsia" w:cstheme="minorBidi"/>
          <w:noProof/>
          <w:sz w:val="22"/>
          <w:szCs w:val="22"/>
        </w:rPr>
      </w:pPr>
      <w:hyperlink w:anchor="_Toc72402756" w:history="1">
        <w:r w:rsidR="00F6090D" w:rsidRPr="00117B26">
          <w:rPr>
            <w:rStyle w:val="Hyperlink"/>
            <w:rFonts w:eastAsiaTheme="majorEastAsia"/>
            <w:noProof/>
          </w:rPr>
          <w:t>3.3.4</w:t>
        </w:r>
        <w:r w:rsidR="00F6090D">
          <w:rPr>
            <w:rFonts w:eastAsiaTheme="minorEastAsia" w:cstheme="minorBidi"/>
            <w:noProof/>
            <w:sz w:val="22"/>
            <w:szCs w:val="22"/>
          </w:rPr>
          <w:tab/>
        </w:r>
        <w:r w:rsidR="00F6090D" w:rsidRPr="00117B26">
          <w:rPr>
            <w:rStyle w:val="Hyperlink"/>
            <w:rFonts w:eastAsiaTheme="majorEastAsia"/>
            <w:noProof/>
          </w:rPr>
          <w:t>Travel, Hospitality, Conference and Events Forecasts</w:t>
        </w:r>
        <w:r w:rsidR="00F6090D">
          <w:rPr>
            <w:noProof/>
            <w:webHidden/>
          </w:rPr>
          <w:tab/>
        </w:r>
        <w:r w:rsidR="00F6090D">
          <w:rPr>
            <w:noProof/>
            <w:webHidden/>
          </w:rPr>
          <w:fldChar w:fldCharType="begin"/>
        </w:r>
        <w:r w:rsidR="00F6090D">
          <w:rPr>
            <w:noProof/>
            <w:webHidden/>
          </w:rPr>
          <w:instrText xml:space="preserve"> PAGEREF _Toc72402756 \h </w:instrText>
        </w:r>
        <w:r w:rsidR="00F6090D">
          <w:rPr>
            <w:noProof/>
            <w:webHidden/>
          </w:rPr>
        </w:r>
        <w:r w:rsidR="00F6090D">
          <w:rPr>
            <w:noProof/>
            <w:webHidden/>
          </w:rPr>
          <w:fldChar w:fldCharType="separate"/>
        </w:r>
        <w:r w:rsidR="00F6090D">
          <w:rPr>
            <w:noProof/>
            <w:webHidden/>
          </w:rPr>
          <w:t>18</w:t>
        </w:r>
        <w:r w:rsidR="00F6090D">
          <w:rPr>
            <w:noProof/>
            <w:webHidden/>
          </w:rPr>
          <w:fldChar w:fldCharType="end"/>
        </w:r>
      </w:hyperlink>
    </w:p>
    <w:p w14:paraId="30A0C2FE" w14:textId="2F14AD58" w:rsidR="00F6090D" w:rsidRDefault="00660AE1">
      <w:pPr>
        <w:pStyle w:val="TOC3"/>
        <w:tabs>
          <w:tab w:val="left" w:pos="1200"/>
          <w:tab w:val="right" w:leader="dot" w:pos="8990"/>
        </w:tabs>
        <w:rPr>
          <w:rFonts w:eastAsiaTheme="minorEastAsia" w:cstheme="minorBidi"/>
          <w:noProof/>
          <w:sz w:val="22"/>
          <w:szCs w:val="22"/>
        </w:rPr>
      </w:pPr>
      <w:hyperlink w:anchor="_Toc72402757" w:history="1">
        <w:r w:rsidR="00F6090D" w:rsidRPr="00117B26">
          <w:rPr>
            <w:rStyle w:val="Hyperlink"/>
            <w:rFonts w:eastAsiaTheme="majorEastAsia"/>
            <w:noProof/>
          </w:rPr>
          <w:t>3.3.5</w:t>
        </w:r>
        <w:r w:rsidR="00F6090D">
          <w:rPr>
            <w:rFonts w:eastAsiaTheme="minorEastAsia" w:cstheme="minorBidi"/>
            <w:noProof/>
            <w:sz w:val="22"/>
            <w:szCs w:val="22"/>
          </w:rPr>
          <w:tab/>
        </w:r>
        <w:r w:rsidR="00F6090D" w:rsidRPr="00117B26">
          <w:rPr>
            <w:rStyle w:val="Hyperlink"/>
            <w:rFonts w:eastAsiaTheme="majorEastAsia"/>
            <w:noProof/>
          </w:rPr>
          <w:t>Centrally-Managed Cost Pools (CMCP) Forecasts</w:t>
        </w:r>
        <w:r w:rsidR="00F6090D">
          <w:rPr>
            <w:noProof/>
            <w:webHidden/>
          </w:rPr>
          <w:tab/>
        </w:r>
        <w:r w:rsidR="00F6090D">
          <w:rPr>
            <w:noProof/>
            <w:webHidden/>
          </w:rPr>
          <w:fldChar w:fldCharType="begin"/>
        </w:r>
        <w:r w:rsidR="00F6090D">
          <w:rPr>
            <w:noProof/>
            <w:webHidden/>
          </w:rPr>
          <w:instrText xml:space="preserve"> PAGEREF _Toc72402757 \h </w:instrText>
        </w:r>
        <w:r w:rsidR="00F6090D">
          <w:rPr>
            <w:noProof/>
            <w:webHidden/>
          </w:rPr>
        </w:r>
        <w:r w:rsidR="00F6090D">
          <w:rPr>
            <w:noProof/>
            <w:webHidden/>
          </w:rPr>
          <w:fldChar w:fldCharType="separate"/>
        </w:r>
        <w:r w:rsidR="00F6090D">
          <w:rPr>
            <w:noProof/>
            <w:webHidden/>
          </w:rPr>
          <w:t>18</w:t>
        </w:r>
        <w:r w:rsidR="00F6090D">
          <w:rPr>
            <w:noProof/>
            <w:webHidden/>
          </w:rPr>
          <w:fldChar w:fldCharType="end"/>
        </w:r>
      </w:hyperlink>
    </w:p>
    <w:p w14:paraId="22655F9E" w14:textId="7E65593F" w:rsidR="00F6090D" w:rsidRDefault="00660AE1">
      <w:pPr>
        <w:pStyle w:val="TOC3"/>
        <w:tabs>
          <w:tab w:val="left" w:pos="1200"/>
          <w:tab w:val="right" w:leader="dot" w:pos="8990"/>
        </w:tabs>
        <w:rPr>
          <w:rFonts w:eastAsiaTheme="minorEastAsia" w:cstheme="minorBidi"/>
          <w:noProof/>
          <w:sz w:val="22"/>
          <w:szCs w:val="22"/>
        </w:rPr>
      </w:pPr>
      <w:hyperlink w:anchor="_Toc72402758" w:history="1">
        <w:r w:rsidR="00F6090D" w:rsidRPr="00117B26">
          <w:rPr>
            <w:rStyle w:val="Hyperlink"/>
            <w:rFonts w:eastAsiaTheme="majorEastAsia"/>
            <w:noProof/>
          </w:rPr>
          <w:t>3.3.6</w:t>
        </w:r>
        <w:r w:rsidR="00F6090D">
          <w:rPr>
            <w:rFonts w:eastAsiaTheme="minorEastAsia" w:cstheme="minorBidi"/>
            <w:noProof/>
            <w:sz w:val="22"/>
            <w:szCs w:val="22"/>
          </w:rPr>
          <w:tab/>
        </w:r>
        <w:r w:rsidR="00F6090D" w:rsidRPr="00117B26">
          <w:rPr>
            <w:rStyle w:val="Hyperlink"/>
            <w:rFonts w:eastAsiaTheme="majorEastAsia"/>
            <w:noProof/>
          </w:rPr>
          <w:t>Learning Investment Fund (LIF)</w:t>
        </w:r>
        <w:r w:rsidR="00F6090D">
          <w:rPr>
            <w:noProof/>
            <w:webHidden/>
          </w:rPr>
          <w:tab/>
        </w:r>
        <w:r w:rsidR="00F6090D">
          <w:rPr>
            <w:noProof/>
            <w:webHidden/>
          </w:rPr>
          <w:fldChar w:fldCharType="begin"/>
        </w:r>
        <w:r w:rsidR="00F6090D">
          <w:rPr>
            <w:noProof/>
            <w:webHidden/>
          </w:rPr>
          <w:instrText xml:space="preserve"> PAGEREF _Toc72402758 \h </w:instrText>
        </w:r>
        <w:r w:rsidR="00F6090D">
          <w:rPr>
            <w:noProof/>
            <w:webHidden/>
          </w:rPr>
        </w:r>
        <w:r w:rsidR="00F6090D">
          <w:rPr>
            <w:noProof/>
            <w:webHidden/>
          </w:rPr>
          <w:fldChar w:fldCharType="separate"/>
        </w:r>
        <w:r w:rsidR="00F6090D">
          <w:rPr>
            <w:noProof/>
            <w:webHidden/>
          </w:rPr>
          <w:t>18</w:t>
        </w:r>
        <w:r w:rsidR="00F6090D">
          <w:rPr>
            <w:noProof/>
            <w:webHidden/>
          </w:rPr>
          <w:fldChar w:fldCharType="end"/>
        </w:r>
      </w:hyperlink>
    </w:p>
    <w:p w14:paraId="261205F8" w14:textId="554CA126" w:rsidR="00F6090D" w:rsidRDefault="00660AE1">
      <w:pPr>
        <w:pStyle w:val="TOC2"/>
        <w:tabs>
          <w:tab w:val="left" w:pos="720"/>
          <w:tab w:val="right" w:leader="dot" w:pos="8990"/>
        </w:tabs>
        <w:rPr>
          <w:rFonts w:eastAsiaTheme="minorEastAsia" w:cstheme="minorBidi"/>
          <w:i w:val="0"/>
          <w:iCs w:val="0"/>
          <w:noProof/>
          <w:sz w:val="22"/>
          <w:szCs w:val="22"/>
        </w:rPr>
      </w:pPr>
      <w:hyperlink w:anchor="_Toc72402759" w:history="1">
        <w:r w:rsidR="00F6090D" w:rsidRPr="00117B26">
          <w:rPr>
            <w:rStyle w:val="Hyperlink"/>
            <w:rFonts w:eastAsiaTheme="majorEastAsia"/>
            <w:noProof/>
          </w:rPr>
          <w:t>3.4</w:t>
        </w:r>
        <w:r w:rsidR="00F6090D">
          <w:rPr>
            <w:rFonts w:eastAsiaTheme="minorEastAsia" w:cstheme="minorBidi"/>
            <w:i w:val="0"/>
            <w:iCs w:val="0"/>
            <w:noProof/>
            <w:sz w:val="22"/>
            <w:szCs w:val="22"/>
          </w:rPr>
          <w:tab/>
        </w:r>
        <w:r w:rsidR="00F6090D" w:rsidRPr="00117B26">
          <w:rPr>
            <w:rStyle w:val="Hyperlink"/>
            <w:rFonts w:eastAsiaTheme="majorEastAsia"/>
            <w:noProof/>
          </w:rPr>
          <w:t>Service Delivery Partnership Agreements (under DESDA) Forecasts</w:t>
        </w:r>
        <w:r w:rsidR="00F6090D">
          <w:rPr>
            <w:noProof/>
            <w:webHidden/>
          </w:rPr>
          <w:tab/>
        </w:r>
        <w:r w:rsidR="00F6090D">
          <w:rPr>
            <w:noProof/>
            <w:webHidden/>
          </w:rPr>
          <w:fldChar w:fldCharType="begin"/>
        </w:r>
        <w:r w:rsidR="00F6090D">
          <w:rPr>
            <w:noProof/>
            <w:webHidden/>
          </w:rPr>
          <w:instrText xml:space="preserve"> PAGEREF _Toc72402759 \h </w:instrText>
        </w:r>
        <w:r w:rsidR="00F6090D">
          <w:rPr>
            <w:noProof/>
            <w:webHidden/>
          </w:rPr>
        </w:r>
        <w:r w:rsidR="00F6090D">
          <w:rPr>
            <w:noProof/>
            <w:webHidden/>
          </w:rPr>
          <w:fldChar w:fldCharType="separate"/>
        </w:r>
        <w:r w:rsidR="00F6090D">
          <w:rPr>
            <w:noProof/>
            <w:webHidden/>
          </w:rPr>
          <w:t>19</w:t>
        </w:r>
        <w:r w:rsidR="00F6090D">
          <w:rPr>
            <w:noProof/>
            <w:webHidden/>
          </w:rPr>
          <w:fldChar w:fldCharType="end"/>
        </w:r>
      </w:hyperlink>
    </w:p>
    <w:p w14:paraId="1C7BBF35" w14:textId="32FAB979" w:rsidR="00F6090D" w:rsidRDefault="00660AE1">
      <w:pPr>
        <w:pStyle w:val="TOC3"/>
        <w:tabs>
          <w:tab w:val="left" w:pos="1200"/>
          <w:tab w:val="right" w:leader="dot" w:pos="8990"/>
        </w:tabs>
        <w:rPr>
          <w:rFonts w:eastAsiaTheme="minorEastAsia" w:cstheme="minorBidi"/>
          <w:noProof/>
          <w:sz w:val="22"/>
          <w:szCs w:val="22"/>
        </w:rPr>
      </w:pPr>
      <w:hyperlink w:anchor="_Toc72402760" w:history="1">
        <w:r w:rsidR="00F6090D" w:rsidRPr="00117B26">
          <w:rPr>
            <w:rStyle w:val="Hyperlink"/>
            <w:rFonts w:eastAsiaTheme="majorEastAsia"/>
            <w:noProof/>
            <w:lang w:val="en-US"/>
          </w:rPr>
          <w:t>3.4.1</w:t>
        </w:r>
        <w:r w:rsidR="00F6090D">
          <w:rPr>
            <w:rFonts w:eastAsiaTheme="minorEastAsia" w:cstheme="minorBidi"/>
            <w:noProof/>
            <w:sz w:val="22"/>
            <w:szCs w:val="22"/>
          </w:rPr>
          <w:tab/>
        </w:r>
        <w:r w:rsidR="00F6090D" w:rsidRPr="00117B26">
          <w:rPr>
            <w:rStyle w:val="Hyperlink"/>
            <w:rFonts w:eastAsiaTheme="majorEastAsia"/>
            <w:noProof/>
            <w:lang w:val="en-US"/>
          </w:rPr>
          <w:t>Low-dollar Service Delivery Partnerships (Fund A449) Forecasts</w:t>
        </w:r>
        <w:r w:rsidR="00F6090D">
          <w:rPr>
            <w:noProof/>
            <w:webHidden/>
          </w:rPr>
          <w:tab/>
        </w:r>
        <w:r w:rsidR="00F6090D">
          <w:rPr>
            <w:noProof/>
            <w:webHidden/>
          </w:rPr>
          <w:fldChar w:fldCharType="begin"/>
        </w:r>
        <w:r w:rsidR="00F6090D">
          <w:rPr>
            <w:noProof/>
            <w:webHidden/>
          </w:rPr>
          <w:instrText xml:space="preserve"> PAGEREF _Toc72402760 \h </w:instrText>
        </w:r>
        <w:r w:rsidR="00F6090D">
          <w:rPr>
            <w:noProof/>
            <w:webHidden/>
          </w:rPr>
        </w:r>
        <w:r w:rsidR="00F6090D">
          <w:rPr>
            <w:noProof/>
            <w:webHidden/>
          </w:rPr>
          <w:fldChar w:fldCharType="separate"/>
        </w:r>
        <w:r w:rsidR="00F6090D">
          <w:rPr>
            <w:noProof/>
            <w:webHidden/>
          </w:rPr>
          <w:t>20</w:t>
        </w:r>
        <w:r w:rsidR="00F6090D">
          <w:rPr>
            <w:noProof/>
            <w:webHidden/>
          </w:rPr>
          <w:fldChar w:fldCharType="end"/>
        </w:r>
      </w:hyperlink>
    </w:p>
    <w:p w14:paraId="52630C00" w14:textId="05BD695D" w:rsidR="00F6090D" w:rsidRDefault="00660AE1">
      <w:pPr>
        <w:pStyle w:val="TOC2"/>
        <w:tabs>
          <w:tab w:val="left" w:pos="720"/>
          <w:tab w:val="right" w:leader="dot" w:pos="8990"/>
        </w:tabs>
        <w:rPr>
          <w:rFonts w:eastAsiaTheme="minorEastAsia" w:cstheme="minorBidi"/>
          <w:i w:val="0"/>
          <w:iCs w:val="0"/>
          <w:noProof/>
          <w:sz w:val="22"/>
          <w:szCs w:val="22"/>
        </w:rPr>
      </w:pPr>
      <w:hyperlink w:anchor="_Toc72402761" w:history="1">
        <w:r w:rsidR="00F6090D" w:rsidRPr="00117B26">
          <w:rPr>
            <w:rStyle w:val="Hyperlink"/>
            <w:rFonts w:eastAsiaTheme="majorEastAsia"/>
            <w:noProof/>
          </w:rPr>
          <w:t>3.5</w:t>
        </w:r>
        <w:r w:rsidR="00F6090D">
          <w:rPr>
            <w:rFonts w:eastAsiaTheme="minorEastAsia" w:cstheme="minorBidi"/>
            <w:i w:val="0"/>
            <w:iCs w:val="0"/>
            <w:noProof/>
            <w:sz w:val="22"/>
            <w:szCs w:val="22"/>
          </w:rPr>
          <w:tab/>
        </w:r>
        <w:r w:rsidR="00F6090D" w:rsidRPr="00117B26">
          <w:rPr>
            <w:rStyle w:val="Hyperlink"/>
            <w:rFonts w:eastAsiaTheme="majorEastAsia"/>
            <w:noProof/>
          </w:rPr>
          <w:t>Vote-Netted Revenue (VNR) Forecasts</w:t>
        </w:r>
        <w:r w:rsidR="00F6090D">
          <w:rPr>
            <w:noProof/>
            <w:webHidden/>
          </w:rPr>
          <w:tab/>
        </w:r>
        <w:r w:rsidR="00F6090D">
          <w:rPr>
            <w:noProof/>
            <w:webHidden/>
          </w:rPr>
          <w:fldChar w:fldCharType="begin"/>
        </w:r>
        <w:r w:rsidR="00F6090D">
          <w:rPr>
            <w:noProof/>
            <w:webHidden/>
          </w:rPr>
          <w:instrText xml:space="preserve"> PAGEREF _Toc72402761 \h </w:instrText>
        </w:r>
        <w:r w:rsidR="00F6090D">
          <w:rPr>
            <w:noProof/>
            <w:webHidden/>
          </w:rPr>
        </w:r>
        <w:r w:rsidR="00F6090D">
          <w:rPr>
            <w:noProof/>
            <w:webHidden/>
          </w:rPr>
          <w:fldChar w:fldCharType="separate"/>
        </w:r>
        <w:r w:rsidR="00F6090D">
          <w:rPr>
            <w:noProof/>
            <w:webHidden/>
          </w:rPr>
          <w:t>20</w:t>
        </w:r>
        <w:r w:rsidR="00F6090D">
          <w:rPr>
            <w:noProof/>
            <w:webHidden/>
          </w:rPr>
          <w:fldChar w:fldCharType="end"/>
        </w:r>
      </w:hyperlink>
    </w:p>
    <w:p w14:paraId="3CD03B3C" w14:textId="0A4A7DD9" w:rsidR="00F6090D" w:rsidRDefault="00660AE1">
      <w:pPr>
        <w:pStyle w:val="TOC2"/>
        <w:tabs>
          <w:tab w:val="left" w:pos="720"/>
          <w:tab w:val="right" w:leader="dot" w:pos="8990"/>
        </w:tabs>
        <w:rPr>
          <w:rFonts w:eastAsiaTheme="minorEastAsia" w:cstheme="minorBidi"/>
          <w:i w:val="0"/>
          <w:iCs w:val="0"/>
          <w:noProof/>
          <w:sz w:val="22"/>
          <w:szCs w:val="22"/>
        </w:rPr>
      </w:pPr>
      <w:hyperlink w:anchor="_Toc72402762" w:history="1">
        <w:r w:rsidR="00F6090D" w:rsidRPr="00117B26">
          <w:rPr>
            <w:rStyle w:val="Hyperlink"/>
            <w:rFonts w:eastAsiaTheme="majorEastAsia"/>
            <w:noProof/>
          </w:rPr>
          <w:t>3.6</w:t>
        </w:r>
        <w:r w:rsidR="00F6090D">
          <w:rPr>
            <w:rFonts w:eastAsiaTheme="minorEastAsia" w:cstheme="minorBidi"/>
            <w:i w:val="0"/>
            <w:iCs w:val="0"/>
            <w:noProof/>
            <w:sz w:val="22"/>
            <w:szCs w:val="22"/>
          </w:rPr>
          <w:tab/>
        </w:r>
        <w:r w:rsidR="00F6090D" w:rsidRPr="00117B26">
          <w:rPr>
            <w:rStyle w:val="Hyperlink"/>
            <w:rFonts w:eastAsiaTheme="majorEastAsia"/>
            <w:noProof/>
          </w:rPr>
          <w:t>Measures in Response to COVID-19 Forecasts</w:t>
        </w:r>
        <w:r w:rsidR="00F6090D">
          <w:rPr>
            <w:noProof/>
            <w:webHidden/>
          </w:rPr>
          <w:tab/>
        </w:r>
        <w:r w:rsidR="00F6090D">
          <w:rPr>
            <w:noProof/>
            <w:webHidden/>
          </w:rPr>
          <w:fldChar w:fldCharType="begin"/>
        </w:r>
        <w:r w:rsidR="00F6090D">
          <w:rPr>
            <w:noProof/>
            <w:webHidden/>
          </w:rPr>
          <w:instrText xml:space="preserve"> PAGEREF _Toc72402762 \h </w:instrText>
        </w:r>
        <w:r w:rsidR="00F6090D">
          <w:rPr>
            <w:noProof/>
            <w:webHidden/>
          </w:rPr>
        </w:r>
        <w:r w:rsidR="00F6090D">
          <w:rPr>
            <w:noProof/>
            <w:webHidden/>
          </w:rPr>
          <w:fldChar w:fldCharType="separate"/>
        </w:r>
        <w:r w:rsidR="00F6090D">
          <w:rPr>
            <w:noProof/>
            <w:webHidden/>
          </w:rPr>
          <w:t>21</w:t>
        </w:r>
        <w:r w:rsidR="00F6090D">
          <w:rPr>
            <w:noProof/>
            <w:webHidden/>
          </w:rPr>
          <w:fldChar w:fldCharType="end"/>
        </w:r>
      </w:hyperlink>
    </w:p>
    <w:p w14:paraId="1B7D4178" w14:textId="5E98ED18" w:rsidR="00F6090D" w:rsidRDefault="00660AE1">
      <w:pPr>
        <w:pStyle w:val="TOC3"/>
        <w:tabs>
          <w:tab w:val="left" w:pos="1200"/>
          <w:tab w:val="right" w:leader="dot" w:pos="8990"/>
        </w:tabs>
        <w:rPr>
          <w:rFonts w:eastAsiaTheme="minorEastAsia" w:cstheme="minorBidi"/>
          <w:noProof/>
          <w:sz w:val="22"/>
          <w:szCs w:val="22"/>
        </w:rPr>
      </w:pPr>
      <w:hyperlink w:anchor="_Toc72402763" w:history="1">
        <w:r w:rsidR="00F6090D" w:rsidRPr="00117B26">
          <w:rPr>
            <w:rStyle w:val="Hyperlink"/>
            <w:rFonts w:eastAsiaTheme="majorEastAsia"/>
            <w:noProof/>
            <w:lang w:val="en-US"/>
          </w:rPr>
          <w:t>3.6.1</w:t>
        </w:r>
        <w:r w:rsidR="00F6090D">
          <w:rPr>
            <w:rFonts w:eastAsiaTheme="minorEastAsia" w:cstheme="minorBidi"/>
            <w:noProof/>
            <w:sz w:val="22"/>
            <w:szCs w:val="22"/>
          </w:rPr>
          <w:tab/>
        </w:r>
        <w:r w:rsidR="00F6090D" w:rsidRPr="00117B26">
          <w:rPr>
            <w:rStyle w:val="Hyperlink"/>
            <w:rFonts w:eastAsiaTheme="majorEastAsia"/>
            <w:noProof/>
            <w:lang w:val="en-US"/>
          </w:rPr>
          <w:t>Budgeting</w:t>
        </w:r>
        <w:r w:rsidR="00F6090D">
          <w:rPr>
            <w:noProof/>
            <w:webHidden/>
          </w:rPr>
          <w:tab/>
        </w:r>
        <w:r w:rsidR="00F6090D">
          <w:rPr>
            <w:noProof/>
            <w:webHidden/>
          </w:rPr>
          <w:fldChar w:fldCharType="begin"/>
        </w:r>
        <w:r w:rsidR="00F6090D">
          <w:rPr>
            <w:noProof/>
            <w:webHidden/>
          </w:rPr>
          <w:instrText xml:space="preserve"> PAGEREF _Toc72402763 \h </w:instrText>
        </w:r>
        <w:r w:rsidR="00F6090D">
          <w:rPr>
            <w:noProof/>
            <w:webHidden/>
          </w:rPr>
        </w:r>
        <w:r w:rsidR="00F6090D">
          <w:rPr>
            <w:noProof/>
            <w:webHidden/>
          </w:rPr>
          <w:fldChar w:fldCharType="separate"/>
        </w:r>
        <w:r w:rsidR="00F6090D">
          <w:rPr>
            <w:noProof/>
            <w:webHidden/>
          </w:rPr>
          <w:t>21</w:t>
        </w:r>
        <w:r w:rsidR="00F6090D">
          <w:rPr>
            <w:noProof/>
            <w:webHidden/>
          </w:rPr>
          <w:fldChar w:fldCharType="end"/>
        </w:r>
      </w:hyperlink>
    </w:p>
    <w:p w14:paraId="2F4555D0" w14:textId="3BA96AF5" w:rsidR="00F6090D" w:rsidRDefault="00660AE1">
      <w:pPr>
        <w:pStyle w:val="TOC3"/>
        <w:tabs>
          <w:tab w:val="left" w:pos="1200"/>
          <w:tab w:val="right" w:leader="dot" w:pos="8990"/>
        </w:tabs>
        <w:rPr>
          <w:rFonts w:eastAsiaTheme="minorEastAsia" w:cstheme="minorBidi"/>
          <w:noProof/>
          <w:sz w:val="22"/>
          <w:szCs w:val="22"/>
        </w:rPr>
      </w:pPr>
      <w:hyperlink w:anchor="_Toc72402764" w:history="1">
        <w:r w:rsidR="00F6090D" w:rsidRPr="00117B26">
          <w:rPr>
            <w:rStyle w:val="Hyperlink"/>
            <w:rFonts w:eastAsiaTheme="majorEastAsia"/>
            <w:noProof/>
            <w:lang w:val="en-US"/>
          </w:rPr>
          <w:t>3.6.2</w:t>
        </w:r>
        <w:r w:rsidR="00F6090D">
          <w:rPr>
            <w:rFonts w:eastAsiaTheme="minorEastAsia" w:cstheme="minorBidi"/>
            <w:noProof/>
            <w:sz w:val="22"/>
            <w:szCs w:val="22"/>
          </w:rPr>
          <w:tab/>
        </w:r>
        <w:r w:rsidR="00F6090D" w:rsidRPr="00117B26">
          <w:rPr>
            <w:rStyle w:val="Hyperlink"/>
            <w:rFonts w:eastAsiaTheme="majorEastAsia"/>
            <w:noProof/>
            <w:lang w:val="en-US"/>
          </w:rPr>
          <w:t>Forecasting</w:t>
        </w:r>
        <w:r w:rsidR="00F6090D">
          <w:rPr>
            <w:noProof/>
            <w:webHidden/>
          </w:rPr>
          <w:tab/>
        </w:r>
        <w:r w:rsidR="00F6090D">
          <w:rPr>
            <w:noProof/>
            <w:webHidden/>
          </w:rPr>
          <w:fldChar w:fldCharType="begin"/>
        </w:r>
        <w:r w:rsidR="00F6090D">
          <w:rPr>
            <w:noProof/>
            <w:webHidden/>
          </w:rPr>
          <w:instrText xml:space="preserve"> PAGEREF _Toc72402764 \h </w:instrText>
        </w:r>
        <w:r w:rsidR="00F6090D">
          <w:rPr>
            <w:noProof/>
            <w:webHidden/>
          </w:rPr>
        </w:r>
        <w:r w:rsidR="00F6090D">
          <w:rPr>
            <w:noProof/>
            <w:webHidden/>
          </w:rPr>
          <w:fldChar w:fldCharType="separate"/>
        </w:r>
        <w:r w:rsidR="00F6090D">
          <w:rPr>
            <w:noProof/>
            <w:webHidden/>
          </w:rPr>
          <w:t>21</w:t>
        </w:r>
        <w:r w:rsidR="00F6090D">
          <w:rPr>
            <w:noProof/>
            <w:webHidden/>
          </w:rPr>
          <w:fldChar w:fldCharType="end"/>
        </w:r>
      </w:hyperlink>
    </w:p>
    <w:p w14:paraId="11F9CF67" w14:textId="255C228E" w:rsidR="00F6090D" w:rsidRDefault="00660AE1">
      <w:pPr>
        <w:pStyle w:val="TOC2"/>
        <w:tabs>
          <w:tab w:val="left" w:pos="720"/>
          <w:tab w:val="right" w:leader="dot" w:pos="8990"/>
        </w:tabs>
        <w:rPr>
          <w:rFonts w:eastAsiaTheme="minorEastAsia" w:cstheme="minorBidi"/>
          <w:i w:val="0"/>
          <w:iCs w:val="0"/>
          <w:noProof/>
          <w:sz w:val="22"/>
          <w:szCs w:val="22"/>
        </w:rPr>
      </w:pPr>
      <w:hyperlink w:anchor="_Toc72402765" w:history="1">
        <w:r w:rsidR="00F6090D" w:rsidRPr="00117B26">
          <w:rPr>
            <w:rStyle w:val="Hyperlink"/>
            <w:rFonts w:eastAsiaTheme="majorEastAsia"/>
            <w:noProof/>
          </w:rPr>
          <w:t>3.7</w:t>
        </w:r>
        <w:r w:rsidR="00F6090D">
          <w:rPr>
            <w:rFonts w:eastAsiaTheme="minorEastAsia" w:cstheme="minorBidi"/>
            <w:i w:val="0"/>
            <w:iCs w:val="0"/>
            <w:noProof/>
            <w:sz w:val="22"/>
            <w:szCs w:val="22"/>
          </w:rPr>
          <w:tab/>
        </w:r>
        <w:r w:rsidR="00F6090D" w:rsidRPr="00117B26">
          <w:rPr>
            <w:rStyle w:val="Hyperlink"/>
            <w:rFonts w:eastAsiaTheme="majorEastAsia"/>
            <w:noProof/>
          </w:rPr>
          <w:t>Grants and Contributions Forecasts</w:t>
        </w:r>
        <w:r w:rsidR="00F6090D">
          <w:rPr>
            <w:noProof/>
            <w:webHidden/>
          </w:rPr>
          <w:tab/>
        </w:r>
        <w:r w:rsidR="00F6090D">
          <w:rPr>
            <w:noProof/>
            <w:webHidden/>
          </w:rPr>
          <w:fldChar w:fldCharType="begin"/>
        </w:r>
        <w:r w:rsidR="00F6090D">
          <w:rPr>
            <w:noProof/>
            <w:webHidden/>
          </w:rPr>
          <w:instrText xml:space="preserve"> PAGEREF _Toc72402765 \h </w:instrText>
        </w:r>
        <w:r w:rsidR="00F6090D">
          <w:rPr>
            <w:noProof/>
            <w:webHidden/>
          </w:rPr>
        </w:r>
        <w:r w:rsidR="00F6090D">
          <w:rPr>
            <w:noProof/>
            <w:webHidden/>
          </w:rPr>
          <w:fldChar w:fldCharType="separate"/>
        </w:r>
        <w:r w:rsidR="00F6090D">
          <w:rPr>
            <w:noProof/>
            <w:webHidden/>
          </w:rPr>
          <w:t>22</w:t>
        </w:r>
        <w:r w:rsidR="00F6090D">
          <w:rPr>
            <w:noProof/>
            <w:webHidden/>
          </w:rPr>
          <w:fldChar w:fldCharType="end"/>
        </w:r>
      </w:hyperlink>
    </w:p>
    <w:p w14:paraId="379656CB" w14:textId="42124752" w:rsidR="00F6090D" w:rsidRDefault="00660AE1">
      <w:pPr>
        <w:pStyle w:val="TOC2"/>
        <w:tabs>
          <w:tab w:val="left" w:pos="720"/>
          <w:tab w:val="right" w:leader="dot" w:pos="8990"/>
        </w:tabs>
        <w:rPr>
          <w:rFonts w:eastAsiaTheme="minorEastAsia" w:cstheme="minorBidi"/>
          <w:i w:val="0"/>
          <w:iCs w:val="0"/>
          <w:noProof/>
          <w:sz w:val="22"/>
          <w:szCs w:val="22"/>
        </w:rPr>
      </w:pPr>
      <w:hyperlink w:anchor="_Toc72402766" w:history="1">
        <w:r w:rsidR="00F6090D" w:rsidRPr="00117B26">
          <w:rPr>
            <w:rStyle w:val="Hyperlink"/>
            <w:rFonts w:eastAsiaTheme="majorEastAsia"/>
            <w:noProof/>
          </w:rPr>
          <w:t>3.8</w:t>
        </w:r>
        <w:r w:rsidR="00F6090D">
          <w:rPr>
            <w:rFonts w:eastAsiaTheme="minorEastAsia" w:cstheme="minorBidi"/>
            <w:i w:val="0"/>
            <w:iCs w:val="0"/>
            <w:noProof/>
            <w:sz w:val="22"/>
            <w:szCs w:val="22"/>
          </w:rPr>
          <w:tab/>
        </w:r>
        <w:r w:rsidR="00F6090D" w:rsidRPr="00117B26">
          <w:rPr>
            <w:rStyle w:val="Hyperlink"/>
            <w:rFonts w:eastAsiaTheme="majorEastAsia"/>
            <w:noProof/>
          </w:rPr>
          <w:t>Forecast Adjustments</w:t>
        </w:r>
        <w:r w:rsidR="00F6090D">
          <w:rPr>
            <w:noProof/>
            <w:webHidden/>
          </w:rPr>
          <w:tab/>
        </w:r>
        <w:r w:rsidR="00F6090D">
          <w:rPr>
            <w:noProof/>
            <w:webHidden/>
          </w:rPr>
          <w:fldChar w:fldCharType="begin"/>
        </w:r>
        <w:r w:rsidR="00F6090D">
          <w:rPr>
            <w:noProof/>
            <w:webHidden/>
          </w:rPr>
          <w:instrText xml:space="preserve"> PAGEREF _Toc72402766 \h </w:instrText>
        </w:r>
        <w:r w:rsidR="00F6090D">
          <w:rPr>
            <w:noProof/>
            <w:webHidden/>
          </w:rPr>
        </w:r>
        <w:r w:rsidR="00F6090D">
          <w:rPr>
            <w:noProof/>
            <w:webHidden/>
          </w:rPr>
          <w:fldChar w:fldCharType="separate"/>
        </w:r>
        <w:r w:rsidR="00F6090D">
          <w:rPr>
            <w:noProof/>
            <w:webHidden/>
          </w:rPr>
          <w:t>22</w:t>
        </w:r>
        <w:r w:rsidR="00F6090D">
          <w:rPr>
            <w:noProof/>
            <w:webHidden/>
          </w:rPr>
          <w:fldChar w:fldCharType="end"/>
        </w:r>
      </w:hyperlink>
    </w:p>
    <w:p w14:paraId="1D8C8250" w14:textId="408828F0" w:rsidR="00F6090D" w:rsidRDefault="00660AE1">
      <w:pPr>
        <w:pStyle w:val="TOC2"/>
        <w:tabs>
          <w:tab w:val="left" w:pos="720"/>
          <w:tab w:val="right" w:leader="dot" w:pos="8990"/>
        </w:tabs>
        <w:rPr>
          <w:rFonts w:eastAsiaTheme="minorEastAsia" w:cstheme="minorBidi"/>
          <w:i w:val="0"/>
          <w:iCs w:val="0"/>
          <w:noProof/>
          <w:sz w:val="22"/>
          <w:szCs w:val="22"/>
        </w:rPr>
      </w:pPr>
      <w:hyperlink w:anchor="_Toc72402767" w:history="1">
        <w:r w:rsidR="00F6090D" w:rsidRPr="00117B26">
          <w:rPr>
            <w:rStyle w:val="Hyperlink"/>
            <w:rFonts w:eastAsiaTheme="majorEastAsia"/>
            <w:noProof/>
          </w:rPr>
          <w:t>3.9</w:t>
        </w:r>
        <w:r w:rsidR="00F6090D">
          <w:rPr>
            <w:rFonts w:eastAsiaTheme="minorEastAsia" w:cstheme="minorBidi"/>
            <w:i w:val="0"/>
            <w:iCs w:val="0"/>
            <w:noProof/>
            <w:sz w:val="22"/>
            <w:szCs w:val="22"/>
          </w:rPr>
          <w:tab/>
        </w:r>
        <w:r w:rsidR="00F6090D" w:rsidRPr="00117B26">
          <w:rPr>
            <w:rStyle w:val="Hyperlink"/>
            <w:rFonts w:eastAsiaTheme="majorEastAsia"/>
            <w:noProof/>
          </w:rPr>
          <w:t>Variance Explanations and ADM Forecast Approval</w:t>
        </w:r>
        <w:r w:rsidR="00F6090D">
          <w:rPr>
            <w:noProof/>
            <w:webHidden/>
          </w:rPr>
          <w:tab/>
        </w:r>
        <w:r w:rsidR="00F6090D">
          <w:rPr>
            <w:noProof/>
            <w:webHidden/>
          </w:rPr>
          <w:fldChar w:fldCharType="begin"/>
        </w:r>
        <w:r w:rsidR="00F6090D">
          <w:rPr>
            <w:noProof/>
            <w:webHidden/>
          </w:rPr>
          <w:instrText xml:space="preserve"> PAGEREF _Toc72402767 \h </w:instrText>
        </w:r>
        <w:r w:rsidR="00F6090D">
          <w:rPr>
            <w:noProof/>
            <w:webHidden/>
          </w:rPr>
        </w:r>
        <w:r w:rsidR="00F6090D">
          <w:rPr>
            <w:noProof/>
            <w:webHidden/>
          </w:rPr>
          <w:fldChar w:fldCharType="separate"/>
        </w:r>
        <w:r w:rsidR="00F6090D">
          <w:rPr>
            <w:noProof/>
            <w:webHidden/>
          </w:rPr>
          <w:t>25</w:t>
        </w:r>
        <w:r w:rsidR="00F6090D">
          <w:rPr>
            <w:noProof/>
            <w:webHidden/>
          </w:rPr>
          <w:fldChar w:fldCharType="end"/>
        </w:r>
      </w:hyperlink>
    </w:p>
    <w:p w14:paraId="3270055D" w14:textId="0ED33060" w:rsidR="00F6090D" w:rsidRDefault="00660AE1">
      <w:pPr>
        <w:pStyle w:val="TOC1"/>
        <w:tabs>
          <w:tab w:val="right" w:leader="dot" w:pos="8990"/>
        </w:tabs>
        <w:rPr>
          <w:rFonts w:eastAsiaTheme="minorEastAsia" w:cstheme="minorBidi"/>
          <w:b w:val="0"/>
          <w:bCs w:val="0"/>
          <w:noProof/>
          <w:sz w:val="22"/>
          <w:szCs w:val="22"/>
        </w:rPr>
      </w:pPr>
      <w:hyperlink w:anchor="_Toc72402768" w:history="1">
        <w:r w:rsidR="00F6090D" w:rsidRPr="00117B26">
          <w:rPr>
            <w:rStyle w:val="Hyperlink"/>
            <w:rFonts w:eastAsiaTheme="majorEastAsia"/>
            <w:noProof/>
            <w:lang w:val="en-US"/>
          </w:rPr>
          <w:t>ANNEX A – 2021-22 Departmental Forecasting Calendar</w:t>
        </w:r>
        <w:r w:rsidR="00F6090D">
          <w:rPr>
            <w:noProof/>
            <w:webHidden/>
          </w:rPr>
          <w:tab/>
        </w:r>
        <w:r w:rsidR="00F6090D">
          <w:rPr>
            <w:noProof/>
            <w:webHidden/>
          </w:rPr>
          <w:fldChar w:fldCharType="begin"/>
        </w:r>
        <w:r w:rsidR="00F6090D">
          <w:rPr>
            <w:noProof/>
            <w:webHidden/>
          </w:rPr>
          <w:instrText xml:space="preserve"> PAGEREF _Toc72402768 \h </w:instrText>
        </w:r>
        <w:r w:rsidR="00F6090D">
          <w:rPr>
            <w:noProof/>
            <w:webHidden/>
          </w:rPr>
        </w:r>
        <w:r w:rsidR="00F6090D">
          <w:rPr>
            <w:noProof/>
            <w:webHidden/>
          </w:rPr>
          <w:fldChar w:fldCharType="separate"/>
        </w:r>
        <w:r w:rsidR="00F6090D">
          <w:rPr>
            <w:noProof/>
            <w:webHidden/>
          </w:rPr>
          <w:t>26</w:t>
        </w:r>
        <w:r w:rsidR="00F6090D">
          <w:rPr>
            <w:noProof/>
            <w:webHidden/>
          </w:rPr>
          <w:fldChar w:fldCharType="end"/>
        </w:r>
      </w:hyperlink>
    </w:p>
    <w:p w14:paraId="0E8A9382" w14:textId="42BB9DDD" w:rsidR="00F6090D" w:rsidRDefault="00660AE1">
      <w:pPr>
        <w:pStyle w:val="TOC1"/>
        <w:tabs>
          <w:tab w:val="right" w:leader="dot" w:pos="8990"/>
        </w:tabs>
        <w:rPr>
          <w:rFonts w:eastAsiaTheme="minorEastAsia" w:cstheme="minorBidi"/>
          <w:b w:val="0"/>
          <w:bCs w:val="0"/>
          <w:noProof/>
          <w:sz w:val="22"/>
          <w:szCs w:val="22"/>
        </w:rPr>
      </w:pPr>
      <w:hyperlink w:anchor="_Toc72402769" w:history="1">
        <w:r w:rsidR="00F6090D" w:rsidRPr="00117B26">
          <w:rPr>
            <w:rStyle w:val="Hyperlink"/>
            <w:rFonts w:eastAsiaTheme="majorEastAsia"/>
            <w:noProof/>
          </w:rPr>
          <w:t>ANNEX B – FMBB Budget Entry</w:t>
        </w:r>
        <w:r w:rsidR="00F6090D">
          <w:rPr>
            <w:noProof/>
            <w:webHidden/>
          </w:rPr>
          <w:tab/>
        </w:r>
        <w:r w:rsidR="00F6090D">
          <w:rPr>
            <w:noProof/>
            <w:webHidden/>
          </w:rPr>
          <w:fldChar w:fldCharType="begin"/>
        </w:r>
        <w:r w:rsidR="00F6090D">
          <w:rPr>
            <w:noProof/>
            <w:webHidden/>
          </w:rPr>
          <w:instrText xml:space="preserve"> PAGEREF _Toc72402769 \h </w:instrText>
        </w:r>
        <w:r w:rsidR="00F6090D">
          <w:rPr>
            <w:noProof/>
            <w:webHidden/>
          </w:rPr>
        </w:r>
        <w:r w:rsidR="00F6090D">
          <w:rPr>
            <w:noProof/>
            <w:webHidden/>
          </w:rPr>
          <w:fldChar w:fldCharType="separate"/>
        </w:r>
        <w:r w:rsidR="00F6090D">
          <w:rPr>
            <w:noProof/>
            <w:webHidden/>
          </w:rPr>
          <w:t>27</w:t>
        </w:r>
        <w:r w:rsidR="00F6090D">
          <w:rPr>
            <w:noProof/>
            <w:webHidden/>
          </w:rPr>
          <w:fldChar w:fldCharType="end"/>
        </w:r>
      </w:hyperlink>
    </w:p>
    <w:p w14:paraId="7549AA14" w14:textId="34C05B60" w:rsidR="00F6090D" w:rsidRDefault="00660AE1">
      <w:pPr>
        <w:pStyle w:val="TOC1"/>
        <w:tabs>
          <w:tab w:val="right" w:leader="dot" w:pos="8990"/>
        </w:tabs>
        <w:rPr>
          <w:rFonts w:eastAsiaTheme="minorEastAsia" w:cstheme="minorBidi"/>
          <w:b w:val="0"/>
          <w:bCs w:val="0"/>
          <w:noProof/>
          <w:sz w:val="22"/>
          <w:szCs w:val="22"/>
        </w:rPr>
      </w:pPr>
      <w:hyperlink w:anchor="_Toc72402770" w:history="1">
        <w:r w:rsidR="00F6090D" w:rsidRPr="00117B26">
          <w:rPr>
            <w:rStyle w:val="Hyperlink"/>
            <w:rFonts w:eastAsiaTheme="majorEastAsia"/>
            <w:noProof/>
            <w:lang w:val="en-US"/>
          </w:rPr>
          <w:t>ANNEX C – Other Personnel Categories – GL Accounts</w:t>
        </w:r>
        <w:r w:rsidR="00F6090D">
          <w:rPr>
            <w:noProof/>
            <w:webHidden/>
          </w:rPr>
          <w:tab/>
        </w:r>
        <w:r w:rsidR="00F6090D">
          <w:rPr>
            <w:noProof/>
            <w:webHidden/>
          </w:rPr>
          <w:fldChar w:fldCharType="begin"/>
        </w:r>
        <w:r w:rsidR="00F6090D">
          <w:rPr>
            <w:noProof/>
            <w:webHidden/>
          </w:rPr>
          <w:instrText xml:space="preserve"> PAGEREF _Toc72402770 \h </w:instrText>
        </w:r>
        <w:r w:rsidR="00F6090D">
          <w:rPr>
            <w:noProof/>
            <w:webHidden/>
          </w:rPr>
        </w:r>
        <w:r w:rsidR="00F6090D">
          <w:rPr>
            <w:noProof/>
            <w:webHidden/>
          </w:rPr>
          <w:fldChar w:fldCharType="separate"/>
        </w:r>
        <w:r w:rsidR="00F6090D">
          <w:rPr>
            <w:noProof/>
            <w:webHidden/>
          </w:rPr>
          <w:t>30</w:t>
        </w:r>
        <w:r w:rsidR="00F6090D">
          <w:rPr>
            <w:noProof/>
            <w:webHidden/>
          </w:rPr>
          <w:fldChar w:fldCharType="end"/>
        </w:r>
      </w:hyperlink>
    </w:p>
    <w:p w14:paraId="260EC8E3" w14:textId="7DDE4E6E" w:rsidR="00F6090D" w:rsidRDefault="00660AE1">
      <w:pPr>
        <w:pStyle w:val="TOC1"/>
        <w:tabs>
          <w:tab w:val="right" w:leader="dot" w:pos="8990"/>
        </w:tabs>
        <w:rPr>
          <w:rFonts w:eastAsiaTheme="minorEastAsia" w:cstheme="minorBidi"/>
          <w:b w:val="0"/>
          <w:bCs w:val="0"/>
          <w:noProof/>
          <w:sz w:val="22"/>
          <w:szCs w:val="22"/>
        </w:rPr>
      </w:pPr>
      <w:hyperlink w:anchor="_Toc72402771" w:history="1">
        <w:r w:rsidR="00F6090D" w:rsidRPr="00117B26">
          <w:rPr>
            <w:rStyle w:val="Hyperlink"/>
            <w:rFonts w:eastAsiaTheme="majorEastAsia"/>
            <w:noProof/>
            <w:lang w:val="en-US"/>
          </w:rPr>
          <w:t>ANNEX D – BI Reports and Documentation</w:t>
        </w:r>
        <w:r w:rsidR="00F6090D">
          <w:rPr>
            <w:noProof/>
            <w:webHidden/>
          </w:rPr>
          <w:tab/>
        </w:r>
        <w:r w:rsidR="00F6090D">
          <w:rPr>
            <w:noProof/>
            <w:webHidden/>
          </w:rPr>
          <w:fldChar w:fldCharType="begin"/>
        </w:r>
        <w:r w:rsidR="00F6090D">
          <w:rPr>
            <w:noProof/>
            <w:webHidden/>
          </w:rPr>
          <w:instrText xml:space="preserve"> PAGEREF _Toc72402771 \h </w:instrText>
        </w:r>
        <w:r w:rsidR="00F6090D">
          <w:rPr>
            <w:noProof/>
            <w:webHidden/>
          </w:rPr>
        </w:r>
        <w:r w:rsidR="00F6090D">
          <w:rPr>
            <w:noProof/>
            <w:webHidden/>
          </w:rPr>
          <w:fldChar w:fldCharType="separate"/>
        </w:r>
        <w:r w:rsidR="00F6090D">
          <w:rPr>
            <w:noProof/>
            <w:webHidden/>
          </w:rPr>
          <w:t>31</w:t>
        </w:r>
        <w:r w:rsidR="00F6090D">
          <w:rPr>
            <w:noProof/>
            <w:webHidden/>
          </w:rPr>
          <w:fldChar w:fldCharType="end"/>
        </w:r>
      </w:hyperlink>
    </w:p>
    <w:p w14:paraId="203D7D9D" w14:textId="31D839A8" w:rsidR="00F6090D" w:rsidRDefault="00660AE1">
      <w:pPr>
        <w:pStyle w:val="TOC1"/>
        <w:tabs>
          <w:tab w:val="right" w:leader="dot" w:pos="8990"/>
        </w:tabs>
        <w:rPr>
          <w:rFonts w:eastAsiaTheme="minorEastAsia" w:cstheme="minorBidi"/>
          <w:b w:val="0"/>
          <w:bCs w:val="0"/>
          <w:noProof/>
          <w:sz w:val="22"/>
          <w:szCs w:val="22"/>
        </w:rPr>
      </w:pPr>
      <w:hyperlink w:anchor="_Toc72402772" w:history="1">
        <w:r w:rsidR="00F6090D" w:rsidRPr="00117B26">
          <w:rPr>
            <w:rStyle w:val="Hyperlink"/>
            <w:rFonts w:eastAsiaTheme="majorEastAsia"/>
            <w:noProof/>
            <w:lang w:val="en-US"/>
          </w:rPr>
          <w:t>ANNEX E – Chief Financial Officer Branch (CFOB) Key Contacts</w:t>
        </w:r>
        <w:r w:rsidR="00F6090D">
          <w:rPr>
            <w:noProof/>
            <w:webHidden/>
          </w:rPr>
          <w:tab/>
        </w:r>
        <w:r w:rsidR="00F6090D">
          <w:rPr>
            <w:noProof/>
            <w:webHidden/>
          </w:rPr>
          <w:fldChar w:fldCharType="begin"/>
        </w:r>
        <w:r w:rsidR="00F6090D">
          <w:rPr>
            <w:noProof/>
            <w:webHidden/>
          </w:rPr>
          <w:instrText xml:space="preserve"> PAGEREF _Toc72402772 \h </w:instrText>
        </w:r>
        <w:r w:rsidR="00F6090D">
          <w:rPr>
            <w:noProof/>
            <w:webHidden/>
          </w:rPr>
        </w:r>
        <w:r w:rsidR="00F6090D">
          <w:rPr>
            <w:noProof/>
            <w:webHidden/>
          </w:rPr>
          <w:fldChar w:fldCharType="separate"/>
        </w:r>
        <w:r w:rsidR="00F6090D">
          <w:rPr>
            <w:noProof/>
            <w:webHidden/>
          </w:rPr>
          <w:t>33</w:t>
        </w:r>
        <w:r w:rsidR="00F6090D">
          <w:rPr>
            <w:noProof/>
            <w:webHidden/>
          </w:rPr>
          <w:fldChar w:fldCharType="end"/>
        </w:r>
      </w:hyperlink>
    </w:p>
    <w:p w14:paraId="0F399489" w14:textId="253CEB91" w:rsidR="00DB44B8" w:rsidRPr="00BF4995" w:rsidRDefault="00F6090D" w:rsidP="00DB44B8">
      <w:pPr>
        <w:rPr>
          <w:lang w:val="en-US"/>
        </w:rPr>
      </w:pPr>
      <w:r>
        <w:rPr>
          <w:rFonts w:asciiTheme="minorHAnsi" w:hAnsiTheme="minorHAnsi" w:cstheme="minorHAnsi"/>
          <w:i/>
          <w:iCs/>
          <w:sz w:val="20"/>
          <w:szCs w:val="20"/>
          <w:lang w:val="en-US"/>
        </w:rPr>
        <w:fldChar w:fldCharType="end"/>
      </w:r>
    </w:p>
    <w:p w14:paraId="2F041726" w14:textId="77777777" w:rsidR="00DB44B8" w:rsidRPr="003019F9" w:rsidRDefault="00DB44B8" w:rsidP="00F6090D">
      <w:pPr>
        <w:pStyle w:val="Heading1"/>
        <w:keepLines w:val="0"/>
        <w:numPr>
          <w:ilvl w:val="0"/>
          <w:numId w:val="1"/>
        </w:numPr>
        <w:spacing w:before="240" w:after="60"/>
        <w:rPr>
          <w:lang w:val="en-US"/>
        </w:rPr>
      </w:pPr>
      <w:r>
        <w:rPr>
          <w:lang w:val="en-US"/>
        </w:rPr>
        <w:br w:type="page"/>
      </w:r>
      <w:bookmarkStart w:id="1" w:name="_Toc356388374"/>
      <w:bookmarkStart w:id="2" w:name="_Ref388021225"/>
      <w:bookmarkStart w:id="3" w:name="_Toc72402732"/>
      <w:r w:rsidRPr="00273E37">
        <w:lastRenderedPageBreak/>
        <w:t>General</w:t>
      </w:r>
      <w:r w:rsidRPr="003019F9">
        <w:t xml:space="preserve"> Guideline</w:t>
      </w:r>
      <w:bookmarkEnd w:id="1"/>
      <w:r w:rsidRPr="003019F9">
        <w:t>s</w:t>
      </w:r>
      <w:bookmarkEnd w:id="2"/>
      <w:bookmarkEnd w:id="3"/>
    </w:p>
    <w:p w14:paraId="48286B76" w14:textId="77777777" w:rsidR="00DB44B8" w:rsidRPr="00BF4995" w:rsidRDefault="00DB44B8" w:rsidP="00F6090D">
      <w:pPr>
        <w:pStyle w:val="Heading2"/>
        <w:numPr>
          <w:ilvl w:val="1"/>
          <w:numId w:val="2"/>
        </w:numPr>
      </w:pPr>
      <w:bookmarkStart w:id="4" w:name="_Toc356388375"/>
      <w:bookmarkStart w:id="5" w:name="_Toc72402733"/>
      <w:r w:rsidRPr="00BF4995">
        <w:t>Departmental Financial Resource Management Princip</w:t>
      </w:r>
      <w:bookmarkEnd w:id="4"/>
      <w:r>
        <w:t>les</w:t>
      </w:r>
      <w:bookmarkEnd w:id="5"/>
    </w:p>
    <w:p w14:paraId="51AF6083" w14:textId="77777777" w:rsidR="00DB44B8" w:rsidRPr="00BF4995" w:rsidRDefault="00DB44B8" w:rsidP="00DB44B8"/>
    <w:p w14:paraId="74AD05FB" w14:textId="471E11CF" w:rsidR="00CB4FB7" w:rsidRDefault="00CB4FB7" w:rsidP="00DB44B8">
      <w:pPr>
        <w:rPr>
          <w:color w:val="000000"/>
        </w:rPr>
      </w:pPr>
      <w:r>
        <w:rPr>
          <w:color w:val="000000"/>
          <w:lang w:val="en-US"/>
        </w:rPr>
        <w:t xml:space="preserve">The following </w:t>
      </w:r>
      <w:r>
        <w:rPr>
          <w:color w:val="000000"/>
        </w:rPr>
        <w:t>principles should guide the financial forecasting:</w:t>
      </w:r>
    </w:p>
    <w:p w14:paraId="679E0CDC" w14:textId="77777777" w:rsidR="00CB4FB7" w:rsidRDefault="00CB4FB7" w:rsidP="00DB44B8"/>
    <w:p w14:paraId="37457B91" w14:textId="30CFA605" w:rsidR="00CB4FB7" w:rsidRPr="00CB4FB7" w:rsidRDefault="00CB4FB7" w:rsidP="00F6090D">
      <w:pPr>
        <w:pStyle w:val="ListParagraph"/>
        <w:numPr>
          <w:ilvl w:val="0"/>
          <w:numId w:val="22"/>
        </w:numPr>
        <w:ind w:left="567"/>
        <w:contextualSpacing w:val="0"/>
        <w:rPr>
          <w:rFonts w:ascii="Calibri" w:hAnsi="Calibri"/>
          <w:color w:val="000000"/>
        </w:rPr>
      </w:pPr>
      <w:r>
        <w:rPr>
          <w:color w:val="000000"/>
        </w:rPr>
        <w:t xml:space="preserve">Salary costs are upwards of 80% of most branch/regional budgets.  If we get this part right, it goes a long way towards accurate overall forecasts, therefore it is vital that the Salary Forecasting Tool (SFT) is being kept up to date and accurate for your branch/region.  In addition, SFT is used as a tool to identify employee pay issues due to Phoenix overpayments and </w:t>
      </w:r>
      <w:r w:rsidR="006201E8">
        <w:rPr>
          <w:color w:val="000000"/>
        </w:rPr>
        <w:t>underpayments</w:t>
      </w:r>
      <w:r w:rsidR="00C1457C">
        <w:rPr>
          <w:color w:val="000000"/>
        </w:rPr>
        <w:t>, but i</w:t>
      </w:r>
      <w:r w:rsidR="006201E8">
        <w:rPr>
          <w:color w:val="000000"/>
        </w:rPr>
        <w:t>f</w:t>
      </w:r>
      <w:r>
        <w:rPr>
          <w:color w:val="000000"/>
        </w:rPr>
        <w:t xml:space="preserve"> not kept up to date, will not be as useful for this purpose. </w:t>
      </w:r>
      <w:r w:rsidR="00C1457C">
        <w:rPr>
          <w:color w:val="000000"/>
        </w:rPr>
        <w:t>T</w:t>
      </w:r>
      <w:r>
        <w:rPr>
          <w:color w:val="000000"/>
        </w:rPr>
        <w:t>he department has a legal obligation to ensure it appropriately charges its various budgetary envelopes (i.e. EI, CPP, CRF, Passport cost recovery, recoveries from other entities for agreements under DESDA, and COVID-19 funding). This can only be done by ensuring that employee costs are accurately coded in SFT, and that non-salary costs are correctly coded in myEMS (SAP).</w:t>
      </w:r>
    </w:p>
    <w:p w14:paraId="1110C99B" w14:textId="77777777" w:rsidR="00CB4FB7" w:rsidRPr="00CB4FB7" w:rsidRDefault="00CB4FB7" w:rsidP="00B30785">
      <w:pPr>
        <w:pStyle w:val="ListParagraph"/>
        <w:ind w:left="567"/>
        <w:contextualSpacing w:val="0"/>
        <w:rPr>
          <w:rFonts w:ascii="Calibri" w:hAnsi="Calibri"/>
          <w:color w:val="000000"/>
        </w:rPr>
      </w:pPr>
    </w:p>
    <w:p w14:paraId="553B34C6" w14:textId="6D475681" w:rsidR="00CB4FB7" w:rsidRPr="00CB4FB7" w:rsidRDefault="00CB4FB7" w:rsidP="00F6090D">
      <w:pPr>
        <w:pStyle w:val="ListParagraph"/>
        <w:numPr>
          <w:ilvl w:val="0"/>
          <w:numId w:val="22"/>
        </w:numPr>
        <w:ind w:left="567"/>
        <w:contextualSpacing w:val="0"/>
        <w:rPr>
          <w:rFonts w:ascii="Calibri" w:hAnsi="Calibri"/>
          <w:color w:val="000000"/>
        </w:rPr>
      </w:pPr>
      <w:r w:rsidRPr="00CB4FB7">
        <w:rPr>
          <w:color w:val="000000"/>
        </w:rPr>
        <w:t xml:space="preserve">Planned staffing should be reflective </w:t>
      </w:r>
      <w:r w:rsidR="00C1457C" w:rsidRPr="008E278D">
        <w:t xml:space="preserve">of </w:t>
      </w:r>
      <w:r w:rsidR="00C1457C">
        <w:t>your approved permanent and temporary budget. It will be essential that current year hiring plans take into consideration the future obligations that indeterminate hiring creates vs term hiring.</w:t>
      </w:r>
      <w:r w:rsidR="00C1457C" w:rsidRPr="008E278D">
        <w:t> </w:t>
      </w:r>
      <w:r w:rsidR="00C1457C">
        <w:t>While the department has received very significant budget over the last several years, it has largely been temporary budget.  To minimize disruption in the future, it will be vital that hiring is reflective of the temporary portion of your budget.</w:t>
      </w:r>
      <w:r w:rsidRPr="00CB4FB7">
        <w:rPr>
          <w:color w:val="000000"/>
        </w:rPr>
        <w:t> </w:t>
      </w:r>
    </w:p>
    <w:p w14:paraId="1BD494BC" w14:textId="77777777" w:rsidR="00CB4FB7" w:rsidRPr="00CB4FB7" w:rsidRDefault="00CB4FB7" w:rsidP="00B30785">
      <w:pPr>
        <w:pStyle w:val="ListParagraph"/>
        <w:ind w:left="567"/>
        <w:rPr>
          <w:color w:val="000000"/>
        </w:rPr>
      </w:pPr>
    </w:p>
    <w:p w14:paraId="28492073" w14:textId="61C1FDF5" w:rsidR="00CB4FB7" w:rsidRPr="00CB4FB7" w:rsidRDefault="00CB4FB7" w:rsidP="00F6090D">
      <w:pPr>
        <w:pStyle w:val="ListParagraph"/>
        <w:numPr>
          <w:ilvl w:val="0"/>
          <w:numId w:val="22"/>
        </w:numPr>
        <w:ind w:left="567"/>
        <w:contextualSpacing w:val="0"/>
        <w:rPr>
          <w:rFonts w:ascii="Calibri" w:hAnsi="Calibri"/>
          <w:color w:val="000000"/>
        </w:rPr>
      </w:pPr>
      <w:r w:rsidRPr="00CB4FB7">
        <w:rPr>
          <w:color w:val="000000"/>
        </w:rPr>
        <w:t>Estimates for significantly decreased attrition and turnover</w:t>
      </w:r>
      <w:r w:rsidR="00C1457C">
        <w:t>, as well as reduced travel forecasts,</w:t>
      </w:r>
      <w:r w:rsidRPr="00CB4FB7">
        <w:rPr>
          <w:color w:val="000000"/>
        </w:rPr>
        <w:t xml:space="preserve"> should be incorporated as an offset to your planned salary spending.  </w:t>
      </w:r>
    </w:p>
    <w:p w14:paraId="741116EA" w14:textId="77777777" w:rsidR="00CB4FB7" w:rsidRPr="00CB4FB7" w:rsidRDefault="00CB4FB7" w:rsidP="00B30785">
      <w:pPr>
        <w:pStyle w:val="ListParagraph"/>
        <w:ind w:left="567"/>
        <w:rPr>
          <w:color w:val="000000"/>
        </w:rPr>
      </w:pPr>
    </w:p>
    <w:p w14:paraId="41636B54" w14:textId="6A387D10" w:rsidR="00CB4FB7" w:rsidRPr="00CB4FB7" w:rsidRDefault="00C1457C" w:rsidP="00F6090D">
      <w:pPr>
        <w:pStyle w:val="ListParagraph"/>
        <w:numPr>
          <w:ilvl w:val="0"/>
          <w:numId w:val="22"/>
        </w:numPr>
        <w:ind w:left="567"/>
        <w:contextualSpacing w:val="0"/>
        <w:rPr>
          <w:rFonts w:ascii="Calibri" w:hAnsi="Calibri"/>
          <w:color w:val="000000"/>
        </w:rPr>
      </w:pPr>
      <w:r>
        <w:rPr>
          <w:color w:val="000000"/>
        </w:rPr>
        <w:t>Any e</w:t>
      </w:r>
      <w:r w:rsidR="00CB4FB7" w:rsidRPr="00CB4FB7">
        <w:rPr>
          <w:color w:val="000000"/>
        </w:rPr>
        <w:t>merging pressures must be supported by a short business case, including a description of the pressure, substantiated costs, and alignment to current departmental priorities.</w:t>
      </w:r>
    </w:p>
    <w:p w14:paraId="384663ED" w14:textId="77777777" w:rsidR="00CB4FB7" w:rsidRPr="00CB4FB7" w:rsidRDefault="00CB4FB7" w:rsidP="00B30785">
      <w:pPr>
        <w:pStyle w:val="ListParagraph"/>
        <w:ind w:left="567"/>
        <w:rPr>
          <w:rFonts w:ascii="Calibri" w:hAnsi="Calibri"/>
          <w:color w:val="000000"/>
        </w:rPr>
      </w:pPr>
    </w:p>
    <w:p w14:paraId="4A37F302" w14:textId="34679A73" w:rsidR="00CB4FB7" w:rsidRPr="0060233B" w:rsidRDefault="00CB4FB7" w:rsidP="00F6090D">
      <w:pPr>
        <w:pStyle w:val="ListParagraph"/>
        <w:numPr>
          <w:ilvl w:val="0"/>
          <w:numId w:val="22"/>
        </w:numPr>
        <w:ind w:left="567"/>
        <w:contextualSpacing w:val="0"/>
        <w:rPr>
          <w:rFonts w:ascii="Calibri" w:hAnsi="Calibri"/>
          <w:color w:val="000000"/>
        </w:rPr>
      </w:pPr>
      <w:r>
        <w:rPr>
          <w:color w:val="000000"/>
        </w:rPr>
        <w:t>Any financial flexibility should be declared as early as possible in order to make the most effective use of departmental resources, and to realign funding to priority activities as early as possible. This will be particularly important in the current environment.  Please do not wait until P6 or P8 to report surplus budget.</w:t>
      </w:r>
    </w:p>
    <w:p w14:paraId="18C05324" w14:textId="77777777" w:rsidR="00C1457C" w:rsidRPr="0060233B" w:rsidRDefault="00C1457C" w:rsidP="0060233B">
      <w:pPr>
        <w:pStyle w:val="ListParagraph"/>
        <w:ind w:left="567"/>
        <w:rPr>
          <w:rFonts w:ascii="Calibri" w:hAnsi="Calibri"/>
          <w:color w:val="000000"/>
        </w:rPr>
      </w:pPr>
    </w:p>
    <w:p w14:paraId="059D0286" w14:textId="5B21CA93" w:rsidR="00C1457C" w:rsidRPr="00C1457C" w:rsidRDefault="00CD7F7C" w:rsidP="00F6090D">
      <w:pPr>
        <w:pStyle w:val="ListParagraph"/>
        <w:numPr>
          <w:ilvl w:val="0"/>
          <w:numId w:val="22"/>
        </w:numPr>
        <w:ind w:left="567"/>
        <w:contextualSpacing w:val="0"/>
      </w:pPr>
      <w:r>
        <w:t>A</w:t>
      </w:r>
      <w:r w:rsidR="00C1457C">
        <w:t>s per</w:t>
      </w:r>
      <w:r w:rsidR="00C1457C" w:rsidRPr="008E278D">
        <w:t xml:space="preserve"> </w:t>
      </w:r>
      <w:r w:rsidR="00C1457C">
        <w:t xml:space="preserve">the </w:t>
      </w:r>
      <w:r w:rsidR="00C1457C" w:rsidRPr="008E278D">
        <w:t>ESDC Budget Establishment Strategy presented to PMB on March 4,</w:t>
      </w:r>
      <w:r>
        <w:t xml:space="preserve"> 2021,</w:t>
      </w:r>
      <w:r w:rsidR="00C1457C" w:rsidRPr="008E278D">
        <w:t xml:space="preserve"> a 2.45% corporate contribution has been applied to branch / regional A-Base budgets in order to replenish the corporate reserve after funding permanent pressures. For </w:t>
      </w:r>
      <w:r w:rsidR="00C1457C">
        <w:t>the current year</w:t>
      </w:r>
      <w:r w:rsidR="00C1457C" w:rsidRPr="008E278D">
        <w:t xml:space="preserve">, A-base budgets have been </w:t>
      </w:r>
      <w:r w:rsidR="00C1457C" w:rsidRPr="008E278D">
        <w:lastRenderedPageBreak/>
        <w:t xml:space="preserve">reduced, but have </w:t>
      </w:r>
      <w:r w:rsidR="00C1457C">
        <w:t xml:space="preserve">also </w:t>
      </w:r>
      <w:r w:rsidR="00C1457C" w:rsidRPr="008E278D">
        <w:t xml:space="preserve">been offset by an equivalent increase to B-base. The permanent reduction officially starts in fiscal year 2022-23. This </w:t>
      </w:r>
      <w:r w:rsidR="00C1457C">
        <w:t>should</w:t>
      </w:r>
      <w:r w:rsidR="00C1457C" w:rsidRPr="008E278D">
        <w:t xml:space="preserve"> be taken in</w:t>
      </w:r>
      <w:r w:rsidR="00C1457C">
        <w:t>to</w:t>
      </w:r>
      <w:r w:rsidR="00C1457C" w:rsidRPr="008E278D">
        <w:t xml:space="preserve"> consideration for the multi-year forecasting exercises at P6 and P8.</w:t>
      </w:r>
    </w:p>
    <w:p w14:paraId="4B9EDC48" w14:textId="632DB078" w:rsidR="00CB4FB7" w:rsidRPr="00CB4FB7" w:rsidRDefault="00CB4FB7" w:rsidP="00CB4FB7">
      <w:pPr>
        <w:rPr>
          <w:rFonts w:ascii="Calibri" w:hAnsi="Calibri"/>
          <w:color w:val="000000"/>
        </w:rPr>
      </w:pPr>
    </w:p>
    <w:p w14:paraId="4737F83E" w14:textId="77777777" w:rsidR="00DB44B8" w:rsidRPr="000A6CA2" w:rsidRDefault="00DB44B8" w:rsidP="00F6090D">
      <w:pPr>
        <w:pStyle w:val="Heading2"/>
        <w:numPr>
          <w:ilvl w:val="1"/>
          <w:numId w:val="1"/>
        </w:numPr>
        <w:rPr>
          <w:lang w:val="en-US"/>
        </w:rPr>
      </w:pPr>
      <w:bookmarkStart w:id="6" w:name="_Toc72402734"/>
      <w:r w:rsidRPr="000A6CA2">
        <w:rPr>
          <w:lang w:val="en-US"/>
        </w:rPr>
        <w:t>Accountability</w:t>
      </w:r>
      <w:bookmarkEnd w:id="6"/>
    </w:p>
    <w:p w14:paraId="493B3FF5" w14:textId="77777777" w:rsidR="00DB44B8" w:rsidRPr="000A6CA2" w:rsidRDefault="00DB44B8" w:rsidP="00DB44B8">
      <w:pPr>
        <w:rPr>
          <w:lang w:val="en-US"/>
        </w:rPr>
      </w:pPr>
    </w:p>
    <w:p w14:paraId="01118741" w14:textId="77777777" w:rsidR="00DB44B8" w:rsidRPr="000A6CA2" w:rsidRDefault="00AE517F" w:rsidP="00DB44B8">
      <w:pPr>
        <w:rPr>
          <w:rFonts w:cs="Arial"/>
        </w:rPr>
      </w:pPr>
      <w:r>
        <w:rPr>
          <w:rFonts w:cs="Arial"/>
          <w:lang w:val="en-US"/>
        </w:rPr>
        <w:t>ADM</w:t>
      </w:r>
      <w:r w:rsidR="00DB44B8" w:rsidRPr="000A6CA2">
        <w:rPr>
          <w:rFonts w:cs="Arial"/>
        </w:rPr>
        <w:t>s are accountable for the accuracy of their respective forecast</w:t>
      </w:r>
      <w:r w:rsidR="00DB44B8">
        <w:rPr>
          <w:rFonts w:cs="Arial"/>
        </w:rPr>
        <w:t>s and the accuracy of data found in the Salary Forecasting Tool</w:t>
      </w:r>
      <w:r w:rsidR="007741AE">
        <w:rPr>
          <w:rFonts w:cs="Arial"/>
        </w:rPr>
        <w:t xml:space="preserve"> </w:t>
      </w:r>
      <w:r w:rsidR="00DB44B8" w:rsidRPr="000A6CA2">
        <w:rPr>
          <w:rFonts w:cs="Arial"/>
        </w:rPr>
        <w:t xml:space="preserve">and </w:t>
      </w:r>
      <w:r w:rsidR="00DB44B8">
        <w:rPr>
          <w:rFonts w:cs="Arial"/>
        </w:rPr>
        <w:t>are</w:t>
      </w:r>
      <w:r w:rsidR="00DB44B8" w:rsidRPr="000A6CA2">
        <w:rPr>
          <w:rFonts w:cs="Arial"/>
        </w:rPr>
        <w:t xml:space="preserve"> required to atte</w:t>
      </w:r>
      <w:r w:rsidR="00DB44B8">
        <w:rPr>
          <w:rFonts w:cs="Arial"/>
        </w:rPr>
        <w:t xml:space="preserve">st to their submissions. </w:t>
      </w:r>
      <w:r w:rsidR="00DB44B8" w:rsidRPr="000A6CA2">
        <w:rPr>
          <w:rFonts w:cs="Arial"/>
        </w:rPr>
        <w:t xml:space="preserve">Financial Management Advisors (FMAs) are </w:t>
      </w:r>
      <w:r w:rsidR="00DB44B8">
        <w:rPr>
          <w:rFonts w:cs="Arial"/>
        </w:rPr>
        <w:t xml:space="preserve">also </w:t>
      </w:r>
      <w:r w:rsidR="00DB44B8" w:rsidRPr="000A6CA2">
        <w:rPr>
          <w:rFonts w:cs="Arial"/>
        </w:rPr>
        <w:t>required to certify the accuracy and completeness of the financial information presented, and ensure due diligence has been performed and any concerns are identified and documented.</w:t>
      </w:r>
    </w:p>
    <w:p w14:paraId="187E75A6" w14:textId="77777777" w:rsidR="00DB44B8" w:rsidRPr="000A6CA2" w:rsidRDefault="00DB44B8" w:rsidP="00DB44B8"/>
    <w:p w14:paraId="46741B27" w14:textId="644F9A67" w:rsidR="00DB44B8" w:rsidRDefault="00DB44B8" w:rsidP="00DB44B8">
      <w:r w:rsidRPr="000A6CA2">
        <w:t xml:space="preserve">For that purpose, a forecast approval is required, with both the branch/region </w:t>
      </w:r>
      <w:r>
        <w:t>ADM</w:t>
      </w:r>
      <w:r w:rsidRPr="000A6CA2">
        <w:t xml:space="preserve"> and FMA signature</w:t>
      </w:r>
      <w:r>
        <w:t>s</w:t>
      </w:r>
      <w:r w:rsidRPr="000A6CA2">
        <w:t xml:space="preserve">, and if financial pressures are being brought forward, a business case </w:t>
      </w:r>
      <w:r>
        <w:t>is required</w:t>
      </w:r>
      <w:r w:rsidRPr="000A6CA2">
        <w:t>.</w:t>
      </w:r>
    </w:p>
    <w:p w14:paraId="5CE34260" w14:textId="77777777" w:rsidR="00163740" w:rsidRDefault="00163740" w:rsidP="00DB44B8"/>
    <w:p w14:paraId="5B118722" w14:textId="05624921" w:rsidR="00DB44B8" w:rsidRPr="00F866F0" w:rsidRDefault="00DB44B8" w:rsidP="006201E8">
      <w:pPr>
        <w:pStyle w:val="Default"/>
      </w:pPr>
      <w:r w:rsidRPr="00944EEF">
        <w:t>In addition, ADMs will be accountable for</w:t>
      </w:r>
      <w:r w:rsidR="006201E8">
        <w:rPr>
          <w:rFonts w:eastAsia="Times New Roman"/>
          <w:lang w:eastAsia="en-CA"/>
        </w:rPr>
        <w:t xml:space="preserve"> e</w:t>
      </w:r>
      <w:r w:rsidRPr="00F866F0">
        <w:t xml:space="preserve">xercising diligence by ensuring that their </w:t>
      </w:r>
      <w:r w:rsidRPr="006201E8">
        <w:t>budget forecasts</w:t>
      </w:r>
      <w:r w:rsidRPr="00F866F0">
        <w:t xml:space="preserve"> (salary and non-salary) are based on a fair and realistic assessment of current and future plans for their organisation.</w:t>
      </w:r>
    </w:p>
    <w:p w14:paraId="4A7A0C2D" w14:textId="77777777" w:rsidR="00DB44B8" w:rsidRPr="00C55995" w:rsidRDefault="00DB44B8" w:rsidP="00DB44B8">
      <w:pPr>
        <w:pStyle w:val="NormalWeb"/>
        <w:spacing w:before="0" w:beforeAutospacing="0" w:after="0" w:afterAutospacing="0"/>
        <w:rPr>
          <w:rFonts w:ascii="Arial" w:hAnsi="Arial" w:cs="Arial"/>
        </w:rPr>
      </w:pPr>
    </w:p>
    <w:p w14:paraId="4731F89B" w14:textId="77777777" w:rsidR="00DB44B8" w:rsidRPr="000A6CA2" w:rsidRDefault="00DB44B8" w:rsidP="00F6090D">
      <w:pPr>
        <w:pStyle w:val="Heading2"/>
        <w:numPr>
          <w:ilvl w:val="1"/>
          <w:numId w:val="1"/>
        </w:numPr>
      </w:pPr>
      <w:bookmarkStart w:id="7" w:name="_Toc72402735"/>
      <w:r w:rsidRPr="000A6CA2">
        <w:t>Departmental Forecasting Calendar</w:t>
      </w:r>
      <w:bookmarkEnd w:id="7"/>
    </w:p>
    <w:p w14:paraId="631B3F7A" w14:textId="77777777" w:rsidR="00DB44B8" w:rsidRPr="000A6CA2" w:rsidRDefault="00DB44B8" w:rsidP="00DB44B8"/>
    <w:p w14:paraId="275F1E1D" w14:textId="7F1C9EF2" w:rsidR="00DB44B8" w:rsidRPr="000A6CA2" w:rsidRDefault="00DB44B8" w:rsidP="00DB44B8">
      <w:pPr>
        <w:rPr>
          <w:lang w:val="en-US"/>
        </w:rPr>
      </w:pPr>
      <w:r w:rsidRPr="000A6CA2">
        <w:rPr>
          <w:lang w:val="en-US"/>
        </w:rPr>
        <w:t xml:space="preserve">For </w:t>
      </w:r>
      <w:r>
        <w:rPr>
          <w:lang w:val="en-US"/>
        </w:rPr>
        <w:t xml:space="preserve">the </w:t>
      </w:r>
      <w:r w:rsidR="00571BB3">
        <w:rPr>
          <w:lang w:val="en-US"/>
        </w:rPr>
        <w:t>2021-22</w:t>
      </w:r>
      <w:r w:rsidRPr="00C46FA2">
        <w:rPr>
          <w:lang w:val="en-US"/>
        </w:rPr>
        <w:t xml:space="preserve"> fiscal</w:t>
      </w:r>
      <w:r w:rsidRPr="000A6CA2">
        <w:rPr>
          <w:lang w:val="en-US"/>
        </w:rPr>
        <w:t xml:space="preserve"> year, the periodic review exercises will be completed for periods 3, 6, 8, and 10, for current year operating and </w:t>
      </w:r>
      <w:r>
        <w:rPr>
          <w:lang w:val="en-US"/>
        </w:rPr>
        <w:t>grants and contributions (Gs&amp;Cs)</w:t>
      </w:r>
      <w:r w:rsidRPr="000A6CA2">
        <w:rPr>
          <w:lang w:val="en-US"/>
        </w:rPr>
        <w:t xml:space="preserve"> budgets.  Multi-year forecasts will </w:t>
      </w:r>
      <w:r>
        <w:rPr>
          <w:lang w:val="en-US"/>
        </w:rPr>
        <w:t>also be required for periods 6 and 8, as they are the starting point for the upcoming initial budget allocation process.</w:t>
      </w:r>
    </w:p>
    <w:p w14:paraId="0712FC81" w14:textId="77777777" w:rsidR="00DB44B8" w:rsidRPr="000A6CA2" w:rsidRDefault="00DB44B8" w:rsidP="00DB44B8">
      <w:pPr>
        <w:rPr>
          <w:lang w:val="en-US"/>
        </w:rPr>
      </w:pPr>
    </w:p>
    <w:p w14:paraId="7E6D9CA7" w14:textId="77777777" w:rsidR="00DB44B8" w:rsidRDefault="00DB44B8" w:rsidP="00DB44B8">
      <w:r w:rsidRPr="000A6CA2">
        <w:t>The Departmental Forecasting</w:t>
      </w:r>
      <w:r w:rsidRPr="00C55995">
        <w:t xml:space="preserve"> Calendar</w:t>
      </w:r>
      <w:r w:rsidRPr="00C55995">
        <w:rPr>
          <w:i/>
        </w:rPr>
        <w:t xml:space="preserve"> </w:t>
      </w:r>
      <w:r w:rsidRPr="00C55995">
        <w:t xml:space="preserve">(Annex A) provides an overview of </w:t>
      </w:r>
      <w:r>
        <w:t>timelines</w:t>
      </w:r>
      <w:r w:rsidRPr="00C55995">
        <w:t xml:space="preserve"> for the production of the D</w:t>
      </w:r>
      <w:r>
        <w:t xml:space="preserve">epartmental </w:t>
      </w:r>
      <w:r w:rsidRPr="00C55995">
        <w:t>F</w:t>
      </w:r>
      <w:r>
        <w:t xml:space="preserve">inancial </w:t>
      </w:r>
      <w:r w:rsidRPr="00C55995">
        <w:t>R</w:t>
      </w:r>
      <w:r>
        <w:t>eport (DFR)</w:t>
      </w:r>
      <w:r w:rsidRPr="00C55995">
        <w:t>.</w:t>
      </w:r>
      <w:r>
        <w:t xml:space="preserve"> In addition, forecast due dates, established and communicated by FMAs, must be respected in order to ensure branch/region results are included in the financial </w:t>
      </w:r>
      <w:r w:rsidR="00922FCD">
        <w:t>system</w:t>
      </w:r>
      <w:r>
        <w:t xml:space="preserve"> data retraction, and ultimately in the DFR.</w:t>
      </w:r>
    </w:p>
    <w:p w14:paraId="4E1FB0EC" w14:textId="77777777" w:rsidR="00DB44B8" w:rsidRDefault="00DB44B8" w:rsidP="00DB44B8"/>
    <w:p w14:paraId="30D32A1F" w14:textId="77777777" w:rsidR="00DB44B8" w:rsidRDefault="00DB44B8" w:rsidP="00F6090D">
      <w:pPr>
        <w:pStyle w:val="Heading2"/>
        <w:numPr>
          <w:ilvl w:val="1"/>
          <w:numId w:val="1"/>
        </w:numPr>
      </w:pPr>
      <w:bookmarkStart w:id="8" w:name="_Toc72402736"/>
      <w:r>
        <w:t>Canada Pension Plan Administrative Costs Forecast</w:t>
      </w:r>
      <w:bookmarkEnd w:id="8"/>
    </w:p>
    <w:p w14:paraId="3003BFAE" w14:textId="77777777" w:rsidR="00DB44B8" w:rsidRDefault="00DB44B8" w:rsidP="00DB44B8"/>
    <w:p w14:paraId="1ADD3694" w14:textId="77777777" w:rsidR="00DB44B8" w:rsidRDefault="00DB44B8" w:rsidP="00DB44B8">
      <w:r>
        <w:t xml:space="preserve">In order to be able to segregate the departmental overall forecast by source of funds (i.e. Consolidated Revenue Fund (CRF), Employment Insurance (EI) Operating Account, and the Canada Pension Plan (CPP)), and </w:t>
      </w:r>
      <w:r w:rsidRPr="000C5C12">
        <w:t xml:space="preserve">ensure the department is respecting its funding authorities, a CPP administrative costs forecast is required for periods 6, 8 and 10. </w:t>
      </w:r>
      <w:r>
        <w:t>Further direction will be provided to FMAs regarding this exercise prior to period 6.</w:t>
      </w:r>
      <w:r w:rsidRPr="000C5C12">
        <w:t xml:space="preserve"> </w:t>
      </w:r>
    </w:p>
    <w:p w14:paraId="0CB9DADB" w14:textId="77777777" w:rsidR="00DB44B8" w:rsidRDefault="00DB44B8" w:rsidP="00F6090D">
      <w:pPr>
        <w:pStyle w:val="Heading1"/>
        <w:keepLines w:val="0"/>
        <w:numPr>
          <w:ilvl w:val="0"/>
          <w:numId w:val="1"/>
        </w:numPr>
        <w:spacing w:before="240" w:after="60"/>
      </w:pPr>
      <w:bookmarkStart w:id="9" w:name="_Toc72402737"/>
      <w:r w:rsidRPr="00BF4995">
        <w:lastRenderedPageBreak/>
        <w:t>Forecasting Process</w:t>
      </w:r>
      <w:bookmarkEnd w:id="9"/>
    </w:p>
    <w:p w14:paraId="510DC0ED" w14:textId="77777777" w:rsidR="00DB44B8" w:rsidRDefault="00DB44B8" w:rsidP="00DB44B8">
      <w:pPr>
        <w:rPr>
          <w:rStyle w:val="Strong"/>
          <w:b w:val="0"/>
        </w:rPr>
      </w:pPr>
    </w:p>
    <w:p w14:paraId="48634DCB" w14:textId="647C4015" w:rsidR="00B30785" w:rsidRDefault="00DB44B8" w:rsidP="00DB44B8">
      <w:pPr>
        <w:rPr>
          <w:rFonts w:cs="Arial"/>
          <w:bCs/>
        </w:rPr>
      </w:pPr>
      <w:r>
        <w:rPr>
          <w:rFonts w:cs="Arial"/>
          <w:bCs/>
        </w:rPr>
        <w:t>F</w:t>
      </w:r>
      <w:r w:rsidRPr="00A70F9A">
        <w:rPr>
          <w:rFonts w:cs="Arial"/>
          <w:bCs/>
        </w:rPr>
        <w:t xml:space="preserve">orecasts must be </w:t>
      </w:r>
      <w:r w:rsidR="00B30785">
        <w:rPr>
          <w:rFonts w:cs="Arial"/>
          <w:bCs/>
        </w:rPr>
        <w:t>recorded</w:t>
      </w:r>
      <w:r w:rsidR="00B30785" w:rsidRPr="00A70F9A">
        <w:rPr>
          <w:rFonts w:cs="Arial"/>
          <w:bCs/>
        </w:rPr>
        <w:t xml:space="preserve"> </w:t>
      </w:r>
      <w:r w:rsidRPr="00A70F9A">
        <w:rPr>
          <w:rFonts w:cs="Arial"/>
          <w:bCs/>
        </w:rPr>
        <w:t xml:space="preserve">and consolidated using </w:t>
      </w:r>
      <w:r>
        <w:rPr>
          <w:rFonts w:cs="Arial"/>
          <w:bCs/>
        </w:rPr>
        <w:t>myEMS (SAP)</w:t>
      </w:r>
      <w:r w:rsidRPr="00A70F9A">
        <w:rPr>
          <w:rFonts w:cs="Arial"/>
          <w:bCs/>
        </w:rPr>
        <w:t xml:space="preserve"> forecasting tools</w:t>
      </w:r>
      <w:r w:rsidR="00B30785">
        <w:rPr>
          <w:rFonts w:cs="Arial"/>
          <w:bCs/>
        </w:rPr>
        <w:t>:</w:t>
      </w:r>
      <w:r w:rsidRPr="00A70F9A">
        <w:rPr>
          <w:rFonts w:cs="Arial"/>
          <w:bCs/>
        </w:rPr>
        <w:t xml:space="preserve"> </w:t>
      </w:r>
    </w:p>
    <w:p w14:paraId="6272E949" w14:textId="317CA5EC" w:rsidR="00B30785" w:rsidRDefault="00DB44B8" w:rsidP="00F6090D">
      <w:pPr>
        <w:pStyle w:val="ListParagraph"/>
        <w:numPr>
          <w:ilvl w:val="0"/>
          <w:numId w:val="23"/>
        </w:numPr>
        <w:rPr>
          <w:rFonts w:cs="Arial"/>
          <w:bCs/>
        </w:rPr>
      </w:pPr>
      <w:r w:rsidRPr="00AD16FA">
        <w:rPr>
          <w:rFonts w:cs="Arial"/>
          <w:bCs/>
        </w:rPr>
        <w:t>Salary Forecasting Tool (SFT) for personnel forecasting</w:t>
      </w:r>
      <w:r w:rsidR="00B30785">
        <w:rPr>
          <w:rFonts w:cs="Arial"/>
          <w:bCs/>
        </w:rPr>
        <w:t>.</w:t>
      </w:r>
      <w:r w:rsidRPr="00AD16FA">
        <w:rPr>
          <w:rFonts w:cs="Arial"/>
          <w:bCs/>
        </w:rPr>
        <w:t xml:space="preserve"> </w:t>
      </w:r>
    </w:p>
    <w:p w14:paraId="6D65156D" w14:textId="15F61159" w:rsidR="00B30785" w:rsidRDefault="00B30785" w:rsidP="00F6090D">
      <w:pPr>
        <w:pStyle w:val="ListParagraph"/>
        <w:numPr>
          <w:ilvl w:val="0"/>
          <w:numId w:val="23"/>
        </w:numPr>
        <w:rPr>
          <w:rFonts w:cs="Arial"/>
          <w:bCs/>
        </w:rPr>
      </w:pPr>
      <w:r>
        <w:rPr>
          <w:rFonts w:cs="Arial"/>
          <w:bCs/>
        </w:rPr>
        <w:t>N</w:t>
      </w:r>
      <w:r w:rsidR="00DB44B8" w:rsidRPr="00AD16FA">
        <w:rPr>
          <w:rFonts w:cs="Arial"/>
          <w:bCs/>
        </w:rPr>
        <w:t xml:space="preserve">on-salary forecasting tool for non-personnel forecasting. </w:t>
      </w:r>
    </w:p>
    <w:p w14:paraId="17AF14E0" w14:textId="5B9F9280" w:rsidR="00DB44B8" w:rsidRPr="00AD16FA" w:rsidRDefault="00DB44B8" w:rsidP="00F6090D">
      <w:pPr>
        <w:pStyle w:val="ListParagraph"/>
        <w:numPr>
          <w:ilvl w:val="0"/>
          <w:numId w:val="23"/>
        </w:numPr>
        <w:rPr>
          <w:rFonts w:cs="Arial"/>
          <w:bCs/>
        </w:rPr>
      </w:pPr>
      <w:r w:rsidRPr="00AD16FA">
        <w:rPr>
          <w:rFonts w:cs="Arial"/>
          <w:bCs/>
        </w:rPr>
        <w:t xml:space="preserve">Business Intelligence (BI) Surplus/Deficit report </w:t>
      </w:r>
      <w:r w:rsidR="00B30785">
        <w:rPr>
          <w:rFonts w:cs="Arial"/>
          <w:bCs/>
        </w:rPr>
        <w:t>for the</w:t>
      </w:r>
      <w:r w:rsidRPr="00AD16FA">
        <w:rPr>
          <w:rFonts w:cs="Arial"/>
          <w:bCs/>
        </w:rPr>
        <w:t xml:space="preserve"> consolidat</w:t>
      </w:r>
      <w:r w:rsidR="00B30785">
        <w:rPr>
          <w:rFonts w:cs="Arial"/>
          <w:bCs/>
        </w:rPr>
        <w:t>ion of</w:t>
      </w:r>
      <w:r w:rsidRPr="00AD16FA">
        <w:rPr>
          <w:rFonts w:cs="Arial"/>
          <w:bCs/>
        </w:rPr>
        <w:t xml:space="preserve"> both personnel and non-personnel forecasts and to submit ADM approved results</w:t>
      </w:r>
      <w:r w:rsidR="00B30785">
        <w:rPr>
          <w:rFonts w:cs="Arial"/>
          <w:bCs/>
        </w:rPr>
        <w:t>, including variances explanation</w:t>
      </w:r>
      <w:r w:rsidRPr="00AD16FA">
        <w:rPr>
          <w:rFonts w:cs="Arial"/>
          <w:bCs/>
        </w:rPr>
        <w:t>.</w:t>
      </w:r>
    </w:p>
    <w:p w14:paraId="32C08182" w14:textId="77777777" w:rsidR="00DB44B8" w:rsidRPr="00A70F9A" w:rsidRDefault="00DB44B8" w:rsidP="00DB44B8">
      <w:pPr>
        <w:rPr>
          <w:rFonts w:cs="Arial"/>
          <w:bCs/>
        </w:rPr>
      </w:pPr>
    </w:p>
    <w:p w14:paraId="1E35318B" w14:textId="3F6F0A98" w:rsidR="00DB44B8" w:rsidRDefault="00DB44B8" w:rsidP="00DB44B8">
      <w:pPr>
        <w:rPr>
          <w:rFonts w:cs="Arial"/>
        </w:rPr>
      </w:pPr>
      <w:r w:rsidRPr="00A70F9A">
        <w:rPr>
          <w:rFonts w:cs="Arial"/>
        </w:rPr>
        <w:t xml:space="preserve">In addition, a multi-year financial analysis is required to ensure that workforce management plans are aligned with future year budget reference levels, and for effective long-term planning.  For this reason, multi-year forecasting will be required and included with the financial review exercises for periods 6 and 8. FMAs </w:t>
      </w:r>
      <w:r w:rsidR="00F90992">
        <w:rPr>
          <w:rFonts w:cs="Arial"/>
        </w:rPr>
        <w:t xml:space="preserve">will receive a specific template </w:t>
      </w:r>
      <w:r>
        <w:rPr>
          <w:rFonts w:cs="Arial"/>
        </w:rPr>
        <w:t xml:space="preserve">at the beginning of these periods </w:t>
      </w:r>
      <w:r w:rsidR="00F90992">
        <w:rPr>
          <w:rFonts w:cs="Arial"/>
        </w:rPr>
        <w:t>for</w:t>
      </w:r>
      <w:r>
        <w:rPr>
          <w:rFonts w:cs="Arial"/>
        </w:rPr>
        <w:t xml:space="preserve"> </w:t>
      </w:r>
      <w:r w:rsidRPr="00A70F9A">
        <w:rPr>
          <w:rFonts w:cs="Arial"/>
        </w:rPr>
        <w:t>compl</w:t>
      </w:r>
      <w:r>
        <w:rPr>
          <w:rFonts w:cs="Arial"/>
        </w:rPr>
        <w:t>et</w:t>
      </w:r>
      <w:r w:rsidR="00F90992">
        <w:rPr>
          <w:rFonts w:cs="Arial"/>
        </w:rPr>
        <w:t>ion</w:t>
      </w:r>
      <w:r>
        <w:rPr>
          <w:rFonts w:cs="Arial"/>
        </w:rPr>
        <w:t xml:space="preserve"> and </w:t>
      </w:r>
      <w:r w:rsidR="00922FCD">
        <w:rPr>
          <w:rFonts w:cs="Arial"/>
        </w:rPr>
        <w:t>submi</w:t>
      </w:r>
      <w:r w:rsidR="00F90992">
        <w:rPr>
          <w:rFonts w:cs="Arial"/>
        </w:rPr>
        <w:t>ssion</w:t>
      </w:r>
      <w:r>
        <w:rPr>
          <w:rFonts w:cs="Arial"/>
        </w:rPr>
        <w:t xml:space="preserve"> to </w:t>
      </w:r>
      <w:r w:rsidRPr="00C31234">
        <w:rPr>
          <w:rFonts w:cs="Arial"/>
        </w:rPr>
        <w:t>CRM.</w:t>
      </w:r>
      <w:r>
        <w:rPr>
          <w:rFonts w:cs="Arial"/>
        </w:rPr>
        <w:t xml:space="preserve"> </w:t>
      </w:r>
    </w:p>
    <w:p w14:paraId="79BA68C0" w14:textId="77777777" w:rsidR="00DB44B8" w:rsidRPr="00C31234" w:rsidRDefault="00DB44B8" w:rsidP="00DB44B8">
      <w:pPr>
        <w:rPr>
          <w:rFonts w:cs="Arial"/>
        </w:rPr>
      </w:pPr>
    </w:p>
    <w:p w14:paraId="7F5183FC" w14:textId="3135CE03" w:rsidR="00DB44B8" w:rsidRDefault="00DB44B8" w:rsidP="00DB44B8">
      <w:r w:rsidRPr="000C5C12">
        <w:t xml:space="preserve">SFT information for future years should be as up-to-date as possible, since it </w:t>
      </w:r>
      <w:r w:rsidR="00F90992">
        <w:t>is</w:t>
      </w:r>
      <w:r w:rsidRPr="00025D1A">
        <w:t xml:space="preserve"> the starting point to establish future years forecasts. Additional information, </w:t>
      </w:r>
      <w:r w:rsidR="00F90992">
        <w:t xml:space="preserve">not yet recorded in the </w:t>
      </w:r>
      <w:r w:rsidRPr="00025D1A">
        <w:t xml:space="preserve">system, </w:t>
      </w:r>
      <w:r w:rsidR="00F90992">
        <w:t>can</w:t>
      </w:r>
      <w:r w:rsidRPr="00025D1A">
        <w:t xml:space="preserve"> also be taken into consideration in order to adjust the SFT amount</w:t>
      </w:r>
      <w:r>
        <w:t>s</w:t>
      </w:r>
      <w:r w:rsidRPr="00025D1A">
        <w:t xml:space="preserve"> accordingly.</w:t>
      </w:r>
    </w:p>
    <w:p w14:paraId="75414CA9" w14:textId="77777777" w:rsidR="00DB44B8" w:rsidRPr="00025D1A" w:rsidRDefault="00DB44B8" w:rsidP="00DB44B8"/>
    <w:p w14:paraId="6526E1CF" w14:textId="77796C6E" w:rsidR="00DB44B8" w:rsidRDefault="00DB44B8" w:rsidP="00DB44B8">
      <w:pPr>
        <w:rPr>
          <w:bCs/>
          <w:lang w:val="en-US"/>
        </w:rPr>
      </w:pPr>
      <w:r w:rsidRPr="00025D1A">
        <w:t xml:space="preserve">O&amp;M information such as commitments and expenditures should also be as up to date as possible and if needed, </w:t>
      </w:r>
      <w:r w:rsidRPr="00025D1A">
        <w:rPr>
          <w:bCs/>
          <w:lang w:val="en-US"/>
        </w:rPr>
        <w:t>corrected in a timely manner (i.e. JV, de-commitments)</w:t>
      </w:r>
      <w:r>
        <w:rPr>
          <w:bCs/>
          <w:lang w:val="en-US"/>
        </w:rPr>
        <w:t xml:space="preserve"> as required</w:t>
      </w:r>
      <w:r w:rsidRPr="00025D1A">
        <w:rPr>
          <w:bCs/>
          <w:lang w:val="en-US"/>
        </w:rPr>
        <w:t xml:space="preserve">. </w:t>
      </w:r>
      <w:r w:rsidRPr="00944EEF">
        <w:rPr>
          <w:b/>
          <w:bCs/>
          <w:u w:val="single"/>
          <w:lang w:val="en-US"/>
        </w:rPr>
        <w:t xml:space="preserve">This </w:t>
      </w:r>
      <w:r w:rsidR="00C64B48">
        <w:rPr>
          <w:b/>
          <w:bCs/>
          <w:u w:val="single"/>
          <w:lang w:val="en-US"/>
        </w:rPr>
        <w:t>must</w:t>
      </w:r>
      <w:r w:rsidR="00C64B48" w:rsidRPr="00944EEF">
        <w:rPr>
          <w:b/>
          <w:bCs/>
          <w:u w:val="single"/>
          <w:lang w:val="en-US"/>
        </w:rPr>
        <w:t xml:space="preserve"> </w:t>
      </w:r>
      <w:r w:rsidRPr="00944EEF">
        <w:rPr>
          <w:b/>
          <w:bCs/>
          <w:u w:val="single"/>
          <w:lang w:val="en-US"/>
        </w:rPr>
        <w:t>be done on an ongoing basis</w:t>
      </w:r>
      <w:r>
        <w:rPr>
          <w:bCs/>
          <w:lang w:val="en-US"/>
        </w:rPr>
        <w:t xml:space="preserve"> since O&amp;M commitments consume</w:t>
      </w:r>
      <w:r w:rsidRPr="00025D1A">
        <w:rPr>
          <w:bCs/>
          <w:lang w:val="en-US"/>
        </w:rPr>
        <w:t xml:space="preserve"> free balance and if not up to date, may create flexibility issues throughout the year</w:t>
      </w:r>
      <w:r>
        <w:rPr>
          <w:bCs/>
          <w:lang w:val="en-US"/>
        </w:rPr>
        <w:t>, and especially at</w:t>
      </w:r>
      <w:r w:rsidRPr="00025D1A">
        <w:rPr>
          <w:bCs/>
          <w:lang w:val="en-US"/>
        </w:rPr>
        <w:t xml:space="preserve"> year</w:t>
      </w:r>
      <w:r w:rsidR="00C64B48">
        <w:rPr>
          <w:bCs/>
          <w:lang w:val="en-US"/>
        </w:rPr>
        <w:t>-</w:t>
      </w:r>
      <w:r w:rsidRPr="00025D1A">
        <w:rPr>
          <w:bCs/>
          <w:lang w:val="en-US"/>
        </w:rPr>
        <w:t>end.</w:t>
      </w:r>
    </w:p>
    <w:p w14:paraId="1FB1AA21" w14:textId="77777777" w:rsidR="00DB44B8" w:rsidRDefault="00DB44B8" w:rsidP="00DB44B8">
      <w:pPr>
        <w:rPr>
          <w:bCs/>
          <w:lang w:val="en-US"/>
        </w:rPr>
      </w:pPr>
    </w:p>
    <w:p w14:paraId="7DD864FD" w14:textId="77777777" w:rsidR="00DB44B8" w:rsidRPr="00025D1A" w:rsidRDefault="00DB44B8" w:rsidP="00DB44B8">
      <w:pPr>
        <w:rPr>
          <w:bCs/>
          <w:lang w:val="en-US"/>
        </w:rPr>
      </w:pPr>
      <w:r>
        <w:rPr>
          <w:bCs/>
          <w:lang w:val="en-US"/>
        </w:rPr>
        <w:t xml:space="preserve">The following sections present the main steps of the forecasting process.  </w:t>
      </w:r>
    </w:p>
    <w:p w14:paraId="71A7362B" w14:textId="77777777" w:rsidR="00DB44B8" w:rsidRPr="00025D1A" w:rsidRDefault="00DB44B8" w:rsidP="00DB44B8">
      <w:pPr>
        <w:rPr>
          <w:lang w:val="en-US"/>
        </w:rPr>
      </w:pPr>
    </w:p>
    <w:p w14:paraId="36D5FDFE" w14:textId="77777777" w:rsidR="00DB44B8" w:rsidRPr="00BF4995" w:rsidRDefault="00DB44B8" w:rsidP="00F6090D">
      <w:pPr>
        <w:pStyle w:val="Heading2"/>
        <w:numPr>
          <w:ilvl w:val="1"/>
          <w:numId w:val="1"/>
        </w:numPr>
      </w:pPr>
      <w:bookmarkStart w:id="10" w:name="_Toc72402738"/>
      <w:r w:rsidRPr="00025D1A">
        <w:t>Forecasting</w:t>
      </w:r>
      <w:r>
        <w:t xml:space="preserve"> Process Initiation</w:t>
      </w:r>
      <w:bookmarkEnd w:id="10"/>
      <w:r>
        <w:t xml:space="preserve"> </w:t>
      </w:r>
    </w:p>
    <w:p w14:paraId="4A7DC22E" w14:textId="77777777" w:rsidR="00DB44B8" w:rsidRDefault="00DB44B8" w:rsidP="00DB44B8"/>
    <w:p w14:paraId="558F2E6F" w14:textId="77777777" w:rsidR="00DB44B8" w:rsidRDefault="00DB44B8" w:rsidP="00DB44B8">
      <w:r>
        <w:t xml:space="preserve">The </w:t>
      </w:r>
      <w:r w:rsidRPr="00137AFD">
        <w:t>C</w:t>
      </w:r>
      <w:r>
        <w:t xml:space="preserve">orporate </w:t>
      </w:r>
      <w:r w:rsidR="00922FCD" w:rsidRPr="00137AFD">
        <w:t>R</w:t>
      </w:r>
      <w:r w:rsidR="00922FCD">
        <w:t>esources</w:t>
      </w:r>
      <w:r>
        <w:t xml:space="preserve"> </w:t>
      </w:r>
      <w:r w:rsidRPr="00137AFD">
        <w:t>M</w:t>
      </w:r>
      <w:r>
        <w:t>anagement (CRM) team</w:t>
      </w:r>
      <w:r w:rsidRPr="00137AFD">
        <w:t xml:space="preserve"> prepare</w:t>
      </w:r>
      <w:r>
        <w:t>s</w:t>
      </w:r>
      <w:r w:rsidRPr="00137AFD">
        <w:t xml:space="preserve"> the forecasting </w:t>
      </w:r>
      <w:r>
        <w:t xml:space="preserve">process </w:t>
      </w:r>
      <w:r w:rsidRPr="00137AFD">
        <w:t xml:space="preserve">as per the </w:t>
      </w:r>
      <w:r>
        <w:t>following steps:</w:t>
      </w:r>
    </w:p>
    <w:p w14:paraId="70F53C5A" w14:textId="77777777" w:rsidR="00DB44B8" w:rsidRDefault="00DB44B8" w:rsidP="00DB44B8"/>
    <w:p w14:paraId="0B193558" w14:textId="5BE13966" w:rsidR="00DB44B8" w:rsidRPr="00FF7FDF" w:rsidRDefault="00DB44B8" w:rsidP="00F6090D">
      <w:pPr>
        <w:pStyle w:val="ListParagraph"/>
        <w:numPr>
          <w:ilvl w:val="0"/>
          <w:numId w:val="3"/>
        </w:numPr>
      </w:pPr>
      <w:r w:rsidRPr="00FF7FDF">
        <w:t>The Chief Financial Officer (CFO) send</w:t>
      </w:r>
      <w:r>
        <w:t>s</w:t>
      </w:r>
      <w:r w:rsidRPr="00FF7FDF">
        <w:t xml:space="preserve"> </w:t>
      </w:r>
      <w:r>
        <w:t>a</w:t>
      </w:r>
      <w:r w:rsidRPr="00FF7FDF">
        <w:t xml:space="preserve"> call letter to </w:t>
      </w:r>
      <w:r>
        <w:t>ADMs</w:t>
      </w:r>
      <w:r w:rsidRPr="00FF7FDF">
        <w:t xml:space="preserve"> at the beginning of the fiscal year to launch the departmental forecasting process. </w:t>
      </w:r>
    </w:p>
    <w:p w14:paraId="61203321" w14:textId="77777777" w:rsidR="00DB44B8" w:rsidRPr="00FF7FDF" w:rsidRDefault="00DB44B8" w:rsidP="00DB44B8">
      <w:pPr>
        <w:pStyle w:val="ListParagraph"/>
      </w:pPr>
    </w:p>
    <w:p w14:paraId="2B5661BD" w14:textId="77543F04" w:rsidR="00DB44B8" w:rsidRPr="00FF7FDF" w:rsidRDefault="00DD2095" w:rsidP="00F6090D">
      <w:pPr>
        <w:pStyle w:val="ListParagraph"/>
        <w:numPr>
          <w:ilvl w:val="0"/>
          <w:numId w:val="3"/>
        </w:numPr>
      </w:pPr>
      <w:r>
        <w:t xml:space="preserve">CRM records the </w:t>
      </w:r>
      <w:r w:rsidR="00DB44B8">
        <w:t>A</w:t>
      </w:r>
      <w:r w:rsidR="00DB44B8" w:rsidRPr="00BB00C9">
        <w:t xml:space="preserve">pproved </w:t>
      </w:r>
      <w:r w:rsidR="007A3A2E">
        <w:t>potential funding for planning purposes</w:t>
      </w:r>
      <w:r w:rsidR="00DB44B8" w:rsidRPr="00BB00C9">
        <w:t xml:space="preserve"> budgets in myEMS</w:t>
      </w:r>
      <w:r w:rsidR="00E92BB6">
        <w:t xml:space="preserve"> </w:t>
      </w:r>
      <w:r w:rsidR="00DB44B8">
        <w:t xml:space="preserve">(SAP) </w:t>
      </w:r>
      <w:r w:rsidR="00DB44B8" w:rsidRPr="00BB00C9">
        <w:t xml:space="preserve">Funds Management (FM) module </w:t>
      </w:r>
      <w:r w:rsidR="00DB44B8">
        <w:t>in the appropriate budget version</w:t>
      </w:r>
      <w:r w:rsidR="005E00DD">
        <w:t>. Financial Management Advisors (FMAs) then distribute the budget to lower levels</w:t>
      </w:r>
      <w:r w:rsidR="00DB44B8">
        <w:t xml:space="preserve"> before the beginning of each forecasting period</w:t>
      </w:r>
      <w:r w:rsidR="00DB44B8" w:rsidRPr="00FF7FDF">
        <w:t>.</w:t>
      </w:r>
    </w:p>
    <w:p w14:paraId="2BF066F4" w14:textId="77777777" w:rsidR="00DB44B8" w:rsidRPr="00BB00C9" w:rsidRDefault="00DB44B8" w:rsidP="00DB44B8"/>
    <w:p w14:paraId="40AA6992" w14:textId="02257AA3" w:rsidR="00DB44B8" w:rsidRPr="00BB00C9" w:rsidRDefault="00DD2095" w:rsidP="00F6090D">
      <w:pPr>
        <w:pStyle w:val="ListParagraph"/>
        <w:numPr>
          <w:ilvl w:val="0"/>
          <w:numId w:val="3"/>
        </w:numPr>
      </w:pPr>
      <w:r>
        <w:lastRenderedPageBreak/>
        <w:t>C</w:t>
      </w:r>
      <w:r w:rsidR="00DB44B8" w:rsidRPr="00BB00C9">
        <w:t xml:space="preserve">urrent year budget and </w:t>
      </w:r>
      <w:r>
        <w:t>A</w:t>
      </w:r>
      <w:r w:rsidR="00DB44B8" w:rsidRPr="00BB00C9">
        <w:t xml:space="preserve">pproved </w:t>
      </w:r>
      <w:r w:rsidR="007A3A2E">
        <w:t>potential funding for planning purposes</w:t>
      </w:r>
      <w:r w:rsidR="00DB44B8" w:rsidRPr="00BB00C9">
        <w:t xml:space="preserve"> </w:t>
      </w:r>
      <w:r>
        <w:t>are</w:t>
      </w:r>
      <w:r w:rsidR="00DB44B8" w:rsidRPr="00BB00C9">
        <w:t xml:space="preserve"> copied at month-end in a separate budget version </w:t>
      </w:r>
      <w:r>
        <w:t xml:space="preserve">in myEMS (SAP) </w:t>
      </w:r>
      <w:r w:rsidR="00DB44B8" w:rsidRPr="00BB00C9">
        <w:t>for forecasting purposes</w:t>
      </w:r>
      <w:r w:rsidR="00DB44B8">
        <w:t xml:space="preserve"> (i.e. B02, B05, B07, </w:t>
      </w:r>
      <w:r w:rsidR="00DB44B8" w:rsidRPr="00BB00C9">
        <w:t xml:space="preserve">and </w:t>
      </w:r>
      <w:r w:rsidR="00DB44B8">
        <w:t>B09)</w:t>
      </w:r>
      <w:r w:rsidR="00DB44B8" w:rsidRPr="00BB00C9">
        <w:t xml:space="preserve">. </w:t>
      </w:r>
    </w:p>
    <w:p w14:paraId="64A0D217" w14:textId="77777777" w:rsidR="00DB44B8" w:rsidRDefault="00DB44B8" w:rsidP="00DB44B8">
      <w:pPr>
        <w:pStyle w:val="ListParagraph"/>
      </w:pPr>
    </w:p>
    <w:p w14:paraId="08A8A436" w14:textId="4EC92E80" w:rsidR="00DB44B8" w:rsidRDefault="00DB44B8" w:rsidP="00F6090D">
      <w:pPr>
        <w:pStyle w:val="ListParagraph"/>
        <w:numPr>
          <w:ilvl w:val="0"/>
          <w:numId w:val="3"/>
        </w:numPr>
      </w:pPr>
      <w:r>
        <w:t>Specific instructions, if required, are sent to FMAs as per timelines identified in Annex A.</w:t>
      </w:r>
    </w:p>
    <w:p w14:paraId="096B41B6" w14:textId="77777777" w:rsidR="003554F9" w:rsidRDefault="003554F9" w:rsidP="003554F9">
      <w:pPr>
        <w:pStyle w:val="ListParagraph"/>
      </w:pPr>
    </w:p>
    <w:p w14:paraId="2FD2BDB0" w14:textId="77777777" w:rsidR="00DB44B8" w:rsidRPr="00BF4995" w:rsidRDefault="00DB44B8" w:rsidP="00F6090D">
      <w:pPr>
        <w:pStyle w:val="Heading2"/>
        <w:numPr>
          <w:ilvl w:val="1"/>
          <w:numId w:val="1"/>
        </w:numPr>
      </w:pPr>
      <w:bookmarkStart w:id="11" w:name="_Toc72402739"/>
      <w:r>
        <w:t>Forecast Preparation and Consolidation</w:t>
      </w:r>
      <w:bookmarkEnd w:id="11"/>
    </w:p>
    <w:p w14:paraId="42C3D07F" w14:textId="77777777" w:rsidR="00DB44B8" w:rsidRPr="00BF4995" w:rsidRDefault="00DB44B8" w:rsidP="00DB44B8"/>
    <w:p w14:paraId="6D225D85" w14:textId="53293883" w:rsidR="00DB44B8" w:rsidRDefault="00DB44B8" w:rsidP="00DB44B8">
      <w:r>
        <w:t>Branch/Regional Management Services (</w:t>
      </w:r>
      <w:r w:rsidRPr="00904FC5">
        <w:t>BMS</w:t>
      </w:r>
      <w:r>
        <w:t>/RMS)</w:t>
      </w:r>
      <w:r>
        <w:rPr>
          <w:rStyle w:val="FootnoteReference"/>
          <w:rFonts w:eastAsiaTheme="majorEastAsia"/>
        </w:rPr>
        <w:footnoteReference w:id="1"/>
      </w:r>
      <w:r>
        <w:t xml:space="preserve"> </w:t>
      </w:r>
      <w:r w:rsidRPr="00904FC5">
        <w:t>and FMA</w:t>
      </w:r>
      <w:r>
        <w:t>s,</w:t>
      </w:r>
      <w:r w:rsidRPr="00904FC5">
        <w:t xml:space="preserve"> in conjunction with Fund Center Managers (FCM)</w:t>
      </w:r>
      <w:r>
        <w:rPr>
          <w:rStyle w:val="FootnoteReference"/>
          <w:rFonts w:eastAsiaTheme="majorEastAsia"/>
        </w:rPr>
        <w:footnoteReference w:id="2"/>
      </w:r>
      <w:r>
        <w:t xml:space="preserve">, </w:t>
      </w:r>
      <w:r w:rsidRPr="00904FC5">
        <w:t xml:space="preserve">develop </w:t>
      </w:r>
      <w:r>
        <w:t xml:space="preserve">and consolidate </w:t>
      </w:r>
      <w:r w:rsidRPr="00904FC5">
        <w:t>forecast</w:t>
      </w:r>
      <w:r>
        <w:t>s</w:t>
      </w:r>
      <w:r w:rsidRPr="00904FC5">
        <w:t xml:space="preserve"> as per the following steps</w:t>
      </w:r>
      <w:r>
        <w:t>.  Note that these steps are re</w:t>
      </w:r>
      <w:r w:rsidR="0092432D">
        <w:t>-</w:t>
      </w:r>
      <w:r>
        <w:t>created at each level, ending at the branch/region level.</w:t>
      </w:r>
    </w:p>
    <w:p w14:paraId="5A6A98CC" w14:textId="77777777" w:rsidR="00DB44B8" w:rsidRDefault="00DB44B8" w:rsidP="00DB44B8"/>
    <w:p w14:paraId="4674B016" w14:textId="77777777" w:rsidR="00DB44B8" w:rsidRPr="00BF4995" w:rsidRDefault="00DB44B8" w:rsidP="00F6090D">
      <w:pPr>
        <w:pStyle w:val="ListParagraph"/>
        <w:numPr>
          <w:ilvl w:val="0"/>
          <w:numId w:val="4"/>
        </w:numPr>
      </w:pPr>
      <w:r w:rsidRPr="00BF4995">
        <w:t>FMA</w:t>
      </w:r>
      <w:r>
        <w:t>s</w:t>
      </w:r>
      <w:r w:rsidRPr="00BF4995">
        <w:t xml:space="preserve"> pr</w:t>
      </w:r>
      <w:r>
        <w:t>epare and send a call letter</w:t>
      </w:r>
      <w:r w:rsidRPr="00BF4995">
        <w:t xml:space="preserve"> to </w:t>
      </w:r>
      <w:r>
        <w:t>FCMs and/or BMS/RMS with</w:t>
      </w:r>
      <w:r w:rsidRPr="00BF4995">
        <w:t xml:space="preserve"> instructions and timelines.</w:t>
      </w:r>
    </w:p>
    <w:p w14:paraId="05941E01" w14:textId="77777777" w:rsidR="00DB44B8" w:rsidRDefault="00DB44B8" w:rsidP="00DB44B8">
      <w:pPr>
        <w:pStyle w:val="ListParagraph"/>
      </w:pPr>
    </w:p>
    <w:p w14:paraId="1E4FAFF5" w14:textId="1F70AD8D" w:rsidR="00DB44B8" w:rsidRDefault="00DB44B8" w:rsidP="00F6090D">
      <w:pPr>
        <w:pStyle w:val="ListParagraph"/>
        <w:numPr>
          <w:ilvl w:val="0"/>
          <w:numId w:val="4"/>
        </w:numPr>
      </w:pPr>
      <w:r w:rsidRPr="00BF4995">
        <w:t>BMS</w:t>
      </w:r>
      <w:r>
        <w:t>/RMS, in conjunction with FCMs,</w:t>
      </w:r>
      <w:r w:rsidRPr="00BF4995">
        <w:t xml:space="preserve"> maintain and update </w:t>
      </w:r>
      <w:r>
        <w:t>the personnel forecast in SFT</w:t>
      </w:r>
      <w:r w:rsidRPr="00BF4995">
        <w:t>, by PRI</w:t>
      </w:r>
      <w:r>
        <w:t xml:space="preserve"> (employee forecast)</w:t>
      </w:r>
      <w:r w:rsidRPr="00BF4995">
        <w:t xml:space="preserve">, position </w:t>
      </w:r>
      <w:r>
        <w:t xml:space="preserve">forecast </w:t>
      </w:r>
      <w:r w:rsidRPr="00BF4995">
        <w:t xml:space="preserve">(planned staffing) and global forecast. </w:t>
      </w:r>
      <w:r w:rsidRPr="00944EEF">
        <w:rPr>
          <w:b/>
          <w:u w:val="single"/>
        </w:rPr>
        <w:t xml:space="preserve">This </w:t>
      </w:r>
      <w:r w:rsidR="0092432D">
        <w:rPr>
          <w:b/>
          <w:u w:val="single"/>
        </w:rPr>
        <w:t>must</w:t>
      </w:r>
      <w:r w:rsidR="0092432D" w:rsidRPr="00944EEF">
        <w:rPr>
          <w:b/>
          <w:u w:val="single"/>
        </w:rPr>
        <w:t xml:space="preserve"> </w:t>
      </w:r>
      <w:r w:rsidRPr="00944EEF">
        <w:rPr>
          <w:b/>
          <w:u w:val="single"/>
        </w:rPr>
        <w:t>be done on a regular basis</w:t>
      </w:r>
      <w:r>
        <w:t xml:space="preserve">, </w:t>
      </w:r>
      <w:r w:rsidRPr="00BF4995">
        <w:t>as soon as the information is available</w:t>
      </w:r>
      <w:r>
        <w:t>,</w:t>
      </w:r>
      <w:r w:rsidRPr="00BF4995">
        <w:t xml:space="preserve"> and not </w:t>
      </w:r>
      <w:r w:rsidR="0092432D">
        <w:t>only during</w:t>
      </w:r>
      <w:r w:rsidRPr="00BF4995">
        <w:t xml:space="preserve"> forecasting periods</w:t>
      </w:r>
      <w:r>
        <w:t xml:space="preserve"> as this information is used for various departmental analysis such as salary ana</w:t>
      </w:r>
      <w:r w:rsidR="00D00BAA">
        <w:t>lysis, pay issues reporting, etc</w:t>
      </w:r>
      <w:r>
        <w:t>.</w:t>
      </w:r>
    </w:p>
    <w:p w14:paraId="721E0831" w14:textId="77777777" w:rsidR="00DB44B8" w:rsidRDefault="00DB44B8" w:rsidP="00DB44B8">
      <w:pPr>
        <w:pStyle w:val="ListParagraph"/>
      </w:pPr>
    </w:p>
    <w:p w14:paraId="052D36DE" w14:textId="3E0C1926" w:rsidR="00DB44B8" w:rsidRPr="00454CA7" w:rsidRDefault="00DB44B8" w:rsidP="00F6090D">
      <w:pPr>
        <w:pStyle w:val="ListParagraph"/>
        <w:numPr>
          <w:ilvl w:val="0"/>
          <w:numId w:val="4"/>
        </w:numPr>
      </w:pPr>
      <w:r w:rsidRPr="00375847">
        <w:t>FCMs, with the support of BMS/RMS and/or FMAs, analyze financial data (i.e. budget</w:t>
      </w:r>
      <w:r w:rsidR="00F004E5">
        <w:t>s</w:t>
      </w:r>
      <w:r w:rsidRPr="00375847">
        <w:t xml:space="preserve">, expenditures and commitments) using </w:t>
      </w:r>
      <w:r>
        <w:t>myEMS</w:t>
      </w:r>
      <w:r w:rsidR="0092432D">
        <w:t xml:space="preserve"> </w:t>
      </w:r>
      <w:r>
        <w:t>(SAP)</w:t>
      </w:r>
      <w:r w:rsidRPr="00375847">
        <w:t xml:space="preserve"> detailed financial management reports (e.g. BI Commitments and Expenditures </w:t>
      </w:r>
      <w:r>
        <w:t xml:space="preserve">and Aging </w:t>
      </w:r>
      <w:r w:rsidRPr="00375847">
        <w:t>report</w:t>
      </w:r>
      <w:r>
        <w:t>s</w:t>
      </w:r>
      <w:r w:rsidRPr="00375847">
        <w:t xml:space="preserve">, SFT reports, and BI </w:t>
      </w:r>
      <w:r w:rsidRPr="00025D1A">
        <w:t xml:space="preserve">Surplus/Deficit reports), to develop their forecasts accordingly. A </w:t>
      </w:r>
      <w:hyperlink r:id="rId11" w:history="1">
        <w:r w:rsidR="0092432D" w:rsidRPr="0092432D">
          <w:rPr>
            <w:rStyle w:val="Hyperlink"/>
          </w:rPr>
          <w:t>Departmental Forecasting Roadmap</w:t>
        </w:r>
      </w:hyperlink>
      <w:r w:rsidRPr="00454CA7">
        <w:t xml:space="preserve"> </w:t>
      </w:r>
      <w:r w:rsidR="0092432D">
        <w:t xml:space="preserve">is available </w:t>
      </w:r>
      <w:r w:rsidR="009F6A65">
        <w:t xml:space="preserve">on iService </w:t>
      </w:r>
      <w:r w:rsidR="0092432D">
        <w:t xml:space="preserve">and </w:t>
      </w:r>
      <w:r w:rsidRPr="00454CA7">
        <w:t>provide</w:t>
      </w:r>
      <w:r w:rsidR="0092432D">
        <w:t>s</w:t>
      </w:r>
      <w:r w:rsidRPr="00454CA7">
        <w:t xml:space="preserve"> a detailed overview of the forecasting process for managers. It describes the </w:t>
      </w:r>
      <w:r w:rsidR="0092432D">
        <w:t>recommended</w:t>
      </w:r>
      <w:r w:rsidR="0092432D" w:rsidRPr="00454CA7">
        <w:t xml:space="preserve"> </w:t>
      </w:r>
      <w:r w:rsidRPr="00454CA7">
        <w:t xml:space="preserve">step-by-step </w:t>
      </w:r>
      <w:r w:rsidR="0092432D">
        <w:t xml:space="preserve">forecasting </w:t>
      </w:r>
      <w:r w:rsidRPr="00454CA7">
        <w:t xml:space="preserve">process to follow and provides links to useful resources. </w:t>
      </w:r>
    </w:p>
    <w:p w14:paraId="329E87E4" w14:textId="77777777" w:rsidR="00DB44B8" w:rsidRPr="00454CA7" w:rsidRDefault="00DB44B8" w:rsidP="00DB44B8">
      <w:pPr>
        <w:pStyle w:val="ListParagraph"/>
      </w:pPr>
    </w:p>
    <w:p w14:paraId="06CFF3DF" w14:textId="25773E64" w:rsidR="00DB44B8" w:rsidRPr="00FF7FDF" w:rsidRDefault="00DB44B8" w:rsidP="00F6090D">
      <w:pPr>
        <w:pStyle w:val="ListParagraph"/>
        <w:numPr>
          <w:ilvl w:val="0"/>
          <w:numId w:val="4"/>
        </w:numPr>
      </w:pPr>
      <w:r w:rsidRPr="00454CA7">
        <w:t>BMS/RMS update and adjust commitments (purchase orders, purchase requisition</w:t>
      </w:r>
      <w:r w:rsidR="00F004E5">
        <w:t>s</w:t>
      </w:r>
      <w:r w:rsidRPr="00454CA7">
        <w:t xml:space="preserve"> and funds commitments), expenditures (invoices, journal vouchers (JVs) and interdepartmental settlements (IS)), as required. </w:t>
      </w:r>
      <w:r w:rsidRPr="00944EEF">
        <w:rPr>
          <w:b/>
          <w:u w:val="single"/>
        </w:rPr>
        <w:t xml:space="preserve">This </w:t>
      </w:r>
      <w:r w:rsidR="009F6A65">
        <w:rPr>
          <w:b/>
          <w:u w:val="single"/>
        </w:rPr>
        <w:t>must</w:t>
      </w:r>
      <w:r w:rsidRPr="00944EEF">
        <w:rPr>
          <w:b/>
          <w:u w:val="single"/>
        </w:rPr>
        <w:t xml:space="preserve"> done on a regular basis</w:t>
      </w:r>
      <w:r w:rsidRPr="00454CA7">
        <w:t>, as soon as the information</w:t>
      </w:r>
      <w:r>
        <w:t xml:space="preserve"> is available, and not </w:t>
      </w:r>
      <w:r w:rsidR="009F6A65">
        <w:t>only during</w:t>
      </w:r>
      <w:r w:rsidRPr="00FF7FDF">
        <w:t xml:space="preserve"> the forecasting periods.</w:t>
      </w:r>
    </w:p>
    <w:p w14:paraId="72CB74C5" w14:textId="77777777" w:rsidR="00DB44B8" w:rsidRDefault="00DB44B8" w:rsidP="00DB44B8">
      <w:pPr>
        <w:pStyle w:val="ListParagraph"/>
      </w:pPr>
    </w:p>
    <w:p w14:paraId="2AD3E6DD" w14:textId="4AAD370D" w:rsidR="00DB44B8" w:rsidRDefault="00DB44B8" w:rsidP="00F6090D">
      <w:pPr>
        <w:pStyle w:val="ListParagraph"/>
        <w:numPr>
          <w:ilvl w:val="0"/>
          <w:numId w:val="4"/>
        </w:numPr>
      </w:pPr>
      <w:r>
        <w:t>FCMs, with the support of BMS/RMS and/or FMAs</w:t>
      </w:r>
      <w:r w:rsidRPr="00BB00C9">
        <w:t>, enter the</w:t>
      </w:r>
      <w:r>
        <w:t>ir</w:t>
      </w:r>
      <w:r w:rsidRPr="00BB00C9">
        <w:t xml:space="preserve"> non-personnel forecast</w:t>
      </w:r>
      <w:r>
        <w:t>s</w:t>
      </w:r>
      <w:r w:rsidR="00F004E5" w:rsidRPr="00F004E5">
        <w:t xml:space="preserve"> </w:t>
      </w:r>
      <w:r w:rsidR="00F004E5" w:rsidRPr="00375847">
        <w:t xml:space="preserve">in </w:t>
      </w:r>
      <w:r w:rsidR="00F004E5" w:rsidRPr="00C46FA2">
        <w:t>the non-salary forecasting tool</w:t>
      </w:r>
      <w:r w:rsidRPr="00BB00C9">
        <w:t xml:space="preserve"> </w:t>
      </w:r>
      <w:r w:rsidR="00F004E5">
        <w:t xml:space="preserve">for regular </w:t>
      </w:r>
      <w:r w:rsidRPr="00BB00C9">
        <w:t>O&amp;M</w:t>
      </w:r>
      <w:r w:rsidR="00F004E5">
        <w:t xml:space="preserve"> as well as O&amp;M </w:t>
      </w:r>
      <w:r w:rsidR="00F004E5">
        <w:lastRenderedPageBreak/>
        <w:t xml:space="preserve">related to: </w:t>
      </w:r>
      <w:r w:rsidR="00922FCD">
        <w:t>Partnership</w:t>
      </w:r>
      <w:r>
        <w:t xml:space="preserve"> Agreements (under DESDA), </w:t>
      </w:r>
      <w:r w:rsidR="00F004E5">
        <w:t>Statutory Funding for Measures in Response</w:t>
      </w:r>
      <w:r w:rsidR="00705B61">
        <w:t xml:space="preserve"> to COVID-19</w:t>
      </w:r>
      <w:r w:rsidR="00306F3D">
        <w:t>,</w:t>
      </w:r>
      <w:r w:rsidR="00705B61">
        <w:t xml:space="preserve"> </w:t>
      </w:r>
      <w:r>
        <w:t>Gs</w:t>
      </w:r>
      <w:r w:rsidRPr="00375847">
        <w:t>&amp;Cs</w:t>
      </w:r>
      <w:r w:rsidR="00F004E5">
        <w:t xml:space="preserve"> and </w:t>
      </w:r>
      <w:r w:rsidR="009F6A65">
        <w:t>V</w:t>
      </w:r>
      <w:r w:rsidR="00F004E5" w:rsidRPr="00C46FA2">
        <w:t>ote-netted authorities</w:t>
      </w:r>
      <w:r w:rsidR="00F004E5">
        <w:t xml:space="preserve"> (VNR</w:t>
      </w:r>
      <w:r w:rsidRPr="00375847">
        <w:t>)</w:t>
      </w:r>
      <w:r w:rsidRPr="00C46FA2">
        <w:t xml:space="preserve">.  </w:t>
      </w:r>
      <w:r w:rsidR="00F004E5">
        <w:t xml:space="preserve">Note that this only applies for </w:t>
      </w:r>
      <w:r w:rsidR="00F004E5" w:rsidRPr="006F5E1A">
        <w:t xml:space="preserve">Government Employee Compensation Act </w:t>
      </w:r>
      <w:r w:rsidR="00F004E5">
        <w:t xml:space="preserve">(GECA) </w:t>
      </w:r>
      <w:r w:rsidR="00F004E5" w:rsidRPr="006F5E1A">
        <w:t>under Labour</w:t>
      </w:r>
      <w:r w:rsidR="00F004E5">
        <w:t xml:space="preserve"> branch</w:t>
      </w:r>
      <w:r w:rsidR="00FB51DD">
        <w:t>.</w:t>
      </w:r>
      <w:r w:rsidR="00F004E5">
        <w:t xml:space="preserve"> </w:t>
      </w:r>
    </w:p>
    <w:p w14:paraId="11E00E53" w14:textId="606C811A" w:rsidR="00FB51DD" w:rsidRDefault="00FB51DD" w:rsidP="00FB51DD"/>
    <w:p w14:paraId="5DC8005B" w14:textId="77777777" w:rsidR="0060233B" w:rsidRDefault="00DB44B8" w:rsidP="00F6090D">
      <w:pPr>
        <w:pStyle w:val="ListParagraph"/>
        <w:numPr>
          <w:ilvl w:val="0"/>
          <w:numId w:val="4"/>
        </w:numPr>
      </w:pPr>
      <w:r w:rsidRPr="00BB00C9">
        <w:t xml:space="preserve">Personnel </w:t>
      </w:r>
      <w:r w:rsidRPr="00C46FA2">
        <w:t xml:space="preserve">and non-personnel forecast data </w:t>
      </w:r>
      <w:r>
        <w:t>is</w:t>
      </w:r>
      <w:r w:rsidRPr="00C46FA2">
        <w:t xml:space="preserve"> retracted from SFT and the non-salary forecasting tool, to the FM module of </w:t>
      </w:r>
      <w:r>
        <w:t>myEMS</w:t>
      </w:r>
      <w:r w:rsidR="00E92BB6">
        <w:t xml:space="preserve"> </w:t>
      </w:r>
      <w:r>
        <w:t>(SAP)</w:t>
      </w:r>
      <w:r w:rsidRPr="00C46FA2">
        <w:t>, as per the timelines identified in Annex A (approximately one</w:t>
      </w:r>
      <w:r w:rsidRPr="00AF3FE5">
        <w:t xml:space="preserve"> week before the end of the forecasting period), freezing</w:t>
      </w:r>
      <w:r w:rsidRPr="00BB00C9">
        <w:t xml:space="preserve"> the forecast information in a separate budget version. This facilitate</w:t>
      </w:r>
      <w:r>
        <w:t>s</w:t>
      </w:r>
      <w:r w:rsidRPr="00BB00C9">
        <w:t xml:space="preserve"> the consolidation of the forecasts at the branch/regional level.</w:t>
      </w:r>
    </w:p>
    <w:p w14:paraId="6F7F74DD" w14:textId="77777777" w:rsidR="0060233B" w:rsidRDefault="0060233B" w:rsidP="0060233B">
      <w:pPr>
        <w:pStyle w:val="ListParagraph"/>
      </w:pPr>
    </w:p>
    <w:p w14:paraId="5A524C35" w14:textId="118FAB48" w:rsidR="00DB44B8" w:rsidRDefault="00DB44B8" w:rsidP="00F6090D">
      <w:pPr>
        <w:pStyle w:val="ListParagraph"/>
        <w:numPr>
          <w:ilvl w:val="0"/>
          <w:numId w:val="4"/>
        </w:numPr>
      </w:pPr>
      <w:r w:rsidRPr="00BB00C9">
        <w:t xml:space="preserve">If </w:t>
      </w:r>
      <w:r w:rsidR="00595258">
        <w:t xml:space="preserve">global </w:t>
      </w:r>
      <w:r w:rsidRPr="00BB00C9">
        <w:t xml:space="preserve">adjustments </w:t>
      </w:r>
      <w:r w:rsidRPr="000C5C12">
        <w:t>to the forecast</w:t>
      </w:r>
      <w:r>
        <w:t>s</w:t>
      </w:r>
      <w:r w:rsidRPr="000C5C12">
        <w:t xml:space="preserve"> are required</w:t>
      </w:r>
      <w:r w:rsidR="00595258" w:rsidRPr="0060233B">
        <w:rPr>
          <w:bCs/>
        </w:rPr>
        <w:t>, the FMA will enter these directly in the financial system using FMBB adjustment process.</w:t>
      </w:r>
      <w:r w:rsidRPr="000C5C12">
        <w:t xml:space="preserve"> </w:t>
      </w:r>
      <w:r w:rsidR="00AD16FA" w:rsidRPr="00AD16FA">
        <w:t>More details on adjustments, including the recommended list of FMBB adjustment</w:t>
      </w:r>
      <w:r w:rsidR="00B2146E">
        <w:t xml:space="preserve"> types</w:t>
      </w:r>
      <w:r w:rsidR="00AD16FA" w:rsidRPr="00AD16FA">
        <w:t xml:space="preserve"> with their respective definition</w:t>
      </w:r>
      <w:r w:rsidR="00AD16FA">
        <w:t>s</w:t>
      </w:r>
      <w:r w:rsidR="00AD16FA" w:rsidRPr="00AD16FA">
        <w:t>, can be found in section 3.8 of this document.</w:t>
      </w:r>
    </w:p>
    <w:p w14:paraId="4FAA991C" w14:textId="6494D2F1" w:rsidR="0060233B" w:rsidRDefault="0060233B" w:rsidP="0060233B"/>
    <w:p w14:paraId="224273FC" w14:textId="4621309A" w:rsidR="00DB44B8" w:rsidRPr="00B0241D" w:rsidRDefault="00DB44B8" w:rsidP="00F6090D">
      <w:pPr>
        <w:pStyle w:val="ListParagraph"/>
        <w:numPr>
          <w:ilvl w:val="0"/>
          <w:numId w:val="4"/>
        </w:numPr>
      </w:pPr>
      <w:r w:rsidRPr="00B0241D">
        <w:t>FMAs and/or BMS/RMS, in conjunction with FCMs, consolidate, analyze and review personnel and non-personnel forecasts compared to budget</w:t>
      </w:r>
      <w:r>
        <w:t>s</w:t>
      </w:r>
      <w:r w:rsidRPr="00B0241D">
        <w:t xml:space="preserve">, and </w:t>
      </w:r>
      <w:r>
        <w:t xml:space="preserve">help in </w:t>
      </w:r>
      <w:r w:rsidRPr="00B0241D">
        <w:t>identify</w:t>
      </w:r>
      <w:r>
        <w:t>ing</w:t>
      </w:r>
      <w:r w:rsidRPr="00B0241D">
        <w:t xml:space="preserve"> required budget transfers, pressures and surplus.</w:t>
      </w:r>
    </w:p>
    <w:p w14:paraId="6A683F25" w14:textId="77777777" w:rsidR="00DB44B8" w:rsidRPr="00F45D21" w:rsidRDefault="00DB44B8" w:rsidP="00DB44B8">
      <w:pPr>
        <w:pStyle w:val="ListParagraph"/>
      </w:pPr>
    </w:p>
    <w:p w14:paraId="3C4B5BEA" w14:textId="02525CF7" w:rsidR="00DB44B8" w:rsidRPr="00454CA7" w:rsidRDefault="00457F4C" w:rsidP="00F6090D">
      <w:pPr>
        <w:pStyle w:val="ListParagraph"/>
        <w:numPr>
          <w:ilvl w:val="0"/>
          <w:numId w:val="4"/>
        </w:numPr>
        <w:rPr>
          <w:bCs/>
        </w:rPr>
      </w:pPr>
      <w:r>
        <w:t>B</w:t>
      </w:r>
      <w:r w:rsidR="00DB44B8" w:rsidRPr="00454CA7">
        <w:t>u</w:t>
      </w:r>
      <w:r w:rsidR="00DB44B8">
        <w:t>dget transfers require approval</w:t>
      </w:r>
      <w:r w:rsidR="00DB44B8" w:rsidRPr="00454CA7">
        <w:t xml:space="preserve"> by both</w:t>
      </w:r>
      <w:r w:rsidR="00DB44B8">
        <w:t xml:space="preserve">, the </w:t>
      </w:r>
      <w:r w:rsidR="00DB44B8" w:rsidRPr="00454CA7">
        <w:t>sender and receiver</w:t>
      </w:r>
      <w:r w:rsidR="008A2029">
        <w:t xml:space="preserve"> ADMs</w:t>
      </w:r>
      <w:r w:rsidR="00DB44B8">
        <w:t>.</w:t>
      </w:r>
      <w:r w:rsidR="00DB44B8" w:rsidRPr="00454CA7">
        <w:t xml:space="preserve"> </w:t>
      </w:r>
      <w:r w:rsidR="00DB44B8">
        <w:t>T</w:t>
      </w:r>
      <w:r w:rsidR="00DB44B8" w:rsidRPr="00454CA7">
        <w:t xml:space="preserve">he same amount must be reported in the sender’s and receiver’s forecasts (in the explanation of variances), and the forecast approval will serve as the </w:t>
      </w:r>
      <w:r w:rsidR="00DB44B8">
        <w:t>ADM</w:t>
      </w:r>
      <w:r w:rsidR="00DB44B8" w:rsidRPr="00454CA7">
        <w:t xml:space="preserve"> approval to process budget transfers. </w:t>
      </w:r>
      <w:r w:rsidR="00DB44B8" w:rsidRPr="00454CA7">
        <w:rPr>
          <w:bCs/>
        </w:rPr>
        <w:t xml:space="preserve">In cases where </w:t>
      </w:r>
      <w:r w:rsidR="005E00DD" w:rsidRPr="00454CA7">
        <w:rPr>
          <w:bCs/>
        </w:rPr>
        <w:t>both parties do not yet agree upon the transfer</w:t>
      </w:r>
      <w:r w:rsidR="00DB44B8" w:rsidRPr="00454CA7">
        <w:rPr>
          <w:bCs/>
        </w:rPr>
        <w:t xml:space="preserve">, the branch/region must forecast full utilization of resources (i.e. no </w:t>
      </w:r>
      <w:r w:rsidR="00DB44B8">
        <w:rPr>
          <w:bCs/>
        </w:rPr>
        <w:t>I</w:t>
      </w:r>
      <w:r w:rsidR="00DB44B8" w:rsidRPr="00454CA7">
        <w:rPr>
          <w:bCs/>
        </w:rPr>
        <w:t xml:space="preserve">nternal </w:t>
      </w:r>
      <w:r w:rsidR="00DB44B8">
        <w:rPr>
          <w:bCs/>
        </w:rPr>
        <w:t>T</w:t>
      </w:r>
      <w:r w:rsidR="00DB44B8" w:rsidRPr="00454CA7">
        <w:rPr>
          <w:bCs/>
        </w:rPr>
        <w:t>ransfers</w:t>
      </w:r>
      <w:r w:rsidR="00DB44B8">
        <w:rPr>
          <w:bCs/>
        </w:rPr>
        <w:t>/Transfer between Branches</w:t>
      </w:r>
      <w:r w:rsidR="00DB44B8" w:rsidRPr="00454CA7">
        <w:rPr>
          <w:bCs/>
        </w:rPr>
        <w:t>) until the agreement is confirmed.</w:t>
      </w:r>
    </w:p>
    <w:p w14:paraId="3211E1F2" w14:textId="77777777" w:rsidR="00DB44B8" w:rsidRPr="00454CA7" w:rsidRDefault="00DB44B8" w:rsidP="00DB44B8">
      <w:pPr>
        <w:pStyle w:val="ListParagraph"/>
      </w:pPr>
    </w:p>
    <w:p w14:paraId="7315D4C2" w14:textId="502C9F7E" w:rsidR="00DB44B8" w:rsidRPr="00F45D21" w:rsidRDefault="00DB44B8" w:rsidP="00F6090D">
      <w:pPr>
        <w:pStyle w:val="ListParagraph"/>
        <w:numPr>
          <w:ilvl w:val="0"/>
          <w:numId w:val="4"/>
        </w:numPr>
        <w:rPr>
          <w:bCs/>
        </w:rPr>
      </w:pPr>
      <w:r w:rsidRPr="00454CA7">
        <w:rPr>
          <w:bCs/>
        </w:rPr>
        <w:t xml:space="preserve">A business case is required for </w:t>
      </w:r>
      <w:r w:rsidRPr="00C15A4C">
        <w:rPr>
          <w:b/>
          <w:bCs/>
        </w:rPr>
        <w:t>each pressure being put forward</w:t>
      </w:r>
      <w:r w:rsidRPr="00454CA7">
        <w:rPr>
          <w:bCs/>
        </w:rPr>
        <w:t xml:space="preserve"> in the explanation of variances, providing a </w:t>
      </w:r>
      <w:r w:rsidRPr="00454CA7">
        <w:t xml:space="preserve">rationale as to why the branch/region cannot absorb </w:t>
      </w:r>
      <w:r w:rsidR="00457F4C">
        <w:t xml:space="preserve">the costs </w:t>
      </w:r>
      <w:r w:rsidRPr="00454CA7">
        <w:t>internally.  The business case must be submitted to CRM,</w:t>
      </w:r>
      <w:r w:rsidRPr="00454CA7">
        <w:rPr>
          <w:rFonts w:cs="Arial"/>
          <w:bCs/>
        </w:rPr>
        <w:t xml:space="preserve"> </w:t>
      </w:r>
      <w:r w:rsidRPr="00454CA7">
        <w:t>as per the timelines outlined in Annex A</w:t>
      </w:r>
      <w:r w:rsidRPr="00454CA7">
        <w:rPr>
          <w:rFonts w:cs="Arial"/>
          <w:bCs/>
        </w:rPr>
        <w:t xml:space="preserve">, via the forecasting mailbox: </w:t>
      </w:r>
      <w:hyperlink r:id="rId12" w:history="1">
        <w:r w:rsidRPr="00454CA7">
          <w:rPr>
            <w:rStyle w:val="Hyperlink"/>
            <w:rFonts w:cs="Arial"/>
            <w:bCs/>
          </w:rPr>
          <w:t>NC-Forecasting-Mailbox-CRM_Boîtes-aux-lettres-Prévisions-GRM-GD</w:t>
        </w:r>
      </w:hyperlink>
      <w:r w:rsidRPr="00454CA7">
        <w:rPr>
          <w:rFonts w:cs="Arial"/>
          <w:bCs/>
        </w:rPr>
        <w:t xml:space="preserve">, </w:t>
      </w:r>
      <w:r w:rsidRPr="00454CA7">
        <w:t xml:space="preserve">for the DCFO and Chief Financial Officer (CFO) consideration, </w:t>
      </w:r>
      <w:r w:rsidRPr="00454CA7">
        <w:rPr>
          <w:spacing w:val="-4"/>
        </w:rPr>
        <w:t>who, in turn, communicate recommendations to the Deputy Ministers (DMs) for final approval.  Note however that the</w:t>
      </w:r>
      <w:r w:rsidRPr="00F45D21">
        <w:rPr>
          <w:spacing w:val="-4"/>
        </w:rPr>
        <w:t xml:space="preserve"> funding of approved pressures is dependent on the availability of departmental resources and can only be evaluated in the context of the overall portfolio financial position.</w:t>
      </w:r>
      <w:r>
        <w:rPr>
          <w:spacing w:val="-4"/>
        </w:rPr>
        <w:t xml:space="preserve"> </w:t>
      </w:r>
    </w:p>
    <w:p w14:paraId="278FFA22" w14:textId="77777777" w:rsidR="00DB44B8" w:rsidRPr="00F45D21" w:rsidRDefault="00DB44B8" w:rsidP="00DB44B8">
      <w:pPr>
        <w:pStyle w:val="ListParagraph"/>
        <w:rPr>
          <w:bCs/>
        </w:rPr>
      </w:pPr>
    </w:p>
    <w:p w14:paraId="597BB44E" w14:textId="77777777" w:rsidR="00DB44B8" w:rsidRDefault="00DB44B8" w:rsidP="00F6090D">
      <w:pPr>
        <w:pStyle w:val="ListParagraph"/>
        <w:numPr>
          <w:ilvl w:val="0"/>
          <w:numId w:val="4"/>
        </w:numPr>
        <w:rPr>
          <w:bCs/>
        </w:rPr>
      </w:pPr>
      <w:r>
        <w:rPr>
          <w:bCs/>
        </w:rPr>
        <w:t xml:space="preserve">Any branch or </w:t>
      </w:r>
      <w:r w:rsidR="00922FCD">
        <w:rPr>
          <w:bCs/>
        </w:rPr>
        <w:t xml:space="preserve">regional </w:t>
      </w:r>
      <w:r w:rsidR="00922FCD" w:rsidRPr="00664FAF">
        <w:rPr>
          <w:b/>
          <w:bCs/>
        </w:rPr>
        <w:t>internal</w:t>
      </w:r>
      <w:r w:rsidRPr="00664FAF">
        <w:rPr>
          <w:b/>
          <w:bCs/>
        </w:rPr>
        <w:t xml:space="preserve"> risk management</w:t>
      </w:r>
      <w:r>
        <w:rPr>
          <w:bCs/>
        </w:rPr>
        <w:t xml:space="preserve"> </w:t>
      </w:r>
      <w:r w:rsidRPr="00C15A4C">
        <w:rPr>
          <w:b/>
          <w:bCs/>
        </w:rPr>
        <w:t>should not be brought forward</w:t>
      </w:r>
      <w:r w:rsidRPr="00F45D21">
        <w:rPr>
          <w:bCs/>
        </w:rPr>
        <w:t xml:space="preserve"> </w:t>
      </w:r>
      <w:r w:rsidRPr="00664FAF">
        <w:rPr>
          <w:b/>
          <w:bCs/>
        </w:rPr>
        <w:t>as a variance against budget</w:t>
      </w:r>
      <w:r w:rsidRPr="00F45D21">
        <w:rPr>
          <w:bCs/>
        </w:rPr>
        <w:t xml:space="preserve"> i.e. should not be part of the variance</w:t>
      </w:r>
      <w:r>
        <w:rPr>
          <w:bCs/>
        </w:rPr>
        <w:t>,</w:t>
      </w:r>
      <w:r w:rsidRPr="00F45D21">
        <w:rPr>
          <w:bCs/>
        </w:rPr>
        <w:t xml:space="preserve"> and branches/regions should reduce their forecast accordingly</w:t>
      </w:r>
      <w:r>
        <w:rPr>
          <w:bCs/>
        </w:rPr>
        <w:t xml:space="preserve"> by doing an FMBB adjustment before completing the Variance Explanation</w:t>
      </w:r>
      <w:r w:rsidRPr="00F45D21">
        <w:rPr>
          <w:bCs/>
        </w:rPr>
        <w:t>.</w:t>
      </w:r>
    </w:p>
    <w:p w14:paraId="79C0F8E3" w14:textId="77777777" w:rsidR="00DB44B8" w:rsidRPr="00F45D21" w:rsidRDefault="00DB44B8" w:rsidP="00DB44B8">
      <w:pPr>
        <w:pStyle w:val="ListParagraph"/>
        <w:rPr>
          <w:bCs/>
        </w:rPr>
      </w:pPr>
    </w:p>
    <w:p w14:paraId="7B191386" w14:textId="20AE07E6" w:rsidR="00DB44B8" w:rsidRDefault="00457F4C" w:rsidP="00F6090D">
      <w:pPr>
        <w:pStyle w:val="ListParagraph"/>
        <w:numPr>
          <w:ilvl w:val="0"/>
          <w:numId w:val="4"/>
        </w:numPr>
        <w:rPr>
          <w:bCs/>
        </w:rPr>
      </w:pPr>
      <w:r>
        <w:rPr>
          <w:bCs/>
        </w:rPr>
        <w:lastRenderedPageBreak/>
        <w:t>A s</w:t>
      </w:r>
      <w:r w:rsidR="00DB44B8" w:rsidRPr="00A83EBA">
        <w:rPr>
          <w:bCs/>
        </w:rPr>
        <w:t xml:space="preserve">urplus </w:t>
      </w:r>
      <w:r w:rsidR="00DB44B8" w:rsidRPr="00F45D21">
        <w:rPr>
          <w:bCs/>
        </w:rPr>
        <w:t xml:space="preserve">should be identified as such in the explanation of variances. </w:t>
      </w:r>
      <w:r w:rsidR="00DB44B8" w:rsidRPr="00354172">
        <w:rPr>
          <w:bCs/>
        </w:rPr>
        <w:t>A</w:t>
      </w:r>
      <w:r w:rsidR="00DB44B8">
        <w:rPr>
          <w:bCs/>
        </w:rPr>
        <w:t xml:space="preserve"> </w:t>
      </w:r>
      <w:r w:rsidR="00DB44B8" w:rsidRPr="004671C0">
        <w:rPr>
          <w:b/>
          <w:bCs/>
        </w:rPr>
        <w:t>repatriable surplus</w:t>
      </w:r>
      <w:r w:rsidR="00DB44B8" w:rsidRPr="00354172">
        <w:rPr>
          <w:bCs/>
        </w:rPr>
        <w:t xml:space="preserve"> is defined as a budget that can be </w:t>
      </w:r>
      <w:r w:rsidR="00DB44B8">
        <w:rPr>
          <w:bCs/>
        </w:rPr>
        <w:t xml:space="preserve">immediately </w:t>
      </w:r>
      <w:r w:rsidR="00DB44B8" w:rsidRPr="00354172">
        <w:rPr>
          <w:bCs/>
        </w:rPr>
        <w:t>repatriated at the branch level to b</w:t>
      </w:r>
      <w:r w:rsidR="00DB44B8">
        <w:rPr>
          <w:bCs/>
        </w:rPr>
        <w:t>e transferred to the Corporate R</w:t>
      </w:r>
      <w:r w:rsidR="00DB44B8" w:rsidRPr="00354172">
        <w:rPr>
          <w:bCs/>
        </w:rPr>
        <w:t>eserve.</w:t>
      </w:r>
      <w:r w:rsidR="00DB44B8">
        <w:rPr>
          <w:bCs/>
        </w:rPr>
        <w:t xml:space="preserve"> A</w:t>
      </w:r>
      <w:r w:rsidR="00DB44B8" w:rsidRPr="000772F2">
        <w:rPr>
          <w:bCs/>
        </w:rPr>
        <w:t xml:space="preserve"> </w:t>
      </w:r>
      <w:r w:rsidR="00DB44B8" w:rsidRPr="004671C0">
        <w:rPr>
          <w:b/>
          <w:bCs/>
        </w:rPr>
        <w:t>surplus not repatriable</w:t>
      </w:r>
      <w:r w:rsidR="00DB44B8">
        <w:rPr>
          <w:bCs/>
        </w:rPr>
        <w:t xml:space="preserve"> </w:t>
      </w:r>
      <w:r w:rsidR="00DB44B8" w:rsidRPr="004671C0">
        <w:rPr>
          <w:bCs/>
          <w:u w:val="single"/>
        </w:rPr>
        <w:t>must be</w:t>
      </w:r>
      <w:r w:rsidR="00DB44B8">
        <w:rPr>
          <w:bCs/>
        </w:rPr>
        <w:t xml:space="preserve"> returned to the Corporate R</w:t>
      </w:r>
      <w:r w:rsidR="00DB44B8" w:rsidRPr="000772F2">
        <w:rPr>
          <w:bCs/>
        </w:rPr>
        <w:t>eserve as soon as</w:t>
      </w:r>
      <w:r w:rsidR="00DB44B8">
        <w:rPr>
          <w:bCs/>
        </w:rPr>
        <w:t xml:space="preserve"> it</w:t>
      </w:r>
      <w:r w:rsidR="00DB44B8" w:rsidRPr="000772F2">
        <w:rPr>
          <w:bCs/>
        </w:rPr>
        <w:t xml:space="preserve"> become</w:t>
      </w:r>
      <w:r w:rsidR="00DB44B8">
        <w:rPr>
          <w:bCs/>
        </w:rPr>
        <w:t>s</w:t>
      </w:r>
      <w:r w:rsidR="00DB44B8" w:rsidRPr="000772F2">
        <w:rPr>
          <w:bCs/>
        </w:rPr>
        <w:t xml:space="preserve"> available before year-end.</w:t>
      </w:r>
      <w:r w:rsidR="00DB44B8">
        <w:rPr>
          <w:bCs/>
        </w:rPr>
        <w:t xml:space="preserve"> </w:t>
      </w:r>
      <w:r w:rsidR="00DB44B8" w:rsidRPr="00944EEF">
        <w:rPr>
          <w:b/>
          <w:bCs/>
        </w:rPr>
        <w:t>It is important to note that any declared surplus (repatriable or non-repatriable) become part of the departmental financial strategy to absorb other departmental pressures.</w:t>
      </w:r>
    </w:p>
    <w:p w14:paraId="0C0EEDA6" w14:textId="77777777" w:rsidR="00DB44B8" w:rsidRPr="007B6F5A" w:rsidRDefault="00DB44B8" w:rsidP="00DB44B8">
      <w:pPr>
        <w:pStyle w:val="ListParagraph"/>
        <w:rPr>
          <w:bCs/>
        </w:rPr>
      </w:pPr>
    </w:p>
    <w:p w14:paraId="33BFB76C" w14:textId="07E29630" w:rsidR="00DB44B8" w:rsidRPr="0060233B" w:rsidRDefault="00DB44B8" w:rsidP="00F6090D">
      <w:pPr>
        <w:pStyle w:val="ListParagraph"/>
        <w:numPr>
          <w:ilvl w:val="0"/>
          <w:numId w:val="4"/>
        </w:numPr>
      </w:pPr>
      <w:r w:rsidRPr="00454CA7">
        <w:t>FMAs are to produce a BI Surplus/Deficit report for their client branch/region, add the explanation of variances,</w:t>
      </w:r>
      <w:r>
        <w:t xml:space="preserve"> and obtain</w:t>
      </w:r>
      <w:r w:rsidRPr="00454CA7">
        <w:t xml:space="preserve"> approval from the </w:t>
      </w:r>
      <w:r>
        <w:t>ADM</w:t>
      </w:r>
      <w:r w:rsidRPr="00454CA7">
        <w:t xml:space="preserve">. This report must be sent to CRM as per the timelines outlined in Annex A, </w:t>
      </w:r>
      <w:r w:rsidRPr="00454CA7">
        <w:rPr>
          <w:bCs/>
        </w:rPr>
        <w:t>via the forecasting mailbox</w:t>
      </w:r>
      <w:r w:rsidRPr="00454CA7">
        <w:t xml:space="preserve">: </w:t>
      </w:r>
      <w:hyperlink r:id="rId13" w:history="1">
        <w:r w:rsidRPr="00454CA7">
          <w:rPr>
            <w:rStyle w:val="Hyperlink"/>
          </w:rPr>
          <w:t>NC- Forecasting-Mailbox-CRM_Boîtes-aux-lettres-Prévisions-GRM-GD</w:t>
        </w:r>
      </w:hyperlink>
      <w:r w:rsidRPr="00454CA7">
        <w:t>.</w:t>
      </w:r>
      <w:r w:rsidRPr="00454CA7">
        <w:rPr>
          <w:lang w:val="en-US"/>
        </w:rPr>
        <w:t xml:space="preserve"> It is essential that an integrity check be performed by the FMA before submitting the branch/regional forecast package to CRM.</w:t>
      </w:r>
    </w:p>
    <w:p w14:paraId="2AAF506B" w14:textId="77777777" w:rsidR="002A32A8" w:rsidRDefault="002A32A8" w:rsidP="0060233B">
      <w:pPr>
        <w:pStyle w:val="ListParagraph"/>
      </w:pPr>
    </w:p>
    <w:p w14:paraId="1AA85A00" w14:textId="1B7EB457" w:rsidR="002A32A8" w:rsidRPr="00072D88" w:rsidRDefault="002A32A8" w:rsidP="00F6090D">
      <w:pPr>
        <w:pStyle w:val="ListParagraph"/>
        <w:numPr>
          <w:ilvl w:val="0"/>
          <w:numId w:val="4"/>
        </w:numPr>
      </w:pPr>
      <w:r>
        <w:t>In order to respect the source of funds of the department and to prevent any surprises at year</w:t>
      </w:r>
      <w:r w:rsidR="00457F4C">
        <w:t>-</w:t>
      </w:r>
      <w:r>
        <w:t xml:space="preserve">end, it is important to identify </w:t>
      </w:r>
      <w:r w:rsidR="00457F4C">
        <w:t xml:space="preserve">the </w:t>
      </w:r>
      <w:r>
        <w:t>source of funds</w:t>
      </w:r>
      <w:r w:rsidR="00457F4C">
        <w:t xml:space="preserve"> of</w:t>
      </w:r>
      <w:r>
        <w:t xml:space="preserve"> the surplus and deficit.</w:t>
      </w:r>
    </w:p>
    <w:p w14:paraId="5CEC73F6" w14:textId="77777777" w:rsidR="00DB44B8" w:rsidRDefault="00DB44B8" w:rsidP="00DB44B8">
      <w:pPr>
        <w:pStyle w:val="ListParagraph"/>
      </w:pPr>
    </w:p>
    <w:p w14:paraId="76299A60" w14:textId="77777777" w:rsidR="00DB44B8" w:rsidRPr="00877499" w:rsidRDefault="00DB44B8" w:rsidP="00F6090D">
      <w:pPr>
        <w:pStyle w:val="Heading2"/>
        <w:numPr>
          <w:ilvl w:val="1"/>
          <w:numId w:val="1"/>
        </w:numPr>
      </w:pPr>
      <w:bookmarkStart w:id="12" w:name="_Toc72402740"/>
      <w:r>
        <w:t xml:space="preserve">Departmental Forecast </w:t>
      </w:r>
      <w:r w:rsidRPr="00454CA7">
        <w:t>Consolidat</w:t>
      </w:r>
      <w:r>
        <w:t>ion</w:t>
      </w:r>
      <w:bookmarkEnd w:id="12"/>
    </w:p>
    <w:p w14:paraId="3514584D" w14:textId="77777777" w:rsidR="00DB44B8" w:rsidRPr="00877499" w:rsidRDefault="00DB44B8" w:rsidP="00DB44B8"/>
    <w:p w14:paraId="688C4C86" w14:textId="41904A48" w:rsidR="00DB44B8" w:rsidRPr="00877499" w:rsidRDefault="00DB44B8" w:rsidP="00DB44B8">
      <w:r w:rsidRPr="00270DAE">
        <w:t xml:space="preserve">Departmental consolidation </w:t>
      </w:r>
      <w:r>
        <w:t>is</w:t>
      </w:r>
      <w:r w:rsidRPr="00270DAE">
        <w:t xml:space="preserve"> done using myEMS</w:t>
      </w:r>
      <w:r w:rsidR="00E92BB6">
        <w:t xml:space="preserve"> </w:t>
      </w:r>
      <w:r>
        <w:t xml:space="preserve">(SAP) </w:t>
      </w:r>
      <w:r w:rsidRPr="00270DAE">
        <w:t>and the BI Surplus/Deficit report</w:t>
      </w:r>
      <w:r w:rsidRPr="00877499">
        <w:t xml:space="preserve"> received from all branches/regions. The information </w:t>
      </w:r>
      <w:r>
        <w:t>is</w:t>
      </w:r>
      <w:r w:rsidRPr="00877499">
        <w:t xml:space="preserve"> consolidated</w:t>
      </w:r>
      <w:r>
        <w:t xml:space="preserve"> in the</w:t>
      </w:r>
      <w:r w:rsidRPr="00877499">
        <w:t xml:space="preserve"> D</w:t>
      </w:r>
      <w:r>
        <w:t xml:space="preserve">epartmental </w:t>
      </w:r>
      <w:r w:rsidRPr="00877499">
        <w:t>F</w:t>
      </w:r>
      <w:r>
        <w:t xml:space="preserve">inancial </w:t>
      </w:r>
      <w:r w:rsidRPr="00877499">
        <w:t>R</w:t>
      </w:r>
      <w:r>
        <w:t>eport (DFR)</w:t>
      </w:r>
      <w:r w:rsidR="00457F4C">
        <w:t xml:space="preserve">. Based on the departmental financial results and the democratic environment, </w:t>
      </w:r>
      <w:r>
        <w:t xml:space="preserve">a financial strategy is proposed </w:t>
      </w:r>
      <w:r w:rsidRPr="00877499">
        <w:t>and presented to the DCFO and CFO, who</w:t>
      </w:r>
      <w:r w:rsidR="00457F4C">
        <w:t>, in turn,</w:t>
      </w:r>
      <w:r w:rsidRPr="00877499">
        <w:t xml:space="preserve"> present</w:t>
      </w:r>
      <w:r w:rsidR="00457F4C">
        <w:t xml:space="preserve"> it</w:t>
      </w:r>
      <w:r w:rsidRPr="00877499">
        <w:t xml:space="preserve"> to the DM</w:t>
      </w:r>
      <w:r>
        <w:t>s</w:t>
      </w:r>
      <w:r w:rsidRPr="00877499">
        <w:t xml:space="preserve"> and </w:t>
      </w:r>
      <w:r>
        <w:t xml:space="preserve">to </w:t>
      </w:r>
      <w:r w:rsidRPr="00877499">
        <w:t>PMB for final approval.</w:t>
      </w:r>
    </w:p>
    <w:p w14:paraId="6960A69D" w14:textId="77777777" w:rsidR="00DB44B8" w:rsidRPr="00877499" w:rsidRDefault="00DB44B8" w:rsidP="00DB44B8"/>
    <w:p w14:paraId="3BE4D17E" w14:textId="77777777" w:rsidR="00DB44B8" w:rsidRPr="00877499" w:rsidRDefault="00DB44B8" w:rsidP="00F6090D">
      <w:pPr>
        <w:pStyle w:val="Heading1"/>
        <w:keepLines w:val="0"/>
        <w:numPr>
          <w:ilvl w:val="0"/>
          <w:numId w:val="1"/>
        </w:numPr>
        <w:spacing w:before="240" w:after="60"/>
        <w:rPr>
          <w:lang w:val="en-US"/>
        </w:rPr>
      </w:pPr>
      <w:bookmarkStart w:id="13" w:name="_Toc356388379"/>
      <w:bookmarkStart w:id="14" w:name="_Toc72402741"/>
      <w:r w:rsidRPr="00877499">
        <w:rPr>
          <w:lang w:val="en-US"/>
        </w:rPr>
        <w:t>Detailed Guideline</w:t>
      </w:r>
      <w:bookmarkEnd w:id="13"/>
      <w:r w:rsidRPr="00877499">
        <w:rPr>
          <w:lang w:val="en-US"/>
        </w:rPr>
        <w:t>s</w:t>
      </w:r>
      <w:bookmarkEnd w:id="14"/>
    </w:p>
    <w:p w14:paraId="54459D4C" w14:textId="77777777" w:rsidR="00DB44B8" w:rsidRPr="00877499" w:rsidRDefault="00DB44B8" w:rsidP="00DB44B8">
      <w:pPr>
        <w:rPr>
          <w:lang w:val="en-US"/>
        </w:rPr>
      </w:pPr>
    </w:p>
    <w:p w14:paraId="0DB0543D" w14:textId="577E8CF6" w:rsidR="00DB44B8" w:rsidRPr="005E4914" w:rsidRDefault="00DB44B8" w:rsidP="00DB44B8">
      <w:r>
        <w:t>E</w:t>
      </w:r>
      <w:r w:rsidRPr="00877499">
        <w:t xml:space="preserve">ach </w:t>
      </w:r>
      <w:r>
        <w:t>FCM</w:t>
      </w:r>
      <w:r w:rsidRPr="005E4914">
        <w:t xml:space="preserve"> </w:t>
      </w:r>
      <w:r>
        <w:t xml:space="preserve">who </w:t>
      </w:r>
      <w:r w:rsidRPr="005E4914">
        <w:t>has delegation of authority</w:t>
      </w:r>
      <w:r>
        <w:t xml:space="preserve"> must enter a </w:t>
      </w:r>
      <w:r w:rsidRPr="00877499">
        <w:t xml:space="preserve">forecast </w:t>
      </w:r>
      <w:r w:rsidR="00595258">
        <w:t xml:space="preserve">for </w:t>
      </w:r>
      <w:r w:rsidRPr="00877499">
        <w:t>regular operating funds, separately controlled allotments</w:t>
      </w:r>
      <w:r w:rsidR="00664FAF">
        <w:t xml:space="preserve"> (SCA)</w:t>
      </w:r>
      <w:r w:rsidRPr="00877499">
        <w:t xml:space="preserve">, </w:t>
      </w:r>
      <w:r>
        <w:rPr>
          <w:rFonts w:cs="Arial"/>
          <w:bCs/>
        </w:rPr>
        <w:t>service delivery partnerships and agreements</w:t>
      </w:r>
      <w:r>
        <w:t xml:space="preserve">, </w:t>
      </w:r>
      <w:r w:rsidR="00595258">
        <w:rPr>
          <w:rFonts w:cs="Arial"/>
          <w:bCs/>
        </w:rPr>
        <w:t>m</w:t>
      </w:r>
      <w:r w:rsidR="00595258">
        <w:t>easures in response to COVID-19,</w:t>
      </w:r>
      <w:r>
        <w:t xml:space="preserve"> </w:t>
      </w:r>
      <w:r w:rsidR="00595258">
        <w:t>G&amp;Cs and VNR</w:t>
      </w:r>
      <w:r w:rsidR="00595258">
        <w:rPr>
          <w:rFonts w:cs="Arial"/>
          <w:bCs/>
        </w:rPr>
        <w:t>. Forecasts must be entered</w:t>
      </w:r>
      <w:r w:rsidRPr="00877499">
        <w:t xml:space="preserve"> </w:t>
      </w:r>
      <w:r>
        <w:t>by Fund and</w:t>
      </w:r>
      <w:r w:rsidRPr="00877499">
        <w:t xml:space="preserve"> CI (forecast </w:t>
      </w:r>
      <w:r>
        <w:t>group level).</w:t>
      </w:r>
    </w:p>
    <w:p w14:paraId="409C63A7" w14:textId="0698B3C6" w:rsidR="00DB44B8" w:rsidRDefault="00DB44B8" w:rsidP="00DB44B8"/>
    <w:p w14:paraId="2B355EEA" w14:textId="1352C259" w:rsidR="0086617B" w:rsidRDefault="0086617B" w:rsidP="00DB44B8"/>
    <w:p w14:paraId="4AA7E00C" w14:textId="2CF2AD48" w:rsidR="00DB44B8" w:rsidRPr="00877499" w:rsidRDefault="00DB44B8" w:rsidP="00F6090D">
      <w:pPr>
        <w:pStyle w:val="Heading2"/>
        <w:numPr>
          <w:ilvl w:val="1"/>
          <w:numId w:val="1"/>
        </w:numPr>
        <w:rPr>
          <w:szCs w:val="28"/>
        </w:rPr>
      </w:pPr>
      <w:bookmarkStart w:id="15" w:name="_Toc72402742"/>
      <w:r w:rsidRPr="00877499">
        <w:rPr>
          <w:szCs w:val="28"/>
        </w:rPr>
        <w:t xml:space="preserve">Approved </w:t>
      </w:r>
      <w:r w:rsidR="007A3A2E">
        <w:rPr>
          <w:szCs w:val="28"/>
        </w:rPr>
        <w:t>Potential Funding for Planning Purposes</w:t>
      </w:r>
      <w:r w:rsidRPr="00877499">
        <w:rPr>
          <w:szCs w:val="28"/>
        </w:rPr>
        <w:t xml:space="preserve"> Budget</w:t>
      </w:r>
      <w:bookmarkEnd w:id="15"/>
    </w:p>
    <w:p w14:paraId="254B1928" w14:textId="77777777" w:rsidR="00DB44B8" w:rsidRPr="00877499" w:rsidRDefault="00DB44B8" w:rsidP="00DB44B8"/>
    <w:p w14:paraId="4D10E37B" w14:textId="135E9004" w:rsidR="00DB44B8" w:rsidRPr="00454CA7" w:rsidRDefault="00DB44B8" w:rsidP="00DB44B8">
      <w:r w:rsidRPr="00877499">
        <w:t xml:space="preserve">Budget </w:t>
      </w:r>
      <w:r w:rsidRPr="000C5C12">
        <w:t xml:space="preserve">for </w:t>
      </w:r>
      <w:r w:rsidR="007255A8">
        <w:t>A</w:t>
      </w:r>
      <w:r w:rsidRPr="000C5C12">
        <w:t xml:space="preserve">pproved </w:t>
      </w:r>
      <w:r w:rsidR="007A3A2E">
        <w:t>potential funding for planning purposes</w:t>
      </w:r>
      <w:r w:rsidRPr="000C5C12">
        <w:t xml:space="preserve"> </w:t>
      </w:r>
      <w:r w:rsidR="007255A8">
        <w:t xml:space="preserve">(APFPP) </w:t>
      </w:r>
      <w:r w:rsidRPr="000C5C12">
        <w:t>items</w:t>
      </w:r>
      <w:r w:rsidR="005C4685">
        <w:t xml:space="preserve"> is</w:t>
      </w:r>
      <w:r w:rsidRPr="000C5C12">
        <w:t xml:space="preserve">  </w:t>
      </w:r>
      <w:r w:rsidR="007255A8">
        <w:t>record</w:t>
      </w:r>
      <w:r w:rsidRPr="000C5C12">
        <w:t>ed in FMBB</w:t>
      </w:r>
      <w:r w:rsidR="007255A8">
        <w:t xml:space="preserve">, </w:t>
      </w:r>
      <w:r w:rsidR="007255A8" w:rsidRPr="000C5C12">
        <w:t>based on the distribution received from the responsible NHQ FMA</w:t>
      </w:r>
      <w:r w:rsidR="007255A8">
        <w:t>,</w:t>
      </w:r>
      <w:r w:rsidRPr="000C5C12">
        <w:t xml:space="preserve"> in a separate budget version</w:t>
      </w:r>
      <w:r w:rsidR="007255A8">
        <w:t>. This budget is recorded</w:t>
      </w:r>
      <w:r w:rsidRPr="000C5C12">
        <w:t xml:space="preserve"> for forecasting purposes only, with a </w:t>
      </w:r>
      <w:r w:rsidRPr="00454CA7">
        <w:t>specific document type and budget type.</w:t>
      </w:r>
    </w:p>
    <w:p w14:paraId="1BF3B842" w14:textId="77777777" w:rsidR="00DB44B8" w:rsidRPr="00454CA7" w:rsidRDefault="00DB44B8" w:rsidP="00DB44B8">
      <w:r w:rsidRPr="00454CA7">
        <w:lastRenderedPageBreak/>
        <w:t xml:space="preserve">  </w:t>
      </w:r>
    </w:p>
    <w:p w14:paraId="51F835F5" w14:textId="60FB442E" w:rsidR="004279D6" w:rsidRDefault="00DB44B8" w:rsidP="00DB44B8">
      <w:r w:rsidRPr="00454CA7">
        <w:t xml:space="preserve">During the month prior to the start of the forecasting period, CRM distributes the </w:t>
      </w:r>
      <w:r w:rsidR="007255A8">
        <w:t>APFPP</w:t>
      </w:r>
      <w:r w:rsidRPr="00454CA7">
        <w:t xml:space="preserve"> budgets at the branch/regional level</w:t>
      </w:r>
      <w:r w:rsidR="00595258">
        <w:t xml:space="preserve"> based on input provided by the lead FMA. Then</w:t>
      </w:r>
      <w:r w:rsidRPr="00454CA7">
        <w:t>, FMAs distribute the amounts at the appropriate levels within the branch/region.</w:t>
      </w:r>
      <w:r w:rsidRPr="00025D1A">
        <w:t xml:space="preserve"> </w:t>
      </w:r>
    </w:p>
    <w:p w14:paraId="5D522AD2" w14:textId="77777777" w:rsidR="00BB7983" w:rsidRPr="00025D1A" w:rsidRDefault="00BB7983" w:rsidP="00DB44B8"/>
    <w:p w14:paraId="76E7BBB0" w14:textId="7A9CD1E6" w:rsidR="00DB44B8" w:rsidRPr="00454CA7" w:rsidRDefault="00DB44B8" w:rsidP="00DB44B8">
      <w:r w:rsidRPr="00025D1A">
        <w:t xml:space="preserve">The current budget allocated in </w:t>
      </w:r>
      <w:r>
        <w:t>myEMS</w:t>
      </w:r>
      <w:r w:rsidR="005E00DD">
        <w:t xml:space="preserve"> </w:t>
      </w:r>
      <w:r>
        <w:t>(SAP)</w:t>
      </w:r>
      <w:r w:rsidRPr="00025D1A">
        <w:t xml:space="preserve"> </w:t>
      </w:r>
      <w:r w:rsidR="005E00DD">
        <w:t xml:space="preserve">added to </w:t>
      </w:r>
      <w:r w:rsidRPr="00025D1A">
        <w:t xml:space="preserve">the </w:t>
      </w:r>
      <w:r w:rsidR="007255A8">
        <w:t>APFPP</w:t>
      </w:r>
      <w:r w:rsidR="005E00DD">
        <w:t xml:space="preserve"> budget </w:t>
      </w:r>
      <w:r w:rsidR="007255A8">
        <w:t>repre</w:t>
      </w:r>
      <w:r w:rsidR="00571BB3">
        <w:t>s</w:t>
      </w:r>
      <w:r w:rsidR="007255A8">
        <w:t>ents</w:t>
      </w:r>
      <w:r w:rsidR="00571BB3" w:rsidRPr="00025D1A">
        <w:t xml:space="preserve"> </w:t>
      </w:r>
      <w:r w:rsidRPr="00025D1A">
        <w:t xml:space="preserve">the </w:t>
      </w:r>
      <w:r w:rsidRPr="00454CA7">
        <w:t>notional budget against which branches/regions are to forecast.</w:t>
      </w:r>
    </w:p>
    <w:p w14:paraId="3318458D" w14:textId="77777777" w:rsidR="00DB44B8" w:rsidRPr="00454CA7" w:rsidRDefault="00DB44B8" w:rsidP="00DB44B8"/>
    <w:p w14:paraId="4530FA61" w14:textId="4E39A6CC" w:rsidR="00DB44B8" w:rsidRPr="00454CA7" w:rsidRDefault="00DB44B8" w:rsidP="00DB44B8">
      <w:r w:rsidRPr="00454CA7">
        <w:t xml:space="preserve">Below are links to the </w:t>
      </w:r>
      <w:r w:rsidRPr="00AE7BBF">
        <w:t>detailed procedures</w:t>
      </w:r>
      <w:r w:rsidRPr="00454CA7">
        <w:t xml:space="preserve"> to increase the notional budget with </w:t>
      </w:r>
      <w:r w:rsidR="007255A8">
        <w:t>APFPP</w:t>
      </w:r>
      <w:r w:rsidRPr="00454CA7">
        <w:t xml:space="preserve"> (i.e. budget supplement). In addition, Annex B contains technical information for the input of </w:t>
      </w:r>
      <w:r w:rsidR="007255A8">
        <w:t>APFPP</w:t>
      </w:r>
      <w:r w:rsidRPr="00454CA7">
        <w:t xml:space="preserve"> budget in FMBB.  Note that </w:t>
      </w:r>
      <w:r>
        <w:t>access for these adjustments resides within CFOB</w:t>
      </w:r>
      <w:r w:rsidRPr="00454CA7">
        <w:t>.</w:t>
      </w:r>
    </w:p>
    <w:p w14:paraId="03023202" w14:textId="77777777" w:rsidR="00DB44B8" w:rsidRPr="00454CA7" w:rsidRDefault="00DB44B8" w:rsidP="00DB44B8">
      <w:pPr>
        <w:rPr>
          <w:bCs/>
        </w:rPr>
      </w:pPr>
    </w:p>
    <w:p w14:paraId="0645373E" w14:textId="78471398" w:rsidR="00DB44B8" w:rsidRPr="00454CA7" w:rsidRDefault="00660AE1" w:rsidP="00DB44B8">
      <w:hyperlink r:id="rId14" w:history="1">
        <w:r w:rsidR="00BF1B20">
          <w:rPr>
            <w:rStyle w:val="Hyperlink"/>
          </w:rPr>
          <w:t>FMBB - Risk Management Items Supplements - CRM</w:t>
        </w:r>
      </w:hyperlink>
    </w:p>
    <w:p w14:paraId="28650810" w14:textId="5F6AB163" w:rsidR="00DB44B8" w:rsidRPr="00454CA7" w:rsidRDefault="00660AE1" w:rsidP="00DB44B8">
      <w:pPr>
        <w:rPr>
          <w:rStyle w:val="Hyperlink"/>
        </w:rPr>
      </w:pPr>
      <w:hyperlink r:id="rId15" w:history="1">
        <w:r w:rsidR="00BF1B20">
          <w:rPr>
            <w:rStyle w:val="Hyperlink"/>
          </w:rPr>
          <w:t>FMBB - Risk Management Items Supplement Transfer - FMA</w:t>
        </w:r>
      </w:hyperlink>
    </w:p>
    <w:p w14:paraId="46F323AC" w14:textId="77777777" w:rsidR="00DB44B8" w:rsidRPr="00454CA7" w:rsidRDefault="00DB44B8" w:rsidP="00DB44B8"/>
    <w:p w14:paraId="78AC4E37" w14:textId="77777777" w:rsidR="00DB44B8" w:rsidRPr="00454CA7" w:rsidRDefault="00DB44B8" w:rsidP="00F6090D">
      <w:pPr>
        <w:pStyle w:val="Heading2"/>
        <w:numPr>
          <w:ilvl w:val="1"/>
          <w:numId w:val="1"/>
        </w:numPr>
      </w:pPr>
      <w:bookmarkStart w:id="16" w:name="_Toc356388381"/>
      <w:bookmarkStart w:id="17" w:name="_Toc72402743"/>
      <w:r w:rsidRPr="00454CA7">
        <w:t>Personnel Forecast</w:t>
      </w:r>
      <w:bookmarkEnd w:id="16"/>
      <w:r>
        <w:t>s</w:t>
      </w:r>
      <w:bookmarkEnd w:id="17"/>
    </w:p>
    <w:p w14:paraId="05419C81" w14:textId="77777777" w:rsidR="00DB44B8" w:rsidRPr="008E7CA4" w:rsidRDefault="00DB44B8" w:rsidP="00DB44B8"/>
    <w:p w14:paraId="411DB28A" w14:textId="4DE8183B" w:rsidR="00DB44B8" w:rsidRPr="008E7CA4" w:rsidRDefault="00DB44B8" w:rsidP="00DB44B8">
      <w:pPr>
        <w:rPr>
          <w:lang w:val="en-US"/>
        </w:rPr>
      </w:pPr>
      <w:r w:rsidRPr="008E7CA4">
        <w:rPr>
          <w:rFonts w:cs="Arial"/>
          <w:lang w:val="en-US"/>
        </w:rPr>
        <w:t xml:space="preserve">Personnel resources represent a significant portion of the department’s overall budget. It is therefore </w:t>
      </w:r>
      <w:r>
        <w:rPr>
          <w:rFonts w:cs="Arial"/>
          <w:lang w:val="en-US"/>
        </w:rPr>
        <w:t>essential</w:t>
      </w:r>
      <w:r w:rsidRPr="008E7CA4">
        <w:rPr>
          <w:rFonts w:cs="Arial"/>
          <w:lang w:val="en-US"/>
        </w:rPr>
        <w:t xml:space="preserve"> to maintain effective control over these plans and expenditures. In order to achieve this, branches/regions must develop a detailed personnel forecast using</w:t>
      </w:r>
      <w:r>
        <w:rPr>
          <w:rFonts w:cs="Arial"/>
          <w:lang w:val="en-US"/>
        </w:rPr>
        <w:t xml:space="preserve"> the</w:t>
      </w:r>
      <w:r w:rsidRPr="008E7CA4">
        <w:rPr>
          <w:rFonts w:cs="Arial"/>
          <w:lang w:val="en-US"/>
        </w:rPr>
        <w:t xml:space="preserve"> myEMS </w:t>
      </w:r>
      <w:r w:rsidR="006242D4">
        <w:rPr>
          <w:rFonts w:cs="Arial"/>
          <w:lang w:val="en-US"/>
        </w:rPr>
        <w:t>(SAP) S</w:t>
      </w:r>
      <w:r w:rsidRPr="008E7CA4">
        <w:rPr>
          <w:rFonts w:cs="Arial"/>
          <w:lang w:val="en-US"/>
        </w:rPr>
        <w:t xml:space="preserve">alary </w:t>
      </w:r>
      <w:r w:rsidR="006242D4">
        <w:rPr>
          <w:rFonts w:cs="Arial"/>
          <w:lang w:val="en-US"/>
        </w:rPr>
        <w:t>F</w:t>
      </w:r>
      <w:r w:rsidRPr="008E7CA4">
        <w:rPr>
          <w:rFonts w:cs="Arial"/>
          <w:lang w:val="en-US"/>
        </w:rPr>
        <w:t xml:space="preserve">orecasting </w:t>
      </w:r>
      <w:r w:rsidR="006242D4">
        <w:rPr>
          <w:rFonts w:cs="Arial"/>
          <w:lang w:val="en-US"/>
        </w:rPr>
        <w:t>T</w:t>
      </w:r>
      <w:r w:rsidRPr="008E7CA4">
        <w:rPr>
          <w:rFonts w:cs="Arial"/>
          <w:lang w:val="en-US"/>
        </w:rPr>
        <w:t>ool (SFT).</w:t>
      </w:r>
    </w:p>
    <w:p w14:paraId="2B574262" w14:textId="77777777" w:rsidR="00DB44B8" w:rsidRPr="008E7CA4" w:rsidRDefault="00DB44B8" w:rsidP="00DB44B8">
      <w:pPr>
        <w:rPr>
          <w:lang w:val="en-US"/>
        </w:rPr>
      </w:pPr>
    </w:p>
    <w:p w14:paraId="4D9A72CE" w14:textId="5BF65B2F" w:rsidR="00DB44B8" w:rsidRDefault="00DB44B8" w:rsidP="00DB44B8">
      <w:pPr>
        <w:rPr>
          <w:lang w:val="en-US"/>
        </w:rPr>
      </w:pPr>
      <w:r w:rsidRPr="008E7CA4">
        <w:rPr>
          <w:lang w:val="en-US"/>
        </w:rPr>
        <w:t>The forecast must include plans for each employee whether they are on strength (PRI level) or anticipated (position level), and other high</w:t>
      </w:r>
      <w:r w:rsidR="006242D4">
        <w:rPr>
          <w:lang w:val="en-US"/>
        </w:rPr>
        <w:t>-</w:t>
      </w:r>
      <w:r w:rsidRPr="008E7CA4">
        <w:rPr>
          <w:lang w:val="en-US"/>
        </w:rPr>
        <w:t xml:space="preserve">level forecasts for specific types of expenditures (global forecast). </w:t>
      </w:r>
    </w:p>
    <w:p w14:paraId="3933346F" w14:textId="77777777" w:rsidR="00DB44B8" w:rsidRDefault="00DB44B8" w:rsidP="00DB44B8">
      <w:pPr>
        <w:rPr>
          <w:lang w:val="en-US"/>
        </w:rPr>
      </w:pPr>
    </w:p>
    <w:p w14:paraId="7C6F59DE" w14:textId="77777777" w:rsidR="00DB44B8" w:rsidRDefault="00DB44B8" w:rsidP="00DB44B8">
      <w:pPr>
        <w:rPr>
          <w:lang w:val="en-US"/>
        </w:rPr>
      </w:pPr>
      <w:r>
        <w:rPr>
          <w:lang w:val="en-US"/>
        </w:rPr>
        <w:t>Each FCM with delegated authority is accountable for personnel forecast information maintained in SFT under their FC</w:t>
      </w:r>
      <w:r>
        <w:rPr>
          <w:rStyle w:val="FootnoteReference"/>
          <w:rFonts w:eastAsiaTheme="majorEastAsia"/>
          <w:lang w:val="en-US"/>
        </w:rPr>
        <w:footnoteReference w:id="3"/>
      </w:r>
      <w:r>
        <w:rPr>
          <w:lang w:val="en-US"/>
        </w:rPr>
        <w:t>.</w:t>
      </w:r>
    </w:p>
    <w:p w14:paraId="56D787CB" w14:textId="77777777" w:rsidR="00DB44B8" w:rsidRDefault="00DB44B8" w:rsidP="00DB44B8">
      <w:pPr>
        <w:rPr>
          <w:lang w:val="en-US"/>
        </w:rPr>
      </w:pPr>
    </w:p>
    <w:p w14:paraId="0596CDBD" w14:textId="638A1F63" w:rsidR="00E92BB6" w:rsidRDefault="00DB44B8" w:rsidP="00DB44B8">
      <w:pPr>
        <w:rPr>
          <w:lang w:val="en-US"/>
        </w:rPr>
      </w:pPr>
      <w:r>
        <w:rPr>
          <w:lang w:val="en-US"/>
        </w:rPr>
        <w:t>For detailed instructions on how to update SFT, please refer to</w:t>
      </w:r>
      <w:r w:rsidR="006242D4">
        <w:rPr>
          <w:lang w:val="en-US"/>
        </w:rPr>
        <w:t xml:space="preserve"> the</w:t>
      </w:r>
      <w:r>
        <w:rPr>
          <w:lang w:val="en-US"/>
        </w:rPr>
        <w:t xml:space="preserve"> </w:t>
      </w:r>
      <w:hyperlink r:id="rId16" w:history="1">
        <w:r w:rsidRPr="005457CB">
          <w:rPr>
            <w:rStyle w:val="Hyperlink"/>
            <w:lang w:val="en-US"/>
          </w:rPr>
          <w:t>Salary Forecasting Tool Reference Guide</w:t>
        </w:r>
      </w:hyperlink>
      <w:r w:rsidR="005C4685">
        <w:rPr>
          <w:lang w:val="en-US"/>
        </w:rPr>
        <w:t>.</w:t>
      </w:r>
    </w:p>
    <w:p w14:paraId="11E2733A" w14:textId="77777777" w:rsidR="0086617B" w:rsidRPr="00163448" w:rsidRDefault="0086617B" w:rsidP="00DB44B8">
      <w:pPr>
        <w:rPr>
          <w:lang w:val="en-US"/>
        </w:rPr>
      </w:pPr>
    </w:p>
    <w:p w14:paraId="6D145B21" w14:textId="77777777" w:rsidR="00DB44B8" w:rsidRPr="00C84485" w:rsidRDefault="00DB44B8" w:rsidP="00F6090D">
      <w:pPr>
        <w:pStyle w:val="Heading3"/>
        <w:numPr>
          <w:ilvl w:val="2"/>
          <w:numId w:val="1"/>
        </w:numPr>
        <w:rPr>
          <w:lang w:val="en-US"/>
        </w:rPr>
      </w:pPr>
      <w:bookmarkStart w:id="18" w:name="_Toc72402744"/>
      <w:r w:rsidRPr="00C84485">
        <w:rPr>
          <w:lang w:val="en-US"/>
        </w:rPr>
        <w:t>Employee Forecast</w:t>
      </w:r>
      <w:r>
        <w:rPr>
          <w:lang w:val="en-US"/>
        </w:rPr>
        <w:t>s</w:t>
      </w:r>
      <w:r w:rsidRPr="00C84485">
        <w:rPr>
          <w:lang w:val="en-US"/>
        </w:rPr>
        <w:t xml:space="preserve"> (PRI Level)</w:t>
      </w:r>
      <w:bookmarkEnd w:id="18"/>
    </w:p>
    <w:p w14:paraId="40F8DFC6" w14:textId="77777777" w:rsidR="00DB44B8" w:rsidRPr="00C84485" w:rsidRDefault="00DB44B8" w:rsidP="00DB44B8">
      <w:pPr>
        <w:rPr>
          <w:lang w:val="en-US"/>
        </w:rPr>
      </w:pPr>
    </w:p>
    <w:p w14:paraId="26AD803B" w14:textId="44E313D9" w:rsidR="00DB44B8" w:rsidRPr="00C84485" w:rsidRDefault="00DB44B8" w:rsidP="00DB44B8">
      <w:pPr>
        <w:rPr>
          <w:bCs/>
          <w:lang w:val="en-US"/>
        </w:rPr>
      </w:pPr>
      <w:r w:rsidRPr="00C84485">
        <w:rPr>
          <w:bCs/>
          <w:lang w:val="en-US"/>
        </w:rPr>
        <w:t>Employee forecast</w:t>
      </w:r>
      <w:r>
        <w:rPr>
          <w:bCs/>
          <w:lang w:val="en-US"/>
        </w:rPr>
        <w:t>s</w:t>
      </w:r>
      <w:r w:rsidRPr="00C84485">
        <w:rPr>
          <w:bCs/>
          <w:lang w:val="en-US"/>
        </w:rPr>
        <w:t xml:space="preserve"> (PRI level), refer to employees who are currently on strength in the department. </w:t>
      </w:r>
    </w:p>
    <w:p w14:paraId="691D0DFB" w14:textId="77777777" w:rsidR="00DB44B8" w:rsidRPr="00C84485" w:rsidRDefault="00DB44B8" w:rsidP="00DB44B8">
      <w:pPr>
        <w:rPr>
          <w:bCs/>
          <w:lang w:val="en-US"/>
        </w:rPr>
      </w:pPr>
    </w:p>
    <w:p w14:paraId="1AAE3904" w14:textId="29206C9B" w:rsidR="00DB44B8" w:rsidRPr="00C84485" w:rsidRDefault="00821B72" w:rsidP="00DB44B8">
      <w:r>
        <w:t>The</w:t>
      </w:r>
      <w:r w:rsidRPr="00C84485">
        <w:t xml:space="preserve"> </w:t>
      </w:r>
      <w:r w:rsidR="00DB44B8" w:rsidRPr="00C84485">
        <w:t>employee record (</w:t>
      </w:r>
      <w:r w:rsidR="00DB44B8" w:rsidRPr="00C84485">
        <w:rPr>
          <w:lang w:val="en-US"/>
        </w:rPr>
        <w:t>PRI master data)</w:t>
      </w:r>
      <w:r w:rsidR="00DB44B8" w:rsidRPr="00C84485">
        <w:t xml:space="preserve"> must </w:t>
      </w:r>
      <w:r>
        <w:t>exist</w:t>
      </w:r>
      <w:r w:rsidR="00DB44B8" w:rsidRPr="00C84485">
        <w:t xml:space="preserve"> in SFT </w:t>
      </w:r>
      <w:r w:rsidR="00DB44B8">
        <w:t>before creating</w:t>
      </w:r>
      <w:r w:rsidR="00DB44B8" w:rsidRPr="00C84485">
        <w:t xml:space="preserve"> an event record and a cost assignment. Each employee must have a personnel number </w:t>
      </w:r>
      <w:r w:rsidR="00DB44B8" w:rsidRPr="00C84485">
        <w:lastRenderedPageBreak/>
        <w:t>(PRI), a last name, a first name and a start date. SFT does not allow the creation of duplicate PRI</w:t>
      </w:r>
      <w:r w:rsidR="00DB44B8">
        <w:t>s</w:t>
      </w:r>
      <w:r w:rsidR="00DB44B8" w:rsidRPr="00C84485">
        <w:t xml:space="preserve">. </w:t>
      </w:r>
    </w:p>
    <w:p w14:paraId="28CE1856" w14:textId="77777777" w:rsidR="00DB44B8" w:rsidRPr="00C84485" w:rsidRDefault="00DB44B8" w:rsidP="00DB44B8">
      <w:pPr>
        <w:rPr>
          <w:highlight w:val="yellow"/>
        </w:rPr>
      </w:pPr>
    </w:p>
    <w:p w14:paraId="05DF4C55" w14:textId="114924D3" w:rsidR="00936B14" w:rsidRDefault="00DB44B8" w:rsidP="00DB44B8">
      <w:r w:rsidRPr="00C84485">
        <w:t>The employee</w:t>
      </w:r>
      <w:r w:rsidR="00821B72">
        <w:t>’s</w:t>
      </w:r>
      <w:r w:rsidRPr="00C84485">
        <w:t xml:space="preserve"> salary information is maintained by </w:t>
      </w:r>
      <w:r>
        <w:t>forecast event periods</w:t>
      </w:r>
      <w:r w:rsidRPr="00C84485">
        <w:t xml:space="preserve">, and employees can have multiple forecast events (i.e. staffing actions such as acting, assignment, secondment, </w:t>
      </w:r>
      <w:r w:rsidRPr="0072582C">
        <w:t xml:space="preserve">leave </w:t>
      </w:r>
      <w:r w:rsidRPr="00025D1A">
        <w:t xml:space="preserve">without pay, etc.) but </w:t>
      </w:r>
      <w:r w:rsidR="00821B72">
        <w:t xml:space="preserve">it is restricted to </w:t>
      </w:r>
      <w:r w:rsidRPr="00025D1A">
        <w:t>only</w:t>
      </w:r>
      <w:r w:rsidR="00821B72">
        <w:t xml:space="preserve"> one forecast event</w:t>
      </w:r>
      <w:r w:rsidRPr="00025D1A">
        <w:t xml:space="preserve"> by </w:t>
      </w:r>
      <w:r w:rsidRPr="00454CA7">
        <w:t xml:space="preserve">assignment period.  </w:t>
      </w:r>
    </w:p>
    <w:p w14:paraId="30DD2710" w14:textId="77777777" w:rsidR="00936B14" w:rsidRPr="0060233B" w:rsidRDefault="00936B14" w:rsidP="00DB44B8">
      <w:pPr>
        <w:rPr>
          <w:bCs/>
        </w:rPr>
      </w:pPr>
    </w:p>
    <w:p w14:paraId="59D0740C" w14:textId="3E1670EB" w:rsidR="00DB44B8" w:rsidRPr="00454CA7" w:rsidRDefault="00DB44B8" w:rsidP="00DB44B8">
      <w:r w:rsidRPr="00454CA7">
        <w:t xml:space="preserve">Employee forecasts can be created/modified in SFT using the T-Code ZZSF01. Below are links to </w:t>
      </w:r>
      <w:r w:rsidR="00BF1B20">
        <w:t xml:space="preserve">myEMS (SAP) </w:t>
      </w:r>
      <w:r w:rsidRPr="005457CB">
        <w:t>detailed procedures</w:t>
      </w:r>
      <w:r w:rsidRPr="00454CA7">
        <w:t xml:space="preserve"> for the possible actions related to an employee forecast.</w:t>
      </w:r>
    </w:p>
    <w:p w14:paraId="2D00E1E1" w14:textId="77777777" w:rsidR="00DB44B8" w:rsidRPr="00454CA7" w:rsidRDefault="00DB44B8" w:rsidP="00DB44B8"/>
    <w:p w14:paraId="40C1614B" w14:textId="7AD0FBB8" w:rsidR="00237609" w:rsidRDefault="00DB44B8" w:rsidP="00DB44B8">
      <w:r w:rsidRPr="00454CA7">
        <w:t>Also</w:t>
      </w:r>
      <w:r w:rsidR="00536F95">
        <w:t>,</w:t>
      </w:r>
      <w:r w:rsidRPr="00454CA7">
        <w:t xml:space="preserve"> note that </w:t>
      </w:r>
      <w:r w:rsidR="00BF1B20">
        <w:t xml:space="preserve">transactions generated from </w:t>
      </w:r>
      <w:r w:rsidRPr="00454CA7">
        <w:t>the pay file</w:t>
      </w:r>
      <w:r w:rsidR="00BF1B20">
        <w:t>s</w:t>
      </w:r>
      <w:r w:rsidRPr="00454CA7">
        <w:t xml:space="preserve"> received by </w:t>
      </w:r>
      <w:r w:rsidR="00BF1B20">
        <w:t>Public Service and Procurement Canada (</w:t>
      </w:r>
      <w:r w:rsidRPr="00454CA7">
        <w:t>PSPC</w:t>
      </w:r>
      <w:r w:rsidR="00BF1B20">
        <w:t>)</w:t>
      </w:r>
      <w:r w:rsidRPr="00454CA7">
        <w:t xml:space="preserve"> through</w:t>
      </w:r>
      <w:r w:rsidRPr="00025D1A">
        <w:t xml:space="preserve"> Phoenix</w:t>
      </w:r>
      <w:r w:rsidR="00BF1B20">
        <w:t xml:space="preserve"> pay system</w:t>
      </w:r>
      <w:r w:rsidRPr="00025D1A">
        <w:t xml:space="preserve"> </w:t>
      </w:r>
      <w:r w:rsidR="00BF1B20">
        <w:t>are recorded in</w:t>
      </w:r>
      <w:r w:rsidR="00237609">
        <w:t xml:space="preserve"> myEMS (SAP) based on the financial information of the employee in</w:t>
      </w:r>
      <w:r w:rsidR="00BF1B20">
        <w:t xml:space="preserve"> SFT</w:t>
      </w:r>
      <w:r w:rsidR="00237609">
        <w:t xml:space="preserve"> (i.e. t</w:t>
      </w:r>
      <w:r w:rsidRPr="00025D1A">
        <w:t>he tran</w:t>
      </w:r>
      <w:r>
        <w:t>sactions are</w:t>
      </w:r>
      <w:r w:rsidRPr="00025D1A">
        <w:t xml:space="preserve"> posted by PRI, with the financial coding assigned in the forecast events</w:t>
      </w:r>
      <w:r w:rsidR="00237609">
        <w:t>)</w:t>
      </w:r>
      <w:r w:rsidRPr="00025D1A">
        <w:t xml:space="preserve">. </w:t>
      </w:r>
    </w:p>
    <w:p w14:paraId="7A2B1382" w14:textId="77777777" w:rsidR="00237609" w:rsidRDefault="00237609" w:rsidP="00DB44B8"/>
    <w:p w14:paraId="15E62F56" w14:textId="421765FE" w:rsidR="00DB44B8" w:rsidRDefault="00BF1B20" w:rsidP="00DB44B8">
      <w:pPr>
        <w:rPr>
          <w:lang w:val="en-US"/>
        </w:rPr>
      </w:pPr>
      <w:r>
        <w:t xml:space="preserve">Because </w:t>
      </w:r>
      <w:r>
        <w:rPr>
          <w:lang w:val="en-US"/>
        </w:rPr>
        <w:t>t</w:t>
      </w:r>
      <w:r w:rsidRPr="00C84485">
        <w:rPr>
          <w:lang w:val="en-US"/>
        </w:rPr>
        <w:t>here is a direct link between the posting of the personnel expenditure</w:t>
      </w:r>
      <w:r>
        <w:rPr>
          <w:lang w:val="en-US"/>
        </w:rPr>
        <w:t>s</w:t>
      </w:r>
      <w:r w:rsidRPr="00C84485">
        <w:rPr>
          <w:lang w:val="en-US"/>
        </w:rPr>
        <w:t xml:space="preserve"> (pay) and the employee coding information in SFT</w:t>
      </w:r>
      <w:r w:rsidR="00DB44B8" w:rsidRPr="00C84485">
        <w:rPr>
          <w:lang w:val="en-US"/>
        </w:rPr>
        <w:t xml:space="preserve">, </w:t>
      </w:r>
      <w:r w:rsidR="00DB44B8" w:rsidRPr="00936B14">
        <w:rPr>
          <w:b/>
          <w:u w:val="single"/>
          <w:lang w:val="en-US"/>
        </w:rPr>
        <w:t>it is crucial that SFT be updated as soon as a staffing action is known</w:t>
      </w:r>
      <w:r>
        <w:rPr>
          <w:lang w:val="en-US"/>
        </w:rPr>
        <w:t xml:space="preserve"> and</w:t>
      </w:r>
      <w:r w:rsidR="00DB44B8">
        <w:rPr>
          <w:lang w:val="en-US"/>
        </w:rPr>
        <w:t xml:space="preserve"> not </w:t>
      </w:r>
      <w:r>
        <w:rPr>
          <w:lang w:val="en-US"/>
        </w:rPr>
        <w:t xml:space="preserve">only during </w:t>
      </w:r>
      <w:r w:rsidR="00DB44B8" w:rsidRPr="00C84485">
        <w:rPr>
          <w:lang w:val="en-US"/>
        </w:rPr>
        <w:t>forecasting periods</w:t>
      </w:r>
      <w:r>
        <w:rPr>
          <w:lang w:val="en-US"/>
        </w:rPr>
        <w:t xml:space="preserve">. </w:t>
      </w:r>
      <w:r w:rsidR="00DB44B8" w:rsidRPr="00C84485">
        <w:rPr>
          <w:lang w:val="en-US"/>
        </w:rPr>
        <w:t xml:space="preserve"> If</w:t>
      </w:r>
      <w:r w:rsidR="00DB44B8">
        <w:rPr>
          <w:lang w:val="en-US"/>
        </w:rPr>
        <w:t xml:space="preserve"> not done on time, adjustments (corrections, </w:t>
      </w:r>
      <w:r w:rsidR="00DB44B8" w:rsidRPr="00C84485">
        <w:rPr>
          <w:lang w:val="en-US"/>
        </w:rPr>
        <w:t xml:space="preserve">JVs) will be required. </w:t>
      </w:r>
    </w:p>
    <w:p w14:paraId="3AB2AB5E" w14:textId="77777777" w:rsidR="00DB44B8" w:rsidRPr="000C5C12" w:rsidRDefault="00DB44B8" w:rsidP="00DB44B8">
      <w:pPr>
        <w:rPr>
          <w:lang w:val="en-US"/>
        </w:rPr>
      </w:pPr>
      <w:r w:rsidRPr="00C84485">
        <w:rPr>
          <w:lang w:val="en-US"/>
        </w:rPr>
        <w:t xml:space="preserve"> </w:t>
      </w:r>
    </w:p>
    <w:p w14:paraId="736506AB" w14:textId="03A1615B" w:rsidR="00DB44B8" w:rsidRPr="00650A4B" w:rsidRDefault="00660AE1" w:rsidP="00DB44B8">
      <w:hyperlink r:id="rId17" w:history="1">
        <w:r w:rsidR="00BF1B20">
          <w:rPr>
            <w:rStyle w:val="Hyperlink"/>
            <w:rFonts w:cs="Arial"/>
          </w:rPr>
          <w:t>Create an Employee Forecast and Cost Assignment</w:t>
        </w:r>
      </w:hyperlink>
      <w:r w:rsidR="00DB44B8" w:rsidRPr="00650A4B">
        <w:t xml:space="preserve"> </w:t>
      </w:r>
    </w:p>
    <w:p w14:paraId="05BDBFF1" w14:textId="77777777" w:rsidR="00DB44B8" w:rsidRPr="00650A4B" w:rsidRDefault="00660AE1" w:rsidP="00DB44B8">
      <w:hyperlink r:id="rId18" w:history="1">
        <w:r w:rsidR="00DB44B8" w:rsidRPr="00650A4B">
          <w:rPr>
            <w:rStyle w:val="Hyperlink"/>
            <w:rFonts w:cs="Arial"/>
          </w:rPr>
          <w:t>Modify a Cost Assignment</w:t>
        </w:r>
      </w:hyperlink>
      <w:r w:rsidR="00DB44B8" w:rsidRPr="00650A4B">
        <w:t xml:space="preserve"> </w:t>
      </w:r>
    </w:p>
    <w:p w14:paraId="5B7930BA" w14:textId="77777777" w:rsidR="00DB44B8" w:rsidRPr="00650A4B" w:rsidRDefault="00660AE1" w:rsidP="00DB44B8">
      <w:hyperlink r:id="rId19" w:history="1">
        <w:r w:rsidR="00DB44B8" w:rsidRPr="00650A4B">
          <w:rPr>
            <w:rStyle w:val="Hyperlink"/>
            <w:rFonts w:cs="Arial"/>
          </w:rPr>
          <w:t>Delete an Employee Forecast</w:t>
        </w:r>
      </w:hyperlink>
    </w:p>
    <w:p w14:paraId="534F47E7" w14:textId="780D1C62" w:rsidR="00DB44B8" w:rsidRDefault="00660AE1" w:rsidP="00DB44B8">
      <w:hyperlink r:id="rId20" w:history="1">
        <w:r w:rsidR="00DB44B8" w:rsidRPr="00650A4B">
          <w:rPr>
            <w:rStyle w:val="Hyperlink"/>
            <w:rFonts w:cs="Arial"/>
          </w:rPr>
          <w:t>Delete a Cost Assignment</w:t>
        </w:r>
      </w:hyperlink>
      <w:r w:rsidR="00DB44B8" w:rsidRPr="00650A4B">
        <w:t xml:space="preserve"> </w:t>
      </w:r>
    </w:p>
    <w:p w14:paraId="2A06DAC2" w14:textId="77777777" w:rsidR="0086617B" w:rsidRPr="00650A4B" w:rsidRDefault="0086617B" w:rsidP="00DB44B8"/>
    <w:p w14:paraId="23865E2F" w14:textId="77777777" w:rsidR="00DB44B8" w:rsidRPr="00650A4B" w:rsidRDefault="00DB44B8" w:rsidP="00F6090D">
      <w:pPr>
        <w:pStyle w:val="Heading3"/>
        <w:numPr>
          <w:ilvl w:val="2"/>
          <w:numId w:val="1"/>
        </w:numPr>
        <w:rPr>
          <w:lang w:val="en-US"/>
        </w:rPr>
      </w:pPr>
      <w:bookmarkStart w:id="19" w:name="_Toc72402745"/>
      <w:r w:rsidRPr="00650A4B">
        <w:rPr>
          <w:lang w:val="en-US"/>
        </w:rPr>
        <w:t>Performance Pay Forecast</w:t>
      </w:r>
      <w:r>
        <w:rPr>
          <w:lang w:val="en-US"/>
        </w:rPr>
        <w:t>s</w:t>
      </w:r>
      <w:bookmarkEnd w:id="19"/>
    </w:p>
    <w:p w14:paraId="74D7EED0" w14:textId="77777777" w:rsidR="00DB44B8" w:rsidRPr="00650A4B" w:rsidRDefault="00DB44B8" w:rsidP="00DB44B8">
      <w:pPr>
        <w:rPr>
          <w:lang w:val="en-US"/>
        </w:rPr>
      </w:pPr>
    </w:p>
    <w:p w14:paraId="1AF1952E" w14:textId="7A02DF0C" w:rsidR="00DB44B8" w:rsidRDefault="00DB44B8" w:rsidP="00DB44B8">
      <w:r w:rsidRPr="00650A4B">
        <w:rPr>
          <w:lang w:val="en-US"/>
        </w:rPr>
        <w:t xml:space="preserve">As expenditures for performance pay are paid out in the following fiscal year, a </w:t>
      </w:r>
      <w:r w:rsidR="00BF1B20">
        <w:t>P</w:t>
      </w:r>
      <w:r w:rsidRPr="00650A4B">
        <w:t>ayable at year-end (</w:t>
      </w:r>
      <w:r w:rsidRPr="00650A4B">
        <w:rPr>
          <w:lang w:val="en-US"/>
        </w:rPr>
        <w:t xml:space="preserve">PAYE) </w:t>
      </w:r>
      <w:r w:rsidR="00BF1B20">
        <w:rPr>
          <w:lang w:val="en-US"/>
        </w:rPr>
        <w:t>is creat</w:t>
      </w:r>
      <w:r w:rsidRPr="00650A4B">
        <w:rPr>
          <w:lang w:val="en-US"/>
        </w:rPr>
        <w:t xml:space="preserve">ed, based on the estimated amount for this type of payment. The PAYE </w:t>
      </w:r>
      <w:r w:rsidR="00BF1B20">
        <w:rPr>
          <w:lang w:val="en-US"/>
        </w:rPr>
        <w:t>amount is determined based on the</w:t>
      </w:r>
      <w:r w:rsidRPr="00650A4B">
        <w:rPr>
          <w:lang w:val="en-US"/>
        </w:rPr>
        <w:t xml:space="preserve"> forecasted </w:t>
      </w:r>
      <w:r w:rsidR="00BF1B20">
        <w:rPr>
          <w:lang w:val="en-US"/>
        </w:rPr>
        <w:t xml:space="preserve">amount </w:t>
      </w:r>
      <w:r w:rsidRPr="00650A4B">
        <w:rPr>
          <w:lang w:val="en-US"/>
        </w:rPr>
        <w:t>in SFT in CI</w:t>
      </w:r>
      <w:r w:rsidRPr="00650A4B">
        <w:rPr>
          <w:rStyle w:val="FootnoteReference"/>
          <w:rFonts w:eastAsiaTheme="majorEastAsia"/>
          <w:lang w:val="en-US"/>
        </w:rPr>
        <w:footnoteReference w:id="4"/>
      </w:r>
      <w:r w:rsidRPr="00650A4B">
        <w:rPr>
          <w:lang w:val="en-US"/>
        </w:rPr>
        <w:t xml:space="preserve"> (FG</w:t>
      </w:r>
      <w:r w:rsidR="00BB7983">
        <w:rPr>
          <w:lang w:val="en-US"/>
        </w:rPr>
        <w:t>C</w:t>
      </w:r>
      <w:r w:rsidRPr="00650A4B">
        <w:rPr>
          <w:lang w:val="en-US"/>
        </w:rPr>
        <w:t>) 91125</w:t>
      </w:r>
      <w:r w:rsidR="00BF1B20">
        <w:rPr>
          <w:lang w:val="en-US"/>
        </w:rPr>
        <w:t>.</w:t>
      </w:r>
      <w:r w:rsidRPr="00650A4B">
        <w:rPr>
          <w:lang w:val="en-US"/>
        </w:rPr>
        <w:t xml:space="preserve"> </w:t>
      </w:r>
      <w:r w:rsidR="00BF1B20">
        <w:rPr>
          <w:lang w:val="en-US"/>
        </w:rPr>
        <w:t>T</w:t>
      </w:r>
      <w:r w:rsidRPr="00650A4B">
        <w:rPr>
          <w:lang w:val="en-US"/>
        </w:rPr>
        <w:t>herefore</w:t>
      </w:r>
      <w:r w:rsidR="00BF1B20">
        <w:rPr>
          <w:lang w:val="en-US"/>
        </w:rPr>
        <w:t>,</w:t>
      </w:r>
      <w:r w:rsidRPr="00C10B65">
        <w:rPr>
          <w:lang w:val="en-US"/>
        </w:rPr>
        <w:t xml:space="preserve"> all</w:t>
      </w:r>
      <w:r w:rsidRPr="00C10B65">
        <w:t xml:space="preserve"> a</w:t>
      </w:r>
      <w:r>
        <w:t xml:space="preserve">nticipated performance pay </w:t>
      </w:r>
      <w:r w:rsidR="00BF1B20">
        <w:t>must</w:t>
      </w:r>
      <w:r w:rsidR="00BF1B20" w:rsidRPr="00C10B65">
        <w:t xml:space="preserve"> </w:t>
      </w:r>
      <w:r w:rsidRPr="00C10B65">
        <w:t>be forecasted at the PRI level</w:t>
      </w:r>
      <w:r w:rsidRPr="00C10B65">
        <w:rPr>
          <w:lang w:val="en-US"/>
        </w:rPr>
        <w:t xml:space="preserve"> using </w:t>
      </w:r>
      <w:r>
        <w:rPr>
          <w:lang w:val="en-US"/>
        </w:rPr>
        <w:t>a One-Time Allowance</w:t>
      </w:r>
      <w:r w:rsidRPr="002F4FAE">
        <w:t>.</w:t>
      </w:r>
    </w:p>
    <w:p w14:paraId="40F4C3AD" w14:textId="77777777" w:rsidR="00DB44B8" w:rsidRDefault="00DB44B8" w:rsidP="00DB44B8"/>
    <w:p w14:paraId="0903A602" w14:textId="5C864CED" w:rsidR="00DB44B8" w:rsidRDefault="005E00DD" w:rsidP="00DB44B8">
      <w:r>
        <w:t>Generally</w:t>
      </w:r>
      <w:r w:rsidR="00DB44B8">
        <w:t>, performance pay should be paid by the department where the eligible employee is on strength on March 31 (regardless of the amount of time spent in that department), unless there is an agreement instructing differently.</w:t>
      </w:r>
    </w:p>
    <w:p w14:paraId="6C044C40" w14:textId="77777777" w:rsidR="00DB44B8" w:rsidRPr="005E00DD" w:rsidRDefault="00DB44B8" w:rsidP="00DB44B8"/>
    <w:p w14:paraId="7BEE35EC" w14:textId="77777777" w:rsidR="00DB44B8" w:rsidRPr="002F4FAE" w:rsidRDefault="00DB44B8" w:rsidP="00DB44B8">
      <w:r w:rsidRPr="002F4FAE">
        <w:t xml:space="preserve">Note that there </w:t>
      </w:r>
      <w:r>
        <w:t>is</w:t>
      </w:r>
      <w:r w:rsidRPr="002F4FAE">
        <w:t xml:space="preserve"> a substitution rule in SFT where the</w:t>
      </w:r>
      <w:r>
        <w:t xml:space="preserve"> PAYE and the</w:t>
      </w:r>
      <w:r w:rsidRPr="002F4FAE">
        <w:t xml:space="preserve"> actual payment for performance pay will not show in SFT for confidentiality/sensitivity purposes.</w:t>
      </w:r>
    </w:p>
    <w:p w14:paraId="7C97968B" w14:textId="77777777" w:rsidR="00DB44B8" w:rsidRPr="002F4FAE" w:rsidRDefault="00DB44B8" w:rsidP="00DB44B8"/>
    <w:p w14:paraId="5E773D6B" w14:textId="6F07898A" w:rsidR="00DB44B8" w:rsidRPr="00650A4B" w:rsidRDefault="00DB44B8" w:rsidP="00DB44B8">
      <w:r w:rsidRPr="00650A4B">
        <w:lastRenderedPageBreak/>
        <w:t xml:space="preserve">Below is a link to the latest </w:t>
      </w:r>
      <w:r w:rsidR="00360B04">
        <w:t>Treasury Board Secretariat (</w:t>
      </w:r>
      <w:r w:rsidRPr="00650A4B">
        <w:t>TBS</w:t>
      </w:r>
      <w:r w:rsidR="00360B04">
        <w:t>)</w:t>
      </w:r>
      <w:r w:rsidRPr="00650A4B">
        <w:t xml:space="preserve"> Performance Management Program</w:t>
      </w:r>
      <w:r w:rsidR="00360B04">
        <w:t xml:space="preserve"> (PMP) for Executives</w:t>
      </w:r>
      <w:r w:rsidRPr="00650A4B">
        <w:t xml:space="preserve">. </w:t>
      </w:r>
      <w:r w:rsidR="002B357F" w:rsidRPr="00650A4B">
        <w:t>The Office of the Chief Human Resources Officer (OCHRO) usually updates this document</w:t>
      </w:r>
      <w:r w:rsidRPr="00650A4B">
        <w:t xml:space="preserve"> in January/February of each fiscal year.</w:t>
      </w:r>
    </w:p>
    <w:p w14:paraId="1F7C1381" w14:textId="77777777" w:rsidR="00DB44B8" w:rsidRPr="00650A4B" w:rsidRDefault="00DB44B8" w:rsidP="00DB44B8"/>
    <w:p w14:paraId="76050956" w14:textId="77777777" w:rsidR="00DB44B8" w:rsidRDefault="00660AE1" w:rsidP="00DB44B8">
      <w:pPr>
        <w:rPr>
          <w:rStyle w:val="Hyperlink"/>
        </w:rPr>
      </w:pPr>
      <w:hyperlink r:id="rId21" w:history="1">
        <w:r w:rsidR="00DB44B8" w:rsidRPr="00650A4B">
          <w:rPr>
            <w:rStyle w:val="Hyperlink"/>
          </w:rPr>
          <w:t>https://www.canada.ca/en/treasury-board-secretariat/services/performance-talent-management/performance-management-program-executives.html</w:t>
        </w:r>
      </w:hyperlink>
    </w:p>
    <w:p w14:paraId="3A442167" w14:textId="77777777" w:rsidR="00DB44B8" w:rsidRDefault="00DB44B8" w:rsidP="00DB44B8">
      <w:pPr>
        <w:rPr>
          <w:rStyle w:val="Hyperlink"/>
        </w:rPr>
      </w:pPr>
    </w:p>
    <w:p w14:paraId="62C23B51" w14:textId="77777777" w:rsidR="00DB44B8" w:rsidRPr="00F87F1E" w:rsidRDefault="00DB44B8" w:rsidP="00F6090D">
      <w:pPr>
        <w:pStyle w:val="Heading3"/>
        <w:numPr>
          <w:ilvl w:val="2"/>
          <w:numId w:val="1"/>
        </w:numPr>
        <w:rPr>
          <w:lang w:val="en-US"/>
        </w:rPr>
      </w:pPr>
      <w:bookmarkStart w:id="20" w:name="_Toc72402746"/>
      <w:r w:rsidRPr="00F87F1E">
        <w:rPr>
          <w:lang w:val="en-US"/>
        </w:rPr>
        <w:t>Cash out of Vacation leave Forecasts</w:t>
      </w:r>
      <w:bookmarkEnd w:id="20"/>
    </w:p>
    <w:p w14:paraId="506A7688" w14:textId="77777777" w:rsidR="00DB44B8" w:rsidRDefault="00DB44B8" w:rsidP="00DB44B8">
      <w:pPr>
        <w:rPr>
          <w:rStyle w:val="Hyperlink"/>
        </w:rPr>
      </w:pPr>
    </w:p>
    <w:p w14:paraId="12EE3445" w14:textId="6614CBC8" w:rsidR="00360B04" w:rsidRDefault="00922FCD" w:rsidP="00DB44B8">
      <w:pPr>
        <w:rPr>
          <w:rFonts w:cs="Arial"/>
          <w:lang w:val="en-US"/>
        </w:rPr>
      </w:pPr>
      <w:r>
        <w:rPr>
          <w:rFonts w:cs="Arial"/>
          <w:lang w:val="en-US"/>
        </w:rPr>
        <w:t>Forecast</w:t>
      </w:r>
      <w:r w:rsidR="00DB44B8">
        <w:rPr>
          <w:rFonts w:cs="Arial"/>
          <w:lang w:val="en-US"/>
        </w:rPr>
        <w:t xml:space="preserve"> for cash out of vacation leave </w:t>
      </w:r>
      <w:r w:rsidR="00360B04">
        <w:rPr>
          <w:rFonts w:cs="Arial"/>
          <w:lang w:val="en-US"/>
        </w:rPr>
        <w:t xml:space="preserve">must </w:t>
      </w:r>
      <w:r w:rsidR="00DB44B8">
        <w:rPr>
          <w:rFonts w:cs="Arial"/>
          <w:lang w:val="en-US"/>
        </w:rPr>
        <w:t xml:space="preserve">be </w:t>
      </w:r>
      <w:r w:rsidR="00360B04">
        <w:rPr>
          <w:rFonts w:cs="Arial"/>
          <w:lang w:val="en-US"/>
        </w:rPr>
        <w:t>recorded</w:t>
      </w:r>
      <w:r w:rsidR="00DB44B8">
        <w:rPr>
          <w:rFonts w:cs="Arial"/>
          <w:lang w:val="en-US"/>
        </w:rPr>
        <w:t xml:space="preserve"> in SFT under One-time Allowances Forecast Group (FG) 91035 (Pay in lieu of). </w:t>
      </w:r>
      <w:r w:rsidR="00360B04">
        <w:rPr>
          <w:rFonts w:cs="Arial"/>
          <w:lang w:val="en-US"/>
        </w:rPr>
        <w:t xml:space="preserve">TBS </w:t>
      </w:r>
      <w:r w:rsidR="00360B04" w:rsidRPr="00360B04">
        <w:rPr>
          <w:rFonts w:cs="Arial"/>
          <w:lang w:val="en-US"/>
        </w:rPr>
        <w:t xml:space="preserve">has provided that vacation and compensatory leave payouts will not be automatically cashed-out in 2021, unless requested by the employee. </w:t>
      </w:r>
    </w:p>
    <w:p w14:paraId="43F2D82E" w14:textId="337DCB0B" w:rsidR="00360B04" w:rsidRPr="00650A4B" w:rsidRDefault="00360B04" w:rsidP="00DB44B8">
      <w:pPr>
        <w:rPr>
          <w:rStyle w:val="Hyperlink"/>
        </w:rPr>
      </w:pPr>
    </w:p>
    <w:p w14:paraId="29BC6D49" w14:textId="7BE3238F" w:rsidR="00DB44B8" w:rsidRPr="00650A4B" w:rsidRDefault="00DB44B8" w:rsidP="00F6090D">
      <w:pPr>
        <w:pStyle w:val="Heading3"/>
        <w:numPr>
          <w:ilvl w:val="2"/>
          <w:numId w:val="1"/>
        </w:numPr>
        <w:rPr>
          <w:lang w:val="en-US"/>
        </w:rPr>
      </w:pPr>
      <w:bookmarkStart w:id="21" w:name="_Toc72402747"/>
      <w:r w:rsidRPr="00650A4B">
        <w:rPr>
          <w:lang w:val="en-US"/>
        </w:rPr>
        <w:t>Personnel Forecast</w:t>
      </w:r>
      <w:r>
        <w:rPr>
          <w:lang w:val="en-US"/>
        </w:rPr>
        <w:t>s</w:t>
      </w:r>
      <w:r w:rsidR="00B83B83">
        <w:rPr>
          <w:lang w:val="en-US"/>
        </w:rPr>
        <w:t xml:space="preserve"> </w:t>
      </w:r>
      <w:r w:rsidR="00696CB6">
        <w:rPr>
          <w:lang w:val="en-US"/>
        </w:rPr>
        <w:t>E</w:t>
      </w:r>
      <w:r w:rsidR="00B83B83">
        <w:rPr>
          <w:lang w:val="en-US"/>
        </w:rPr>
        <w:t>xclusions</w:t>
      </w:r>
      <w:bookmarkEnd w:id="21"/>
    </w:p>
    <w:p w14:paraId="3CB964B5" w14:textId="77777777" w:rsidR="00DB44B8" w:rsidRPr="00650A4B" w:rsidRDefault="00DB44B8" w:rsidP="00DB44B8">
      <w:pPr>
        <w:rPr>
          <w:bCs/>
          <w:lang w:val="en-US"/>
        </w:rPr>
      </w:pPr>
    </w:p>
    <w:p w14:paraId="2F594FC4" w14:textId="7B924901" w:rsidR="00DB44B8" w:rsidRDefault="00696CB6" w:rsidP="00DB44B8">
      <w:pPr>
        <w:autoSpaceDE w:val="0"/>
        <w:autoSpaceDN w:val="0"/>
        <w:adjustRightInd w:val="0"/>
        <w:rPr>
          <w:rFonts w:cs="Arial"/>
          <w:lang w:val="en-US"/>
        </w:rPr>
      </w:pPr>
      <w:r>
        <w:rPr>
          <w:rFonts w:cs="Arial"/>
          <w:lang w:val="en-US"/>
        </w:rPr>
        <w:t>T</w:t>
      </w:r>
      <w:r w:rsidR="00DB44B8" w:rsidRPr="00650A4B">
        <w:rPr>
          <w:rFonts w:cs="Arial"/>
          <w:lang w:val="en-US"/>
        </w:rPr>
        <w:t xml:space="preserve">he following </w:t>
      </w:r>
      <w:r>
        <w:rPr>
          <w:rFonts w:cs="Arial"/>
          <w:lang w:val="en-US"/>
        </w:rPr>
        <w:t xml:space="preserve">personnel </w:t>
      </w:r>
      <w:r w:rsidR="00DB44B8" w:rsidRPr="00650A4B">
        <w:rPr>
          <w:rFonts w:cs="Arial"/>
          <w:lang w:val="en-US"/>
        </w:rPr>
        <w:t>cost</w:t>
      </w:r>
      <w:r>
        <w:rPr>
          <w:rFonts w:cs="Arial"/>
          <w:lang w:val="en-US"/>
        </w:rPr>
        <w:t>s must be excluded from</w:t>
      </w:r>
      <w:r w:rsidR="00DB44B8" w:rsidRPr="00650A4B">
        <w:rPr>
          <w:rFonts w:cs="Arial"/>
          <w:lang w:val="en-US"/>
        </w:rPr>
        <w:t xml:space="preserve"> personnel forecasts, as </w:t>
      </w:r>
      <w:r>
        <w:rPr>
          <w:rFonts w:cs="Arial"/>
          <w:lang w:val="en-US"/>
        </w:rPr>
        <w:t xml:space="preserve">these are </w:t>
      </w:r>
      <w:r w:rsidR="00CE498F">
        <w:rPr>
          <w:rFonts w:cs="Arial"/>
          <w:lang w:val="en-US"/>
        </w:rPr>
        <w:t>T</w:t>
      </w:r>
      <w:r w:rsidR="002B357F" w:rsidRPr="00650A4B">
        <w:rPr>
          <w:rFonts w:cs="Arial"/>
          <w:lang w:val="en-US"/>
        </w:rPr>
        <w:t>reasury Board (TB)</w:t>
      </w:r>
      <w:r w:rsidR="00CE498F">
        <w:rPr>
          <w:rFonts w:cs="Arial"/>
          <w:lang w:val="en-US"/>
        </w:rPr>
        <w:t xml:space="preserve"> liabilities</w:t>
      </w:r>
      <w:r>
        <w:rPr>
          <w:rFonts w:cs="Arial"/>
          <w:lang w:val="en-US"/>
        </w:rPr>
        <w:t>.</w:t>
      </w:r>
      <w:r w:rsidR="002B357F" w:rsidRPr="00650A4B">
        <w:rPr>
          <w:rFonts w:cs="Arial"/>
          <w:lang w:val="en-US"/>
        </w:rPr>
        <w:t xml:space="preserve"> </w:t>
      </w:r>
      <w:r>
        <w:rPr>
          <w:rFonts w:cs="Arial"/>
          <w:lang w:val="en-US"/>
        </w:rPr>
        <w:t>These</w:t>
      </w:r>
      <w:r w:rsidR="00DB44B8" w:rsidRPr="00650A4B">
        <w:rPr>
          <w:rFonts w:cs="Arial"/>
          <w:lang w:val="en-US"/>
        </w:rPr>
        <w:t xml:space="preserve"> expenditures are recorded under</w:t>
      </w:r>
      <w:r w:rsidR="00DB44B8">
        <w:rPr>
          <w:rFonts w:cs="Arial"/>
          <w:lang w:val="en-US"/>
        </w:rPr>
        <w:t xml:space="preserve"> separate funds</w:t>
      </w:r>
      <w:r>
        <w:rPr>
          <w:rFonts w:cs="Arial"/>
          <w:lang w:val="en-US"/>
        </w:rPr>
        <w:t xml:space="preserve">, as follow: </w:t>
      </w:r>
    </w:p>
    <w:p w14:paraId="6F39C562" w14:textId="77777777" w:rsidR="00696CB6" w:rsidRDefault="00DB44B8" w:rsidP="00DB44B8">
      <w:pPr>
        <w:autoSpaceDE w:val="0"/>
        <w:autoSpaceDN w:val="0"/>
        <w:adjustRightInd w:val="0"/>
        <w:rPr>
          <w:rFonts w:cs="Arial"/>
          <w:lang w:val="en-US"/>
        </w:rPr>
      </w:pPr>
      <w:r>
        <w:rPr>
          <w:rFonts w:cs="Arial"/>
          <w:lang w:val="en-US"/>
        </w:rPr>
        <w:tab/>
      </w:r>
    </w:p>
    <w:p w14:paraId="1055EE25" w14:textId="586D2BE5" w:rsidR="00DB44B8" w:rsidRPr="00650A4B" w:rsidRDefault="00DB44B8" w:rsidP="0060233B">
      <w:pPr>
        <w:autoSpaceDE w:val="0"/>
        <w:autoSpaceDN w:val="0"/>
        <w:adjustRightInd w:val="0"/>
        <w:ind w:firstLine="720"/>
        <w:rPr>
          <w:rFonts w:cs="Arial"/>
          <w:lang w:val="en-US"/>
        </w:rPr>
      </w:pPr>
      <w:r>
        <w:rPr>
          <w:rFonts w:cs="Arial"/>
          <w:lang w:val="en-US"/>
        </w:rPr>
        <w:t>Fund B099:</w:t>
      </w:r>
    </w:p>
    <w:p w14:paraId="4B9DB00C" w14:textId="77777777" w:rsidR="00DB44B8" w:rsidRPr="00A34A35" w:rsidRDefault="00DB44B8" w:rsidP="00F6090D">
      <w:pPr>
        <w:numPr>
          <w:ilvl w:val="0"/>
          <w:numId w:val="5"/>
        </w:numPr>
        <w:tabs>
          <w:tab w:val="clear" w:pos="720"/>
          <w:tab w:val="num" w:pos="1080"/>
        </w:tabs>
        <w:autoSpaceDE w:val="0"/>
        <w:autoSpaceDN w:val="0"/>
        <w:adjustRightInd w:val="0"/>
        <w:spacing w:before="60"/>
        <w:ind w:left="1077" w:hanging="357"/>
        <w:rPr>
          <w:rFonts w:cs="Arial"/>
          <w:lang w:val="en-US"/>
        </w:rPr>
      </w:pPr>
      <w:r w:rsidRPr="00650A4B">
        <w:rPr>
          <w:rFonts w:cs="Arial"/>
          <w:lang w:val="en-US"/>
        </w:rPr>
        <w:t>Maternity</w:t>
      </w:r>
      <w:r w:rsidRPr="00A34A35">
        <w:rPr>
          <w:rFonts w:cs="Arial"/>
          <w:lang w:val="en-US"/>
        </w:rPr>
        <w:t xml:space="preserve">/Parental Leave Benefits; </w:t>
      </w:r>
    </w:p>
    <w:p w14:paraId="7B779572" w14:textId="77777777" w:rsidR="00DB44B8" w:rsidRDefault="00DB44B8" w:rsidP="00F6090D">
      <w:pPr>
        <w:numPr>
          <w:ilvl w:val="0"/>
          <w:numId w:val="5"/>
        </w:numPr>
        <w:tabs>
          <w:tab w:val="clear" w:pos="720"/>
          <w:tab w:val="num" w:pos="1080"/>
        </w:tabs>
        <w:autoSpaceDE w:val="0"/>
        <w:autoSpaceDN w:val="0"/>
        <w:adjustRightInd w:val="0"/>
        <w:spacing w:before="60"/>
        <w:ind w:left="1077" w:hanging="357"/>
        <w:rPr>
          <w:rFonts w:cs="Arial"/>
          <w:lang w:val="en-US"/>
        </w:rPr>
      </w:pPr>
      <w:r>
        <w:rPr>
          <w:rFonts w:cs="Arial"/>
          <w:lang w:val="en-US"/>
        </w:rPr>
        <w:t>Entitlement upon cessation of service or employment;</w:t>
      </w:r>
    </w:p>
    <w:p w14:paraId="35AD357E" w14:textId="77777777" w:rsidR="00DB44B8" w:rsidRDefault="00DB44B8" w:rsidP="00DB44B8">
      <w:pPr>
        <w:autoSpaceDE w:val="0"/>
        <w:autoSpaceDN w:val="0"/>
        <w:adjustRightInd w:val="0"/>
        <w:spacing w:before="60"/>
        <w:ind w:firstLine="720"/>
        <w:rPr>
          <w:rFonts w:cs="Arial"/>
          <w:lang w:val="en-US"/>
        </w:rPr>
      </w:pPr>
    </w:p>
    <w:p w14:paraId="50E9FF02" w14:textId="77777777" w:rsidR="00DB44B8" w:rsidRPr="00A34A35" w:rsidRDefault="00DB44B8" w:rsidP="00DB44B8">
      <w:pPr>
        <w:autoSpaceDE w:val="0"/>
        <w:autoSpaceDN w:val="0"/>
        <w:adjustRightInd w:val="0"/>
        <w:spacing w:before="60"/>
        <w:ind w:firstLine="720"/>
        <w:rPr>
          <w:rFonts w:cs="Arial"/>
          <w:lang w:val="en-US"/>
        </w:rPr>
      </w:pPr>
      <w:r>
        <w:rPr>
          <w:rFonts w:cs="Arial"/>
          <w:lang w:val="en-US"/>
        </w:rPr>
        <w:t>Fund A140:</w:t>
      </w:r>
    </w:p>
    <w:p w14:paraId="3BE8E092" w14:textId="364DFB98" w:rsidR="00DB44B8" w:rsidRPr="00A34A35" w:rsidRDefault="00CE498F" w:rsidP="00F6090D">
      <w:pPr>
        <w:numPr>
          <w:ilvl w:val="0"/>
          <w:numId w:val="5"/>
        </w:numPr>
        <w:tabs>
          <w:tab w:val="num" w:pos="1080"/>
        </w:tabs>
        <w:autoSpaceDE w:val="0"/>
        <w:autoSpaceDN w:val="0"/>
        <w:adjustRightInd w:val="0"/>
        <w:spacing w:before="60"/>
        <w:ind w:left="1077" w:hanging="357"/>
        <w:rPr>
          <w:rFonts w:cs="Arial"/>
          <w:lang w:val="en-US"/>
        </w:rPr>
      </w:pPr>
      <w:r>
        <w:rPr>
          <w:rFonts w:cs="Arial"/>
          <w:lang w:val="en-US"/>
        </w:rPr>
        <w:t>Employee Benefit Plan (</w:t>
      </w:r>
      <w:r w:rsidR="00DB44B8" w:rsidRPr="00A34A35">
        <w:rPr>
          <w:rFonts w:cs="Arial"/>
          <w:lang w:val="en-US"/>
        </w:rPr>
        <w:t>EBP</w:t>
      </w:r>
      <w:r>
        <w:rPr>
          <w:rFonts w:cs="Arial"/>
          <w:lang w:val="en-US"/>
        </w:rPr>
        <w:t>)</w:t>
      </w:r>
      <w:r w:rsidR="00DB44B8" w:rsidRPr="00A34A35">
        <w:rPr>
          <w:rFonts w:cs="Arial"/>
          <w:lang w:val="en-US"/>
        </w:rPr>
        <w:t xml:space="preserve"> Payments.</w:t>
      </w:r>
    </w:p>
    <w:p w14:paraId="6FFC09A4" w14:textId="77777777" w:rsidR="00DB44B8" w:rsidRPr="00A34A35" w:rsidRDefault="00DB44B8" w:rsidP="00DB44B8">
      <w:pPr>
        <w:rPr>
          <w:bCs/>
          <w:lang w:val="en-US"/>
        </w:rPr>
      </w:pPr>
    </w:p>
    <w:p w14:paraId="330AD928" w14:textId="15EBE38A" w:rsidR="00DB44B8" w:rsidRDefault="00DB44B8" w:rsidP="00DB44B8">
      <w:pPr>
        <w:rPr>
          <w:bCs/>
          <w:lang w:val="en-US"/>
        </w:rPr>
      </w:pPr>
      <w:r w:rsidRPr="00A34A35">
        <w:rPr>
          <w:bCs/>
          <w:lang w:val="en-US"/>
        </w:rPr>
        <w:t xml:space="preserve">Also, all employees on </w:t>
      </w:r>
      <w:r w:rsidR="00981400">
        <w:rPr>
          <w:bCs/>
          <w:lang w:val="en-US"/>
        </w:rPr>
        <w:t>S</w:t>
      </w:r>
      <w:r w:rsidRPr="00A34A35">
        <w:rPr>
          <w:bCs/>
          <w:lang w:val="en-US"/>
        </w:rPr>
        <w:t>econdment</w:t>
      </w:r>
      <w:r w:rsidR="00981400">
        <w:rPr>
          <w:bCs/>
          <w:lang w:val="en-US"/>
        </w:rPr>
        <w:t xml:space="preserve"> O</w:t>
      </w:r>
      <w:r w:rsidRPr="00A34A35">
        <w:rPr>
          <w:bCs/>
          <w:lang w:val="en-US"/>
        </w:rPr>
        <w:t>ut</w:t>
      </w:r>
      <w:r w:rsidR="00DB2D9D">
        <w:rPr>
          <w:bCs/>
          <w:lang w:val="en-US"/>
        </w:rPr>
        <w:t xml:space="preserve"> (</w:t>
      </w:r>
      <w:r w:rsidR="00DB2D9D" w:rsidRPr="00A34A35">
        <w:rPr>
          <w:bCs/>
          <w:lang w:val="en-US"/>
        </w:rPr>
        <w:t xml:space="preserve">salary </w:t>
      </w:r>
      <w:r w:rsidR="00CE498F">
        <w:rPr>
          <w:bCs/>
          <w:lang w:val="en-US"/>
        </w:rPr>
        <w:t xml:space="preserve">identified </w:t>
      </w:r>
      <w:r w:rsidR="00DB2D9D" w:rsidRPr="00A34A35">
        <w:rPr>
          <w:bCs/>
          <w:lang w:val="en-US"/>
        </w:rPr>
        <w:t>as recoverable in SFT</w:t>
      </w:r>
      <w:r w:rsidR="00BB7983">
        <w:rPr>
          <w:bCs/>
          <w:lang w:val="en-US"/>
        </w:rPr>
        <w:t>)</w:t>
      </w:r>
      <w:r w:rsidR="00536F95">
        <w:rPr>
          <w:bCs/>
          <w:lang w:val="en-US"/>
        </w:rPr>
        <w:t xml:space="preserve"> </w:t>
      </w:r>
      <w:r w:rsidR="006F2226">
        <w:rPr>
          <w:bCs/>
          <w:lang w:val="en-US"/>
        </w:rPr>
        <w:t xml:space="preserve">and </w:t>
      </w:r>
      <w:r w:rsidR="00981400">
        <w:rPr>
          <w:bCs/>
          <w:lang w:val="en-US"/>
        </w:rPr>
        <w:t>T</w:t>
      </w:r>
      <w:r w:rsidR="006F2226">
        <w:rPr>
          <w:bCs/>
          <w:lang w:val="en-US"/>
        </w:rPr>
        <w:t>ransfer</w:t>
      </w:r>
      <w:r w:rsidR="00536F95">
        <w:rPr>
          <w:bCs/>
          <w:lang w:val="en-US"/>
        </w:rPr>
        <w:t>red</w:t>
      </w:r>
      <w:r w:rsidR="00981400">
        <w:rPr>
          <w:bCs/>
          <w:lang w:val="en-US"/>
        </w:rPr>
        <w:t xml:space="preserve"> O</w:t>
      </w:r>
      <w:r w:rsidR="006F2226">
        <w:rPr>
          <w:bCs/>
          <w:lang w:val="en-US"/>
        </w:rPr>
        <w:t xml:space="preserve">ut </w:t>
      </w:r>
      <w:r w:rsidRPr="00A34A35">
        <w:rPr>
          <w:bCs/>
          <w:lang w:val="en-US"/>
        </w:rPr>
        <w:t>are excluded from the forecast</w:t>
      </w:r>
      <w:r w:rsidR="00DB2D9D">
        <w:rPr>
          <w:bCs/>
          <w:lang w:val="en-US"/>
        </w:rPr>
        <w:t>.</w:t>
      </w:r>
      <w:r w:rsidRPr="00A34A35">
        <w:rPr>
          <w:bCs/>
          <w:lang w:val="en-US"/>
        </w:rPr>
        <w:t xml:space="preserve"> </w:t>
      </w:r>
    </w:p>
    <w:p w14:paraId="4239A1AF" w14:textId="77777777" w:rsidR="00DB44B8" w:rsidRDefault="00DB44B8" w:rsidP="00DB44B8">
      <w:pPr>
        <w:rPr>
          <w:bCs/>
          <w:lang w:val="en-US"/>
        </w:rPr>
      </w:pPr>
    </w:p>
    <w:p w14:paraId="37FC7B5C" w14:textId="10853AF9" w:rsidR="00DB44B8" w:rsidRPr="00A34A35" w:rsidRDefault="00DB44B8" w:rsidP="00DB44B8">
      <w:pPr>
        <w:rPr>
          <w:bCs/>
          <w:lang w:val="en-US"/>
        </w:rPr>
      </w:pPr>
      <w:r>
        <w:rPr>
          <w:bCs/>
          <w:lang w:val="en-US"/>
        </w:rPr>
        <w:t xml:space="preserve">Overpayments related to Pay Issues should not be included in personnel </w:t>
      </w:r>
      <w:r w:rsidR="002B357F">
        <w:rPr>
          <w:bCs/>
          <w:lang w:val="en-US"/>
        </w:rPr>
        <w:t>forecasts,</w:t>
      </w:r>
      <w:r>
        <w:rPr>
          <w:bCs/>
          <w:lang w:val="en-US"/>
        </w:rPr>
        <w:t xml:space="preserve"> as funding will be received from Treasury Board Secretariat (TBS) at year-end.</w:t>
      </w:r>
    </w:p>
    <w:p w14:paraId="6C154885" w14:textId="77777777" w:rsidR="00DB44B8" w:rsidRPr="00A34A35" w:rsidRDefault="00DB44B8" w:rsidP="00DB44B8">
      <w:pPr>
        <w:rPr>
          <w:bCs/>
          <w:lang w:val="en-US"/>
        </w:rPr>
      </w:pPr>
    </w:p>
    <w:p w14:paraId="078BF6D4" w14:textId="77777777" w:rsidR="00DB44B8" w:rsidRPr="00A34A35" w:rsidRDefault="00DB44B8" w:rsidP="00F6090D">
      <w:pPr>
        <w:pStyle w:val="Heading3"/>
        <w:numPr>
          <w:ilvl w:val="2"/>
          <w:numId w:val="1"/>
        </w:numPr>
      </w:pPr>
      <w:bookmarkStart w:id="22" w:name="_Toc72402748"/>
      <w:r w:rsidRPr="00A34A35">
        <w:t>Collective Agreement Increases</w:t>
      </w:r>
      <w:bookmarkEnd w:id="22"/>
    </w:p>
    <w:p w14:paraId="1F88D4B2" w14:textId="77777777" w:rsidR="00DB44B8" w:rsidRPr="00025D1A" w:rsidRDefault="00DB44B8" w:rsidP="00DB44B8"/>
    <w:p w14:paraId="5F54748C" w14:textId="77777777" w:rsidR="00DB44B8" w:rsidRPr="00025D1A" w:rsidRDefault="00DB44B8" w:rsidP="00DB44B8">
      <w:r w:rsidRPr="00025D1A">
        <w:t>R</w:t>
      </w:r>
      <w:r>
        <w:t>ates of pay are updated in SFT once</w:t>
      </w:r>
      <w:r w:rsidRPr="00025D1A">
        <w:t xml:space="preserve"> collective agreements are ratif</w:t>
      </w:r>
      <w:r>
        <w:t>ied and paid accordingly.</w:t>
      </w:r>
      <w:r w:rsidRPr="00025D1A">
        <w:t xml:space="preserve"> </w:t>
      </w:r>
      <w:r w:rsidRPr="00224724">
        <w:t>Additional information regarding collective bargaining forecast</w:t>
      </w:r>
      <w:r>
        <w:t>s</w:t>
      </w:r>
      <w:r w:rsidRPr="00224724">
        <w:t xml:space="preserve"> and budget</w:t>
      </w:r>
      <w:r>
        <w:t>s</w:t>
      </w:r>
      <w:r w:rsidRPr="00224724">
        <w:t xml:space="preserve"> will be shared separate</w:t>
      </w:r>
      <w:r>
        <w:t>ly as required.</w:t>
      </w:r>
    </w:p>
    <w:p w14:paraId="46080E6D" w14:textId="77777777" w:rsidR="00DB44B8" w:rsidRDefault="00DB44B8" w:rsidP="00DB44B8"/>
    <w:p w14:paraId="3E1E5732" w14:textId="77777777" w:rsidR="00DB44B8" w:rsidRPr="008C63CF" w:rsidRDefault="00DB44B8" w:rsidP="00F6090D">
      <w:pPr>
        <w:pStyle w:val="Heading3"/>
        <w:numPr>
          <w:ilvl w:val="2"/>
          <w:numId w:val="1"/>
        </w:numPr>
        <w:rPr>
          <w:lang w:val="en-US"/>
        </w:rPr>
      </w:pPr>
      <w:bookmarkStart w:id="23" w:name="_Toc72402749"/>
      <w:r w:rsidRPr="00025D1A">
        <w:rPr>
          <w:lang w:val="en-US"/>
        </w:rPr>
        <w:lastRenderedPageBreak/>
        <w:t>Planned</w:t>
      </w:r>
      <w:r w:rsidRPr="008C63CF">
        <w:rPr>
          <w:lang w:val="en-US"/>
        </w:rPr>
        <w:t xml:space="preserve"> Staffing (</w:t>
      </w:r>
      <w:r>
        <w:rPr>
          <w:lang w:val="en-US"/>
        </w:rPr>
        <w:t>Position Forecasts)</w:t>
      </w:r>
      <w:bookmarkEnd w:id="23"/>
    </w:p>
    <w:p w14:paraId="2D03ECB6" w14:textId="77777777" w:rsidR="00DB44B8" w:rsidRPr="008C63CF" w:rsidRDefault="00DB44B8" w:rsidP="00DB44B8">
      <w:pPr>
        <w:rPr>
          <w:lang w:val="en-US"/>
        </w:rPr>
      </w:pPr>
    </w:p>
    <w:p w14:paraId="0A9CC9E7" w14:textId="77777777" w:rsidR="00DB44B8" w:rsidRPr="00B3336E" w:rsidRDefault="00DB44B8" w:rsidP="00DB44B8">
      <w:pPr>
        <w:rPr>
          <w:rFonts w:eastAsia="Arial Unicode MS" w:cs="Arial"/>
          <w:lang w:val="en-US" w:eastAsia="en-US"/>
        </w:rPr>
      </w:pPr>
      <w:r w:rsidRPr="00B3336E">
        <w:rPr>
          <w:rFonts w:eastAsia="Arial Unicode MS" w:cs="Arial"/>
          <w:lang w:val="en-US" w:eastAsia="en-US"/>
        </w:rPr>
        <w:t>A forecast by position (planned staffing) should be created when there is a need to forecast for:</w:t>
      </w:r>
    </w:p>
    <w:p w14:paraId="3BFA56D8" w14:textId="77777777" w:rsidR="00DB44B8" w:rsidRPr="00B3336E" w:rsidRDefault="00DB44B8" w:rsidP="00F6090D">
      <w:pPr>
        <w:numPr>
          <w:ilvl w:val="0"/>
          <w:numId w:val="11"/>
        </w:numPr>
        <w:spacing w:before="60"/>
        <w:ind w:left="760" w:hanging="357"/>
        <w:rPr>
          <w:rFonts w:eastAsia="Arial Unicode MS" w:cs="Arial"/>
          <w:lang w:val="en-US" w:eastAsia="en-US"/>
        </w:rPr>
      </w:pPr>
      <w:r w:rsidRPr="00B3336E">
        <w:rPr>
          <w:rFonts w:eastAsia="Arial Unicode MS" w:cs="Arial"/>
          <w:lang w:val="en-US" w:eastAsia="en-US"/>
        </w:rPr>
        <w:t>Existing vacant positions;</w:t>
      </w:r>
    </w:p>
    <w:p w14:paraId="0DE27197" w14:textId="77777777" w:rsidR="00DB44B8" w:rsidRPr="00B3336E" w:rsidRDefault="00DB44B8" w:rsidP="00F6090D">
      <w:pPr>
        <w:numPr>
          <w:ilvl w:val="0"/>
          <w:numId w:val="11"/>
        </w:numPr>
        <w:spacing w:before="60"/>
        <w:ind w:left="760" w:hanging="357"/>
        <w:rPr>
          <w:rFonts w:eastAsia="Arial Unicode MS" w:cs="Arial"/>
          <w:lang w:val="en-US" w:eastAsia="en-US"/>
        </w:rPr>
      </w:pPr>
      <w:r w:rsidRPr="00B3336E">
        <w:rPr>
          <w:rFonts w:eastAsia="Arial Unicode MS" w:cs="Arial"/>
          <w:lang w:val="en-US" w:eastAsia="en-US"/>
        </w:rPr>
        <w:t>Positions that will become vacant in the future;</w:t>
      </w:r>
    </w:p>
    <w:p w14:paraId="432C6E85" w14:textId="77777777" w:rsidR="00DB44B8" w:rsidRPr="00B3336E" w:rsidRDefault="00DB44B8" w:rsidP="00F6090D">
      <w:pPr>
        <w:numPr>
          <w:ilvl w:val="0"/>
          <w:numId w:val="11"/>
        </w:numPr>
        <w:spacing w:before="60"/>
        <w:ind w:left="760" w:hanging="357"/>
        <w:rPr>
          <w:rFonts w:eastAsia="Arial Unicode MS" w:cs="Arial"/>
          <w:lang w:val="en-US" w:eastAsia="en-US"/>
        </w:rPr>
      </w:pPr>
      <w:r w:rsidRPr="00B3336E">
        <w:rPr>
          <w:rFonts w:eastAsia="Arial Unicode MS" w:cs="Arial"/>
          <w:lang w:val="en-US" w:eastAsia="en-US"/>
        </w:rPr>
        <w:t>Newly created positions;</w:t>
      </w:r>
    </w:p>
    <w:p w14:paraId="1A98B4CB" w14:textId="77777777" w:rsidR="00DB44B8" w:rsidRDefault="00DB44B8" w:rsidP="00F6090D">
      <w:pPr>
        <w:numPr>
          <w:ilvl w:val="0"/>
          <w:numId w:val="11"/>
        </w:numPr>
        <w:spacing w:before="60"/>
        <w:ind w:left="760" w:hanging="357"/>
        <w:rPr>
          <w:rFonts w:eastAsia="Arial Unicode MS" w:cs="Arial"/>
          <w:lang w:val="en-US" w:eastAsia="en-US"/>
        </w:rPr>
      </w:pPr>
      <w:r w:rsidRPr="00B3336E">
        <w:rPr>
          <w:rFonts w:eastAsia="Arial Unicode MS" w:cs="Arial"/>
          <w:lang w:val="en-US" w:eastAsia="en-US"/>
        </w:rPr>
        <w:t xml:space="preserve">An employee for whom the PRI is not yet available in SFT </w:t>
      </w:r>
      <w:r w:rsidRPr="004F6F33">
        <w:rPr>
          <w:rFonts w:eastAsia="Arial Unicode MS" w:cs="Arial"/>
          <w:u w:val="single"/>
          <w:lang w:val="en-US" w:eastAsia="en-US"/>
        </w:rPr>
        <w:t>(</w:t>
      </w:r>
      <w:r w:rsidRPr="004F6F33">
        <w:rPr>
          <w:rFonts w:eastAsia="Arial Unicode MS" w:cs="Arial"/>
          <w:b/>
          <w:u w:val="single"/>
          <w:lang w:val="en-US" w:eastAsia="en-US"/>
        </w:rPr>
        <w:t>N</w:t>
      </w:r>
      <w:r w:rsidRPr="00613A63">
        <w:rPr>
          <w:rFonts w:eastAsia="Arial Unicode MS" w:cs="Arial"/>
          <w:b/>
          <w:u w:val="single"/>
          <w:lang w:val="en-US" w:eastAsia="en-US"/>
        </w:rPr>
        <w:t xml:space="preserve">ote that as soon as the PRI is available in SFT, the planned staffing needs to be deleted accordingly to avoid a duplicate forecast for the same </w:t>
      </w:r>
      <w:r w:rsidRPr="004F6F33">
        <w:rPr>
          <w:rFonts w:eastAsia="Arial Unicode MS" w:cs="Arial"/>
          <w:b/>
          <w:u w:val="single"/>
          <w:lang w:val="en-US" w:eastAsia="en-US"/>
        </w:rPr>
        <w:t>employee).</w:t>
      </w:r>
      <w:r w:rsidRPr="00B3336E">
        <w:rPr>
          <w:rFonts w:eastAsia="Arial Unicode MS" w:cs="Arial"/>
          <w:lang w:val="en-US" w:eastAsia="en-US"/>
        </w:rPr>
        <w:t xml:space="preserve"> </w:t>
      </w:r>
    </w:p>
    <w:p w14:paraId="6F5C865E" w14:textId="77777777" w:rsidR="00DB44B8" w:rsidRDefault="00DB44B8" w:rsidP="00DB44B8">
      <w:pPr>
        <w:rPr>
          <w:rFonts w:eastAsia="Arial Unicode MS" w:cs="Arial"/>
          <w:lang w:val="en-US" w:eastAsia="en-US"/>
        </w:rPr>
      </w:pPr>
    </w:p>
    <w:p w14:paraId="4B9BADF2" w14:textId="65C23EE1" w:rsidR="00DB44B8" w:rsidRDefault="002B357F" w:rsidP="00DB44B8">
      <w:pPr>
        <w:rPr>
          <w:rFonts w:eastAsia="Arial Unicode MS" w:cs="Arial"/>
          <w:lang w:val="en-US" w:eastAsia="en-US"/>
        </w:rPr>
      </w:pPr>
      <w:r w:rsidRPr="00302DB4">
        <w:rPr>
          <w:rFonts w:eastAsia="Arial Unicode MS" w:cs="Arial"/>
          <w:lang w:val="en-US" w:eastAsia="en-US"/>
        </w:rPr>
        <w:t>Generally</w:t>
      </w:r>
      <w:r w:rsidR="00DB44B8" w:rsidRPr="00302DB4">
        <w:rPr>
          <w:rFonts w:eastAsia="Arial Unicode MS" w:cs="Arial"/>
          <w:lang w:val="en-US" w:eastAsia="en-US"/>
        </w:rPr>
        <w:t>, for the first three cases listed above, a planned staffing forecast should only be created when the employe</w:t>
      </w:r>
      <w:r w:rsidR="00DB44B8">
        <w:rPr>
          <w:rFonts w:eastAsia="Arial Unicode MS" w:cs="Arial"/>
          <w:lang w:val="en-US" w:eastAsia="en-US"/>
        </w:rPr>
        <w:t>e that will fill the position</w:t>
      </w:r>
      <w:r w:rsidR="00DB44B8" w:rsidRPr="00302DB4">
        <w:rPr>
          <w:rFonts w:eastAsia="Arial Unicode MS" w:cs="Arial"/>
          <w:lang w:val="en-US" w:eastAsia="en-US"/>
        </w:rPr>
        <w:t xml:space="preserve"> is unknown.</w:t>
      </w:r>
      <w:r w:rsidR="00DB44B8">
        <w:rPr>
          <w:rFonts w:eastAsia="Arial Unicode MS" w:cs="Arial"/>
          <w:lang w:val="en-US" w:eastAsia="en-US"/>
        </w:rPr>
        <w:t xml:space="preserve"> </w:t>
      </w:r>
      <w:r w:rsidR="00DB44B8" w:rsidRPr="004B53FB">
        <w:rPr>
          <w:rFonts w:eastAsia="Arial Unicode MS" w:cs="Arial"/>
          <w:lang w:val="en-US" w:eastAsia="en-US"/>
        </w:rPr>
        <w:t xml:space="preserve">If the employee that </w:t>
      </w:r>
      <w:r w:rsidR="00DB44B8">
        <w:rPr>
          <w:rFonts w:eastAsia="Arial Unicode MS" w:cs="Arial"/>
          <w:lang w:val="en-US" w:eastAsia="en-US"/>
        </w:rPr>
        <w:t>fill</w:t>
      </w:r>
      <w:r w:rsidR="001C0D33">
        <w:rPr>
          <w:rFonts w:eastAsia="Arial Unicode MS" w:cs="Arial"/>
          <w:lang w:val="en-US" w:eastAsia="en-US"/>
        </w:rPr>
        <w:t>s</w:t>
      </w:r>
      <w:r w:rsidR="00DB44B8">
        <w:rPr>
          <w:rFonts w:eastAsia="Arial Unicode MS" w:cs="Arial"/>
          <w:lang w:val="en-US" w:eastAsia="en-US"/>
        </w:rPr>
        <w:t xml:space="preserve"> the position is internal to the department and exists in SFT, </w:t>
      </w:r>
      <w:r w:rsidR="00DB44B8" w:rsidRPr="004B53FB">
        <w:rPr>
          <w:rFonts w:eastAsia="Arial Unicode MS" w:cs="Arial"/>
          <w:lang w:val="en-US" w:eastAsia="en-US"/>
        </w:rPr>
        <w:t>the forecast should be entered directly in that employee’s forecast by adding an event</w:t>
      </w:r>
      <w:r w:rsidR="00DB44B8">
        <w:rPr>
          <w:rFonts w:eastAsia="Arial Unicode MS" w:cs="Arial"/>
          <w:lang w:val="en-US" w:eastAsia="en-US"/>
        </w:rPr>
        <w:t>.</w:t>
      </w:r>
    </w:p>
    <w:p w14:paraId="45D449CF" w14:textId="77777777" w:rsidR="00E24643" w:rsidRDefault="00E24643" w:rsidP="00DB44B8">
      <w:pPr>
        <w:rPr>
          <w:rFonts w:eastAsia="Arial Unicode MS" w:cs="Arial"/>
          <w:lang w:val="en-US" w:eastAsia="en-US"/>
        </w:rPr>
      </w:pPr>
    </w:p>
    <w:p w14:paraId="2E6D0909" w14:textId="19C4025F" w:rsidR="00DB44B8" w:rsidRDefault="00DB44B8" w:rsidP="00DB44B8">
      <w:pPr>
        <w:rPr>
          <w:rFonts w:eastAsia="Arial Unicode MS" w:cs="Arial"/>
          <w:lang w:val="en-US" w:eastAsia="en-US"/>
        </w:rPr>
      </w:pPr>
      <w:r w:rsidRPr="00B3336E">
        <w:rPr>
          <w:rFonts w:eastAsia="Arial Unicode MS" w:cs="Arial"/>
          <w:lang w:val="en-US" w:eastAsia="en-US"/>
        </w:rPr>
        <w:t xml:space="preserve">As previously mentioned, </w:t>
      </w:r>
      <w:r w:rsidRPr="00613A63">
        <w:rPr>
          <w:rFonts w:eastAsia="Arial Unicode MS" w:cs="Arial"/>
          <w:b/>
          <w:u w:val="single"/>
          <w:lang w:val="en-US" w:eastAsia="en-US"/>
        </w:rPr>
        <w:t xml:space="preserve">it is crucial that SFT is updated as soon as staffing actions are known and that start dates are reviewed on a regular basis to have </w:t>
      </w:r>
      <w:r w:rsidR="002B357F" w:rsidRPr="00613A63">
        <w:rPr>
          <w:rFonts w:eastAsia="Arial Unicode MS" w:cs="Arial"/>
          <w:b/>
          <w:u w:val="single"/>
          <w:lang w:val="en-US" w:eastAsia="en-US"/>
        </w:rPr>
        <w:t>forecasts that are more realistic</w:t>
      </w:r>
      <w:r>
        <w:rPr>
          <w:rFonts w:eastAsia="Arial Unicode MS" w:cs="Arial"/>
          <w:lang w:val="en-US" w:eastAsia="en-US"/>
        </w:rPr>
        <w:t xml:space="preserve">. These updates </w:t>
      </w:r>
      <w:r w:rsidR="00140740">
        <w:rPr>
          <w:rFonts w:eastAsia="Arial Unicode MS" w:cs="Arial"/>
          <w:lang w:val="en-US" w:eastAsia="en-US"/>
        </w:rPr>
        <w:t xml:space="preserve">must </w:t>
      </w:r>
      <w:r>
        <w:rPr>
          <w:rFonts w:eastAsia="Arial Unicode MS" w:cs="Arial"/>
          <w:lang w:val="en-US" w:eastAsia="en-US"/>
        </w:rPr>
        <w:t xml:space="preserve">be done </w:t>
      </w:r>
      <w:r w:rsidR="00140740">
        <w:rPr>
          <w:rFonts w:eastAsia="Arial Unicode MS" w:cs="Arial"/>
          <w:lang w:val="en-US" w:eastAsia="en-US"/>
        </w:rPr>
        <w:t xml:space="preserve">on an ongoing basis </w:t>
      </w:r>
      <w:r>
        <w:rPr>
          <w:rFonts w:eastAsia="Arial Unicode MS" w:cs="Arial"/>
          <w:lang w:val="en-US" w:eastAsia="en-US"/>
        </w:rPr>
        <w:t xml:space="preserve">and not </w:t>
      </w:r>
      <w:r w:rsidR="00140740">
        <w:rPr>
          <w:rFonts w:eastAsia="Arial Unicode MS" w:cs="Arial"/>
          <w:lang w:val="en-US" w:eastAsia="en-US"/>
        </w:rPr>
        <w:t>only during</w:t>
      </w:r>
      <w:r>
        <w:rPr>
          <w:rFonts w:eastAsia="Arial Unicode MS" w:cs="Arial"/>
          <w:lang w:val="en-US" w:eastAsia="en-US"/>
        </w:rPr>
        <w:t xml:space="preserve"> forecasting periods</w:t>
      </w:r>
      <w:r w:rsidRPr="00B3336E">
        <w:rPr>
          <w:rFonts w:eastAsia="Arial Unicode MS" w:cs="Arial"/>
          <w:lang w:val="en-US" w:eastAsia="en-US"/>
        </w:rPr>
        <w:t xml:space="preserve">. This avoids having duplicates in SFT (i.e. forecast by position and forecast by employee </w:t>
      </w:r>
      <w:r>
        <w:rPr>
          <w:rFonts w:eastAsia="Arial Unicode MS" w:cs="Arial"/>
          <w:lang w:val="en-US" w:eastAsia="en-US"/>
        </w:rPr>
        <w:t>for the same person).</w:t>
      </w:r>
    </w:p>
    <w:p w14:paraId="28007C3B" w14:textId="77777777" w:rsidR="00DB44B8" w:rsidRPr="00B3336E" w:rsidRDefault="00DB44B8" w:rsidP="00DB44B8">
      <w:pPr>
        <w:rPr>
          <w:rFonts w:eastAsia="Arial Unicode MS" w:cs="Arial"/>
          <w:lang w:val="en-US" w:eastAsia="en-US"/>
        </w:rPr>
      </w:pPr>
    </w:p>
    <w:p w14:paraId="35AAB4BB" w14:textId="77777777" w:rsidR="00DB44B8" w:rsidRDefault="00DB44B8" w:rsidP="00DB44B8">
      <w:pPr>
        <w:rPr>
          <w:rFonts w:eastAsia="Arial Unicode MS" w:cs="Arial"/>
          <w:lang w:val="en-US" w:eastAsia="en-US"/>
        </w:rPr>
      </w:pPr>
      <w:r w:rsidRPr="00B3336E">
        <w:rPr>
          <w:rFonts w:eastAsia="Arial Unicode MS" w:cs="Arial"/>
          <w:lang w:val="en-US" w:eastAsia="en-US"/>
        </w:rPr>
        <w:t>Position forecasts are amortized on a monthly basis, i.e. forecasts will decrease on a prorated basis over the course of the yea</w:t>
      </w:r>
      <w:r>
        <w:rPr>
          <w:rFonts w:eastAsia="Arial Unicode MS" w:cs="Arial"/>
          <w:lang w:val="en-US" w:eastAsia="en-US"/>
        </w:rPr>
        <w:t>r if plans do not materialize.</w:t>
      </w:r>
    </w:p>
    <w:p w14:paraId="70E446D8" w14:textId="77777777" w:rsidR="00DB44B8" w:rsidRDefault="00DB44B8" w:rsidP="00DB44B8">
      <w:pPr>
        <w:rPr>
          <w:rFonts w:eastAsia="Arial Unicode MS" w:cs="Arial"/>
          <w:lang w:val="en-US" w:eastAsia="en-US"/>
        </w:rPr>
      </w:pPr>
    </w:p>
    <w:p w14:paraId="007EAF4E" w14:textId="0E70D94F" w:rsidR="00DB44B8" w:rsidRDefault="00DB44B8" w:rsidP="00DB44B8">
      <w:pPr>
        <w:rPr>
          <w:rFonts w:eastAsia="Arial Unicode MS" w:cs="Arial"/>
          <w:lang w:val="en-US" w:eastAsia="en-US"/>
        </w:rPr>
      </w:pPr>
      <w:r w:rsidRPr="00B3336E">
        <w:rPr>
          <w:rFonts w:eastAsia="Arial Unicode MS" w:cs="Arial"/>
          <w:lang w:val="en-US" w:eastAsia="en-US"/>
        </w:rPr>
        <w:t xml:space="preserve">Planned positions (unclassified) are created when the FCM determined that additional positions, that have not yet been created, are required in his/her organization. Classified positions have to go through the </w:t>
      </w:r>
      <w:r w:rsidR="00140740">
        <w:rPr>
          <w:rFonts w:eastAsia="Arial Unicode MS" w:cs="Arial"/>
          <w:lang w:val="en-US" w:eastAsia="en-US"/>
        </w:rPr>
        <w:t>H</w:t>
      </w:r>
      <w:r w:rsidRPr="00B3336E">
        <w:rPr>
          <w:rFonts w:eastAsia="Arial Unicode MS" w:cs="Arial"/>
          <w:lang w:val="en-US" w:eastAsia="en-US"/>
        </w:rPr>
        <w:t xml:space="preserve">uman </w:t>
      </w:r>
      <w:r w:rsidR="00140740">
        <w:rPr>
          <w:rFonts w:eastAsia="Arial Unicode MS" w:cs="Arial"/>
          <w:lang w:val="en-US" w:eastAsia="en-US"/>
        </w:rPr>
        <w:t>R</w:t>
      </w:r>
      <w:r w:rsidRPr="00B3336E">
        <w:rPr>
          <w:rFonts w:eastAsia="Arial Unicode MS" w:cs="Arial"/>
          <w:lang w:val="en-US" w:eastAsia="en-US"/>
        </w:rPr>
        <w:t>esource</w:t>
      </w:r>
      <w:r w:rsidR="00140740">
        <w:rPr>
          <w:rFonts w:eastAsia="Arial Unicode MS" w:cs="Arial"/>
          <w:lang w:val="en-US" w:eastAsia="en-US"/>
        </w:rPr>
        <w:t>s</w:t>
      </w:r>
      <w:r w:rsidRPr="00B3336E">
        <w:rPr>
          <w:rFonts w:eastAsia="Arial Unicode MS" w:cs="Arial"/>
          <w:lang w:val="en-US" w:eastAsia="en-US"/>
        </w:rPr>
        <w:t xml:space="preserve"> </w:t>
      </w:r>
      <w:r w:rsidR="00140740">
        <w:rPr>
          <w:rFonts w:eastAsia="Arial Unicode MS" w:cs="Arial"/>
          <w:lang w:val="en-US" w:eastAsia="en-US"/>
        </w:rPr>
        <w:t xml:space="preserve">(HR) </w:t>
      </w:r>
      <w:r w:rsidRPr="00B3336E">
        <w:rPr>
          <w:rFonts w:eastAsia="Arial Unicode MS" w:cs="Arial"/>
          <w:lang w:val="en-US" w:eastAsia="en-US"/>
        </w:rPr>
        <w:t>process, independently from SFT. FCM</w:t>
      </w:r>
      <w:r>
        <w:rPr>
          <w:rFonts w:eastAsia="Arial Unicode MS" w:cs="Arial"/>
          <w:lang w:val="en-US" w:eastAsia="en-US"/>
        </w:rPr>
        <w:t>s</w:t>
      </w:r>
      <w:r w:rsidRPr="00B3336E">
        <w:rPr>
          <w:rFonts w:eastAsia="Arial Unicode MS" w:cs="Arial"/>
          <w:lang w:val="en-US" w:eastAsia="en-US"/>
        </w:rPr>
        <w:t xml:space="preserve"> will </w:t>
      </w:r>
      <w:r w:rsidR="00981400">
        <w:rPr>
          <w:rFonts w:eastAsia="Arial Unicode MS" w:cs="Arial"/>
          <w:lang w:val="en-US" w:eastAsia="en-US"/>
        </w:rPr>
        <w:t xml:space="preserve">also </w:t>
      </w:r>
      <w:r>
        <w:rPr>
          <w:rFonts w:eastAsia="Arial Unicode MS" w:cs="Arial"/>
          <w:lang w:val="en-US" w:eastAsia="en-US"/>
        </w:rPr>
        <w:t>need</w:t>
      </w:r>
      <w:r w:rsidRPr="00B3336E">
        <w:rPr>
          <w:rFonts w:eastAsia="Arial Unicode MS" w:cs="Arial"/>
          <w:lang w:val="en-US" w:eastAsia="en-US"/>
        </w:rPr>
        <w:t xml:space="preserve"> to complete the </w:t>
      </w:r>
      <w:r w:rsidR="00981400">
        <w:rPr>
          <w:rFonts w:eastAsia="Arial Unicode MS" w:cs="Arial"/>
          <w:lang w:val="en-US" w:eastAsia="en-US"/>
        </w:rPr>
        <w:t>HR documentation required to support the staffing request</w:t>
      </w:r>
      <w:r w:rsidRPr="00B3336E">
        <w:rPr>
          <w:rFonts w:eastAsia="Arial Unicode MS" w:cs="Arial"/>
          <w:lang w:val="en-US" w:eastAsia="en-US"/>
        </w:rPr>
        <w:t xml:space="preserve"> (i.e. forms, justifications, etc.).</w:t>
      </w:r>
    </w:p>
    <w:p w14:paraId="200B286E" w14:textId="77777777" w:rsidR="004F6F33" w:rsidRDefault="004F6F33" w:rsidP="00DB44B8">
      <w:pPr>
        <w:rPr>
          <w:rFonts w:eastAsia="Arial Unicode MS" w:cs="Arial"/>
          <w:lang w:val="en-US" w:eastAsia="en-US"/>
        </w:rPr>
      </w:pPr>
    </w:p>
    <w:p w14:paraId="1717E6EE" w14:textId="77777777" w:rsidR="00DB44B8" w:rsidRDefault="00DB44B8" w:rsidP="00DB44B8">
      <w:pPr>
        <w:rPr>
          <w:rFonts w:eastAsia="Arial Unicode MS" w:cs="Arial"/>
          <w:lang w:val="en-US" w:eastAsia="en-US"/>
        </w:rPr>
      </w:pPr>
      <w:r>
        <w:rPr>
          <w:rFonts w:eastAsia="Arial Unicode MS" w:cs="Arial"/>
          <w:lang w:val="en-US" w:eastAsia="en-US"/>
        </w:rPr>
        <w:t>A</w:t>
      </w:r>
      <w:r w:rsidRPr="00B3336E">
        <w:rPr>
          <w:rFonts w:eastAsia="Arial Unicode MS" w:cs="Arial"/>
          <w:lang w:val="en-US" w:eastAsia="en-US"/>
        </w:rPr>
        <w:t xml:space="preserve"> planned staffing forecast should be created for the following staffing actions</w:t>
      </w:r>
      <w:r>
        <w:rPr>
          <w:rFonts w:eastAsia="Arial Unicode MS" w:cs="Arial"/>
          <w:lang w:val="en-US" w:eastAsia="en-US"/>
        </w:rPr>
        <w:t xml:space="preserve"> only</w:t>
      </w:r>
      <w:r w:rsidRPr="00B3336E">
        <w:rPr>
          <w:rFonts w:eastAsia="Arial Unicode MS" w:cs="Arial"/>
          <w:lang w:val="en-US" w:eastAsia="en-US"/>
        </w:rPr>
        <w:t>:</w:t>
      </w:r>
    </w:p>
    <w:p w14:paraId="0B02F6A8" w14:textId="49C4EF13" w:rsidR="00DB44B8" w:rsidRPr="00B3336E" w:rsidRDefault="00DB44B8" w:rsidP="00DB44B8">
      <w:pPr>
        <w:spacing w:before="80"/>
        <w:rPr>
          <w:rFonts w:eastAsia="Arial Unicode MS" w:cs="Arial"/>
          <w:lang w:val="en-US" w:eastAsia="en-US"/>
        </w:rPr>
      </w:pPr>
    </w:p>
    <w:p w14:paraId="0BBD40DF" w14:textId="77777777" w:rsidR="00DB44B8" w:rsidRPr="00B3336E" w:rsidRDefault="00DB44B8" w:rsidP="00F6090D">
      <w:pPr>
        <w:numPr>
          <w:ilvl w:val="0"/>
          <w:numId w:val="13"/>
        </w:numPr>
        <w:ind w:left="538" w:hanging="357"/>
        <w:rPr>
          <w:rFonts w:eastAsia="Arial Unicode MS" w:cs="Arial"/>
          <w:lang w:val="en-US" w:eastAsia="en-US"/>
        </w:rPr>
      </w:pPr>
      <w:r w:rsidRPr="00B3336E">
        <w:rPr>
          <w:rFonts w:eastAsia="Arial Unicode MS" w:cs="Arial"/>
          <w:lang w:val="en-US" w:eastAsia="en-US"/>
        </w:rPr>
        <w:t>Acting for more than four months (if the person is unknown);</w:t>
      </w:r>
    </w:p>
    <w:p w14:paraId="766E5ED2" w14:textId="77777777" w:rsidR="00DB44B8" w:rsidRPr="00B3336E" w:rsidRDefault="00DB44B8" w:rsidP="00F6090D">
      <w:pPr>
        <w:numPr>
          <w:ilvl w:val="0"/>
          <w:numId w:val="12"/>
        </w:numPr>
        <w:spacing w:before="60"/>
        <w:ind w:left="538" w:hanging="357"/>
        <w:rPr>
          <w:rFonts w:eastAsia="Arial Unicode MS" w:cs="Arial"/>
          <w:lang w:val="en-US" w:eastAsia="en-US"/>
        </w:rPr>
      </w:pPr>
      <w:r w:rsidRPr="00B3336E">
        <w:rPr>
          <w:rFonts w:eastAsia="Arial Unicode MS" w:cs="Arial"/>
          <w:lang w:val="en-US" w:eastAsia="en-US"/>
        </w:rPr>
        <w:t>Appointment (Indeterminate and Term);</w:t>
      </w:r>
    </w:p>
    <w:p w14:paraId="0338A281" w14:textId="77777777" w:rsidR="00DB44B8" w:rsidRPr="00B3336E" w:rsidRDefault="00DB44B8" w:rsidP="00F6090D">
      <w:pPr>
        <w:numPr>
          <w:ilvl w:val="0"/>
          <w:numId w:val="12"/>
        </w:numPr>
        <w:spacing w:before="60"/>
        <w:ind w:left="538" w:hanging="357"/>
        <w:rPr>
          <w:rFonts w:eastAsia="Arial Unicode MS" w:cs="Arial"/>
          <w:lang w:val="en-US" w:eastAsia="en-US"/>
        </w:rPr>
      </w:pPr>
      <w:r w:rsidRPr="00B3336E">
        <w:rPr>
          <w:rFonts w:eastAsia="Arial Unicode MS" w:cs="Arial"/>
          <w:lang w:val="en-US" w:eastAsia="en-US"/>
        </w:rPr>
        <w:t>Deployment;</w:t>
      </w:r>
    </w:p>
    <w:p w14:paraId="2EBEE2A4" w14:textId="77777777" w:rsidR="00DB44B8" w:rsidRPr="00B3336E" w:rsidRDefault="00DB44B8" w:rsidP="00F6090D">
      <w:pPr>
        <w:numPr>
          <w:ilvl w:val="0"/>
          <w:numId w:val="12"/>
        </w:numPr>
        <w:spacing w:before="60"/>
        <w:ind w:left="538" w:hanging="357"/>
        <w:rPr>
          <w:rFonts w:eastAsia="Arial Unicode MS" w:cs="Arial"/>
          <w:lang w:val="en-US" w:eastAsia="en-US"/>
        </w:rPr>
      </w:pPr>
      <w:r w:rsidRPr="00B3336E">
        <w:rPr>
          <w:rFonts w:eastAsia="Arial Unicode MS" w:cs="Arial"/>
          <w:lang w:val="en-US" w:eastAsia="en-US"/>
        </w:rPr>
        <w:t>Secondment In (from OGD);</w:t>
      </w:r>
    </w:p>
    <w:p w14:paraId="6C0974C3" w14:textId="77777777" w:rsidR="00DB44B8" w:rsidRPr="00B3336E" w:rsidRDefault="00DB44B8" w:rsidP="00F6090D">
      <w:pPr>
        <w:numPr>
          <w:ilvl w:val="0"/>
          <w:numId w:val="12"/>
        </w:numPr>
        <w:spacing w:before="60"/>
        <w:ind w:left="538" w:hanging="357"/>
        <w:rPr>
          <w:rFonts w:eastAsia="Arial Unicode MS" w:cs="Arial"/>
          <w:lang w:val="en-US" w:eastAsia="en-US"/>
        </w:rPr>
      </w:pPr>
      <w:r w:rsidRPr="00B3336E">
        <w:rPr>
          <w:rFonts w:eastAsia="Arial Unicode MS" w:cs="Arial"/>
          <w:lang w:val="en-US" w:eastAsia="en-US"/>
        </w:rPr>
        <w:t>Casual Employment;</w:t>
      </w:r>
    </w:p>
    <w:p w14:paraId="41D13CC0" w14:textId="77777777" w:rsidR="00DB44B8" w:rsidRPr="00B3336E" w:rsidRDefault="00DB44B8" w:rsidP="00F6090D">
      <w:pPr>
        <w:numPr>
          <w:ilvl w:val="0"/>
          <w:numId w:val="12"/>
        </w:numPr>
        <w:spacing w:before="60"/>
        <w:ind w:left="538" w:hanging="357"/>
        <w:rPr>
          <w:rFonts w:eastAsia="Arial Unicode MS" w:cs="Arial"/>
          <w:lang w:val="en-US" w:eastAsia="en-US"/>
        </w:rPr>
      </w:pPr>
      <w:r w:rsidRPr="00B3336E">
        <w:rPr>
          <w:rFonts w:eastAsia="Arial Unicode MS" w:cs="Arial"/>
          <w:lang w:val="en-US" w:eastAsia="en-US"/>
        </w:rPr>
        <w:t>Student Employment;</w:t>
      </w:r>
    </w:p>
    <w:p w14:paraId="13145869" w14:textId="77777777" w:rsidR="00DB44B8" w:rsidRPr="00025D1A" w:rsidRDefault="00DB44B8" w:rsidP="00F6090D">
      <w:pPr>
        <w:numPr>
          <w:ilvl w:val="0"/>
          <w:numId w:val="12"/>
        </w:numPr>
        <w:spacing w:before="60"/>
        <w:ind w:left="538" w:hanging="357"/>
        <w:rPr>
          <w:rFonts w:eastAsia="Arial Unicode MS" w:cs="Arial"/>
          <w:lang w:val="en-US" w:eastAsia="en-US"/>
        </w:rPr>
      </w:pPr>
      <w:r w:rsidRPr="00025D1A">
        <w:rPr>
          <w:rFonts w:eastAsia="Arial Unicode MS" w:cs="Arial"/>
          <w:lang w:val="en-US" w:eastAsia="en-US"/>
        </w:rPr>
        <w:t>Part-time Worker.</w:t>
      </w:r>
    </w:p>
    <w:p w14:paraId="0E9072A3" w14:textId="77777777" w:rsidR="00DB44B8" w:rsidRPr="00025D1A" w:rsidRDefault="00DB44B8" w:rsidP="00DB44B8">
      <w:pPr>
        <w:rPr>
          <w:bCs/>
          <w:lang w:val="en-US"/>
        </w:rPr>
      </w:pPr>
    </w:p>
    <w:p w14:paraId="568A9D6C" w14:textId="07AD8AE1" w:rsidR="00DB44B8" w:rsidRPr="00637ECF" w:rsidRDefault="00DB44B8" w:rsidP="00DB44B8">
      <w:pPr>
        <w:spacing w:before="120" w:after="120"/>
        <w:rPr>
          <w:rFonts w:ascii="Calibri" w:eastAsia="Arial Unicode MS" w:hAnsi="Calibri" w:cs="Arial"/>
          <w:lang w:val="en-US" w:eastAsia="en-US"/>
        </w:rPr>
      </w:pPr>
      <w:r w:rsidRPr="00025D1A">
        <w:rPr>
          <w:bCs/>
          <w:lang w:val="en-US"/>
        </w:rPr>
        <w:lastRenderedPageBreak/>
        <w:t>It is mandatory to identify</w:t>
      </w:r>
      <w:r w:rsidR="00981400">
        <w:rPr>
          <w:bCs/>
          <w:lang w:val="en-US"/>
        </w:rPr>
        <w:t>,</w:t>
      </w:r>
      <w:r w:rsidRPr="00025D1A">
        <w:rPr>
          <w:bCs/>
          <w:lang w:val="en-US"/>
        </w:rPr>
        <w:t xml:space="preserve"> for each planned staffing</w:t>
      </w:r>
      <w:r>
        <w:rPr>
          <w:bCs/>
          <w:lang w:val="en-US"/>
        </w:rPr>
        <w:t>,</w:t>
      </w:r>
      <w:r w:rsidRPr="00025D1A">
        <w:rPr>
          <w:bCs/>
          <w:lang w:val="en-US"/>
        </w:rPr>
        <w:t xml:space="preserve"> the Planned Staffing Type Code</w:t>
      </w:r>
      <w:r w:rsidR="00AA3B3D">
        <w:rPr>
          <w:bCs/>
          <w:lang w:val="en-US"/>
        </w:rPr>
        <w:t xml:space="preserve"> (see Annex</w:t>
      </w:r>
      <w:r w:rsidR="00547EBC">
        <w:rPr>
          <w:bCs/>
          <w:lang w:val="en-US"/>
        </w:rPr>
        <w:t xml:space="preserve"> B)</w:t>
      </w:r>
      <w:r w:rsidRPr="00025D1A">
        <w:rPr>
          <w:bCs/>
          <w:lang w:val="en-US"/>
        </w:rPr>
        <w:t xml:space="preserve"> which </w:t>
      </w:r>
      <w:r w:rsidR="0048090B">
        <w:rPr>
          <w:bCs/>
          <w:lang w:val="en-US"/>
        </w:rPr>
        <w:t>determine</w:t>
      </w:r>
      <w:r w:rsidR="0048090B" w:rsidRPr="00025D1A">
        <w:rPr>
          <w:bCs/>
          <w:lang w:val="en-US"/>
        </w:rPr>
        <w:t xml:space="preserve">s </w:t>
      </w:r>
      <w:r w:rsidRPr="00025D1A">
        <w:rPr>
          <w:bCs/>
          <w:lang w:val="en-US"/>
        </w:rPr>
        <w:t xml:space="preserve">whether the planned staffing is internal or external; and the Anticipated Staffing Action to the best of the manager’s knowledge at the time of the creation of the planned staffing. </w:t>
      </w:r>
      <w:r w:rsidR="00981400">
        <w:rPr>
          <w:b/>
          <w:bCs/>
          <w:u w:val="single"/>
          <w:lang w:val="en-US"/>
        </w:rPr>
        <w:t>Since</w:t>
      </w:r>
      <w:r w:rsidR="00981400" w:rsidRPr="00A6375D">
        <w:rPr>
          <w:b/>
          <w:bCs/>
          <w:u w:val="single"/>
          <w:lang w:val="en-US"/>
        </w:rPr>
        <w:t xml:space="preserve"> </w:t>
      </w:r>
      <w:r w:rsidRPr="00A6375D">
        <w:rPr>
          <w:b/>
          <w:bCs/>
          <w:u w:val="single"/>
          <w:lang w:val="en-US"/>
        </w:rPr>
        <w:t xml:space="preserve">planned </w:t>
      </w:r>
      <w:r w:rsidR="002B357F" w:rsidRPr="00A6375D">
        <w:rPr>
          <w:b/>
          <w:bCs/>
          <w:u w:val="single"/>
          <w:lang w:val="en-US"/>
        </w:rPr>
        <w:t>staffing</w:t>
      </w:r>
      <w:r w:rsidRPr="00A6375D">
        <w:rPr>
          <w:b/>
          <w:bCs/>
          <w:u w:val="single"/>
          <w:lang w:val="en-US"/>
        </w:rPr>
        <w:t xml:space="preserve"> identified as “Internal to branch/region” </w:t>
      </w:r>
      <w:r w:rsidR="002B357F">
        <w:rPr>
          <w:b/>
          <w:bCs/>
          <w:u w:val="single"/>
          <w:lang w:val="en-US"/>
        </w:rPr>
        <w:t>is</w:t>
      </w:r>
      <w:r w:rsidRPr="00A6375D">
        <w:rPr>
          <w:b/>
          <w:bCs/>
          <w:u w:val="single"/>
          <w:lang w:val="en-US"/>
        </w:rPr>
        <w:t xml:space="preserve"> not automatically excluded from forecasts, an adjustment must be </w:t>
      </w:r>
      <w:r w:rsidR="00981400">
        <w:rPr>
          <w:rFonts w:cs="Arial"/>
          <w:b/>
          <w:bCs/>
          <w:u w:val="single"/>
          <w:lang w:val="en-US"/>
        </w:rPr>
        <w:t>recorded in FMBB</w:t>
      </w:r>
      <w:r w:rsidRPr="00A6375D">
        <w:rPr>
          <w:rFonts w:cs="Arial"/>
          <w:b/>
          <w:bCs/>
          <w:u w:val="single"/>
          <w:lang w:val="en-US"/>
        </w:rPr>
        <w:t xml:space="preserve"> (using budget type (FAPS))</w:t>
      </w:r>
      <w:r w:rsidR="00981400">
        <w:rPr>
          <w:rFonts w:cs="Arial"/>
          <w:b/>
          <w:bCs/>
          <w:u w:val="single"/>
          <w:lang w:val="en-US"/>
        </w:rPr>
        <w:t xml:space="preserve"> </w:t>
      </w:r>
      <w:r w:rsidR="00981400" w:rsidRPr="00A6375D">
        <w:rPr>
          <w:b/>
          <w:bCs/>
          <w:u w:val="single"/>
          <w:lang w:val="en-US"/>
        </w:rPr>
        <w:t>when consolidating t</w:t>
      </w:r>
      <w:r w:rsidR="00981400">
        <w:rPr>
          <w:b/>
          <w:bCs/>
          <w:u w:val="single"/>
          <w:lang w:val="en-US"/>
        </w:rPr>
        <w:t xml:space="preserve">he forecast at the branch level, </w:t>
      </w:r>
      <w:r w:rsidRPr="00A6375D">
        <w:rPr>
          <w:rFonts w:cs="Arial"/>
          <w:b/>
          <w:bCs/>
          <w:u w:val="single"/>
          <w:lang w:val="en-US"/>
        </w:rPr>
        <w:t>to reduce the overall branch/region forecast and to ensure that the effect of this planned staffing is nil.</w:t>
      </w:r>
      <w:r w:rsidRPr="00025D1A">
        <w:rPr>
          <w:rFonts w:cs="Arial"/>
          <w:bCs/>
          <w:lang w:val="en-US"/>
        </w:rPr>
        <w:t xml:space="preserve"> </w:t>
      </w:r>
      <w:r w:rsidRPr="00025D1A">
        <w:rPr>
          <w:rFonts w:eastAsia="Arial Unicode MS" w:cs="Arial"/>
          <w:lang w:val="en-US" w:eastAsia="en-US"/>
        </w:rPr>
        <w:t xml:space="preserve">Note that FMBB adjustments must </w:t>
      </w:r>
      <w:r w:rsidRPr="00637ECF">
        <w:rPr>
          <w:rFonts w:eastAsia="Arial Unicode MS" w:cs="Arial"/>
          <w:lang w:val="en-US" w:eastAsia="en-US"/>
        </w:rPr>
        <w:t>be properly identified using the appropriate Planned Staffing Type code (i.e. INT BR/DG; INT DEP/MIN; INT PS/FP; EXT PS/FP; PRI/CIDP).</w:t>
      </w:r>
    </w:p>
    <w:p w14:paraId="1EC619A5" w14:textId="77777777" w:rsidR="00DB44B8" w:rsidRPr="00637ECF" w:rsidRDefault="00DB44B8" w:rsidP="00DB44B8">
      <w:pPr>
        <w:rPr>
          <w:bCs/>
          <w:lang w:val="en-US"/>
        </w:rPr>
      </w:pPr>
    </w:p>
    <w:p w14:paraId="30D28783" w14:textId="469D62D6" w:rsidR="00DB44B8" w:rsidRPr="00637ECF" w:rsidRDefault="00DB44B8" w:rsidP="00DB44B8">
      <w:r w:rsidRPr="00637ECF">
        <w:t xml:space="preserve">Below are </w:t>
      </w:r>
      <w:r w:rsidR="003A1587">
        <w:t xml:space="preserve">links </w:t>
      </w:r>
      <w:r w:rsidR="003A1587" w:rsidRPr="00454CA7">
        <w:t xml:space="preserve">to </w:t>
      </w:r>
      <w:r w:rsidR="003A1587">
        <w:t xml:space="preserve">myEMS (SAP) </w:t>
      </w:r>
      <w:r w:rsidR="003A1587" w:rsidRPr="005457CB">
        <w:t>detailed procedures</w:t>
      </w:r>
      <w:r w:rsidR="003A1587" w:rsidRPr="00454CA7">
        <w:t xml:space="preserve"> </w:t>
      </w:r>
      <w:r w:rsidRPr="00637ECF">
        <w:t>for the possible actions</w:t>
      </w:r>
      <w:r w:rsidR="002F39C0">
        <w:t xml:space="preserve"> related to a position forecast:</w:t>
      </w:r>
    </w:p>
    <w:p w14:paraId="17A58BC0" w14:textId="77777777" w:rsidR="00DB44B8" w:rsidRPr="00637ECF" w:rsidRDefault="00DB44B8" w:rsidP="00DB44B8"/>
    <w:p w14:paraId="44EF1273" w14:textId="77777777" w:rsidR="00DB44B8" w:rsidRPr="00637ECF" w:rsidRDefault="00660AE1" w:rsidP="00DB44B8">
      <w:hyperlink r:id="rId22" w:history="1">
        <w:r w:rsidR="00DB44B8" w:rsidRPr="00637ECF">
          <w:rPr>
            <w:rStyle w:val="Hyperlink"/>
            <w:rFonts w:cs="Arial"/>
          </w:rPr>
          <w:t>Create a Position Number</w:t>
        </w:r>
      </w:hyperlink>
    </w:p>
    <w:p w14:paraId="22A3AD7B" w14:textId="77777777" w:rsidR="00DB44B8" w:rsidRPr="00637ECF" w:rsidRDefault="00660AE1" w:rsidP="00DB44B8">
      <w:hyperlink r:id="rId23" w:history="1">
        <w:r w:rsidR="00DB44B8" w:rsidRPr="00637ECF">
          <w:rPr>
            <w:rStyle w:val="Hyperlink"/>
            <w:rFonts w:cs="Arial"/>
          </w:rPr>
          <w:t>Modify a Position Number</w:t>
        </w:r>
      </w:hyperlink>
    </w:p>
    <w:p w14:paraId="7C430A24" w14:textId="66CC7097" w:rsidR="00DB44B8" w:rsidRPr="00637ECF" w:rsidRDefault="00660AE1" w:rsidP="00DB44B8">
      <w:hyperlink r:id="rId24" w:history="1">
        <w:r w:rsidR="00DB44B8" w:rsidRPr="00637ECF">
          <w:rPr>
            <w:rStyle w:val="Hyperlink"/>
            <w:rFonts w:cs="Arial"/>
          </w:rPr>
          <w:t xml:space="preserve">Create </w:t>
        </w:r>
        <w:r w:rsidR="00981400">
          <w:rPr>
            <w:rStyle w:val="Hyperlink"/>
            <w:rFonts w:cs="Arial"/>
          </w:rPr>
          <w:t xml:space="preserve">Planned Staffing </w:t>
        </w:r>
        <w:r w:rsidR="00DB44B8" w:rsidRPr="00637ECF">
          <w:rPr>
            <w:rStyle w:val="Hyperlink"/>
            <w:rFonts w:cs="Arial"/>
          </w:rPr>
          <w:t>Forecast</w:t>
        </w:r>
      </w:hyperlink>
      <w:r w:rsidR="00DB44B8" w:rsidRPr="00637ECF">
        <w:t xml:space="preserve"> </w:t>
      </w:r>
    </w:p>
    <w:p w14:paraId="32E90BB4" w14:textId="7523493D" w:rsidR="00DB44B8" w:rsidRPr="00637ECF" w:rsidRDefault="00660AE1" w:rsidP="00DB44B8">
      <w:hyperlink r:id="rId25" w:history="1">
        <w:r w:rsidR="00DB44B8" w:rsidRPr="00637ECF">
          <w:rPr>
            <w:rStyle w:val="Hyperlink"/>
            <w:rFonts w:cs="Arial"/>
          </w:rPr>
          <w:t xml:space="preserve">Modify </w:t>
        </w:r>
        <w:r w:rsidR="00981400">
          <w:rPr>
            <w:rStyle w:val="Hyperlink"/>
            <w:rFonts w:cs="Arial"/>
          </w:rPr>
          <w:t>Planned Staffing Fo</w:t>
        </w:r>
        <w:r w:rsidR="00DB44B8" w:rsidRPr="00637ECF">
          <w:rPr>
            <w:rStyle w:val="Hyperlink"/>
            <w:rFonts w:cs="Arial"/>
          </w:rPr>
          <w:t>recast</w:t>
        </w:r>
      </w:hyperlink>
    </w:p>
    <w:p w14:paraId="3172BF59" w14:textId="39649788" w:rsidR="00DB44B8" w:rsidRPr="00637ECF" w:rsidRDefault="00660AE1" w:rsidP="00DB44B8">
      <w:pPr>
        <w:rPr>
          <w:rStyle w:val="Hyperlink"/>
          <w:rFonts w:cs="Arial"/>
        </w:rPr>
      </w:pPr>
      <w:hyperlink r:id="rId26" w:history="1">
        <w:r w:rsidR="00DB44B8" w:rsidRPr="00637ECF">
          <w:rPr>
            <w:rStyle w:val="Hyperlink"/>
            <w:rFonts w:cs="Arial"/>
          </w:rPr>
          <w:t xml:space="preserve">Delete </w:t>
        </w:r>
        <w:r w:rsidR="00981400">
          <w:rPr>
            <w:rStyle w:val="Hyperlink"/>
            <w:rFonts w:cs="Arial"/>
          </w:rPr>
          <w:t>Planned Staffing</w:t>
        </w:r>
        <w:r w:rsidR="00DB44B8" w:rsidRPr="00637ECF">
          <w:rPr>
            <w:rStyle w:val="Hyperlink"/>
            <w:rFonts w:cs="Arial"/>
          </w:rPr>
          <w:t xml:space="preserve"> Forecast</w:t>
        </w:r>
      </w:hyperlink>
    </w:p>
    <w:p w14:paraId="1A2393B3" w14:textId="77777777" w:rsidR="00DB44B8" w:rsidRPr="00637ECF" w:rsidRDefault="00DB44B8" w:rsidP="00DB44B8">
      <w:pPr>
        <w:rPr>
          <w:rStyle w:val="Hyperlink"/>
          <w:rFonts w:cs="Arial"/>
        </w:rPr>
      </w:pPr>
    </w:p>
    <w:p w14:paraId="61E5EFC0" w14:textId="77777777" w:rsidR="00DB44B8" w:rsidRPr="00637ECF" w:rsidRDefault="00DB44B8" w:rsidP="00F6090D">
      <w:pPr>
        <w:pStyle w:val="Heading3"/>
        <w:numPr>
          <w:ilvl w:val="2"/>
          <w:numId w:val="1"/>
        </w:numPr>
        <w:rPr>
          <w:lang w:val="en-US"/>
        </w:rPr>
      </w:pPr>
      <w:bookmarkStart w:id="24" w:name="_Toc72402750"/>
      <w:r w:rsidRPr="00637ECF">
        <w:rPr>
          <w:lang w:val="en-US"/>
        </w:rPr>
        <w:t>Global Forecasts</w:t>
      </w:r>
      <w:bookmarkEnd w:id="24"/>
    </w:p>
    <w:p w14:paraId="4D2B7BA8" w14:textId="77777777" w:rsidR="00DB44B8" w:rsidRPr="00637ECF" w:rsidRDefault="00DB44B8" w:rsidP="00DB44B8">
      <w:pPr>
        <w:rPr>
          <w:bCs/>
          <w:lang w:val="en-US"/>
        </w:rPr>
      </w:pPr>
    </w:p>
    <w:p w14:paraId="1833ACE2" w14:textId="77777777" w:rsidR="00DB44B8" w:rsidRPr="00637ECF" w:rsidRDefault="00DB44B8" w:rsidP="00DB44B8">
      <w:pPr>
        <w:rPr>
          <w:bCs/>
          <w:lang w:val="en-US"/>
        </w:rPr>
      </w:pPr>
      <w:r w:rsidRPr="00637ECF">
        <w:rPr>
          <w:bCs/>
          <w:lang w:val="en-US"/>
        </w:rPr>
        <w:t>Global forecasts (high level forecast) are used for specific types of expenditures that are paid to employees but forecasted at a higher level (FC</w:t>
      </w:r>
      <w:r w:rsidRPr="00637ECF">
        <w:rPr>
          <w:rStyle w:val="FootnoteReference"/>
          <w:rFonts w:eastAsiaTheme="majorEastAsia"/>
          <w:bCs/>
          <w:lang w:val="en-US"/>
        </w:rPr>
        <w:footnoteReference w:id="5"/>
      </w:r>
      <w:r w:rsidRPr="00637ECF">
        <w:rPr>
          <w:bCs/>
          <w:lang w:val="en-US"/>
        </w:rPr>
        <w:t xml:space="preserve"> level as opposed to PRI level). This should only be used for the following types of expenditures:  </w:t>
      </w:r>
    </w:p>
    <w:p w14:paraId="117C0D35" w14:textId="77777777" w:rsidR="00DB44B8" w:rsidRPr="00637ECF" w:rsidRDefault="00DB44B8" w:rsidP="00F6090D">
      <w:pPr>
        <w:pStyle w:val="ListParagraph"/>
        <w:numPr>
          <w:ilvl w:val="0"/>
          <w:numId w:val="8"/>
        </w:numPr>
        <w:spacing w:before="60"/>
        <w:ind w:left="714" w:hanging="357"/>
        <w:contextualSpacing w:val="0"/>
        <w:rPr>
          <w:bCs/>
          <w:lang w:val="en-US"/>
        </w:rPr>
      </w:pPr>
      <w:r w:rsidRPr="00637ECF">
        <w:rPr>
          <w:bCs/>
          <w:lang w:val="en-US"/>
        </w:rPr>
        <w:t>Overtime (CI 91115)</w:t>
      </w:r>
    </w:p>
    <w:p w14:paraId="5F135915" w14:textId="77777777" w:rsidR="00DB44B8" w:rsidRPr="00637ECF" w:rsidRDefault="00DB44B8" w:rsidP="00F6090D">
      <w:pPr>
        <w:pStyle w:val="ListParagraph"/>
        <w:numPr>
          <w:ilvl w:val="0"/>
          <w:numId w:val="8"/>
        </w:numPr>
        <w:spacing w:before="60"/>
        <w:ind w:left="714" w:hanging="357"/>
        <w:contextualSpacing w:val="0"/>
        <w:rPr>
          <w:bCs/>
          <w:lang w:val="en-US"/>
        </w:rPr>
      </w:pPr>
      <w:r w:rsidRPr="00637ECF">
        <w:rPr>
          <w:bCs/>
          <w:lang w:val="en-US"/>
        </w:rPr>
        <w:t>Retroactive Pay (CI 91140)</w:t>
      </w:r>
    </w:p>
    <w:p w14:paraId="044D68A1" w14:textId="77777777" w:rsidR="00DB44B8" w:rsidRPr="002D6FF8" w:rsidRDefault="00DB44B8" w:rsidP="00F6090D">
      <w:pPr>
        <w:pStyle w:val="ListParagraph"/>
        <w:numPr>
          <w:ilvl w:val="0"/>
          <w:numId w:val="8"/>
        </w:numPr>
        <w:spacing w:before="60"/>
        <w:ind w:left="714" w:hanging="357"/>
        <w:contextualSpacing w:val="0"/>
        <w:rPr>
          <w:bCs/>
          <w:lang w:val="en-US"/>
        </w:rPr>
      </w:pPr>
      <w:r w:rsidRPr="002D6FF8">
        <w:rPr>
          <w:bCs/>
          <w:lang w:val="en-US"/>
        </w:rPr>
        <w:t>Separation &amp; Term (incl. WFA) (</w:t>
      </w:r>
      <w:r>
        <w:rPr>
          <w:bCs/>
          <w:lang w:val="en-US"/>
        </w:rPr>
        <w:t>CI</w:t>
      </w:r>
      <w:r w:rsidRPr="002D6FF8">
        <w:rPr>
          <w:bCs/>
          <w:lang w:val="en-US"/>
        </w:rPr>
        <w:t xml:space="preserve"> 91145)</w:t>
      </w:r>
    </w:p>
    <w:p w14:paraId="28B38E7B" w14:textId="77777777" w:rsidR="00DB44B8" w:rsidRPr="002D6FF8" w:rsidRDefault="00DB44B8" w:rsidP="00F6090D">
      <w:pPr>
        <w:pStyle w:val="ListParagraph"/>
        <w:numPr>
          <w:ilvl w:val="0"/>
          <w:numId w:val="8"/>
        </w:numPr>
        <w:spacing w:before="60"/>
        <w:ind w:left="714" w:hanging="357"/>
        <w:contextualSpacing w:val="0"/>
        <w:rPr>
          <w:bCs/>
          <w:lang w:val="en-US"/>
        </w:rPr>
      </w:pPr>
      <w:r w:rsidRPr="002D6FF8">
        <w:rPr>
          <w:bCs/>
          <w:lang w:val="en-US"/>
        </w:rPr>
        <w:t>Minister’s Car Allowance (</w:t>
      </w:r>
      <w:r>
        <w:rPr>
          <w:bCs/>
          <w:lang w:val="en-US"/>
        </w:rPr>
        <w:t>CI</w:t>
      </w:r>
      <w:r w:rsidRPr="002D6FF8">
        <w:rPr>
          <w:bCs/>
          <w:lang w:val="en-US"/>
        </w:rPr>
        <w:t xml:space="preserve"> 91160)</w:t>
      </w:r>
    </w:p>
    <w:p w14:paraId="0B6DBBAF" w14:textId="77777777" w:rsidR="00DB44B8" w:rsidRPr="002D6FF8" w:rsidRDefault="00DB44B8" w:rsidP="00F6090D">
      <w:pPr>
        <w:pStyle w:val="ListParagraph"/>
        <w:numPr>
          <w:ilvl w:val="0"/>
          <w:numId w:val="8"/>
        </w:numPr>
        <w:spacing w:before="60"/>
        <w:ind w:left="714" w:hanging="357"/>
        <w:contextualSpacing w:val="0"/>
        <w:rPr>
          <w:bCs/>
          <w:lang w:val="en-US"/>
        </w:rPr>
      </w:pPr>
      <w:r w:rsidRPr="002D6FF8">
        <w:rPr>
          <w:bCs/>
          <w:lang w:val="en-US"/>
        </w:rPr>
        <w:t>Pride &amp; Recognition (</w:t>
      </w:r>
      <w:r>
        <w:rPr>
          <w:bCs/>
          <w:lang w:val="en-US"/>
        </w:rPr>
        <w:t>CI</w:t>
      </w:r>
      <w:r w:rsidRPr="002D6FF8">
        <w:rPr>
          <w:bCs/>
          <w:lang w:val="en-US"/>
        </w:rPr>
        <w:t xml:space="preserve"> 91165)</w:t>
      </w:r>
    </w:p>
    <w:p w14:paraId="0BC5E87E" w14:textId="77777777" w:rsidR="00DB44B8" w:rsidRPr="002D6FF8" w:rsidRDefault="00DB44B8" w:rsidP="00F6090D">
      <w:pPr>
        <w:pStyle w:val="ListParagraph"/>
        <w:numPr>
          <w:ilvl w:val="0"/>
          <w:numId w:val="8"/>
        </w:numPr>
        <w:spacing w:before="60"/>
        <w:ind w:left="714" w:hanging="357"/>
        <w:contextualSpacing w:val="0"/>
        <w:rPr>
          <w:bCs/>
          <w:lang w:val="en-US"/>
        </w:rPr>
      </w:pPr>
      <w:r w:rsidRPr="002D6FF8">
        <w:rPr>
          <w:bCs/>
          <w:lang w:val="en-US"/>
        </w:rPr>
        <w:t>Other Personnel (</w:t>
      </w:r>
      <w:r>
        <w:rPr>
          <w:bCs/>
          <w:lang w:val="en-US"/>
        </w:rPr>
        <w:t>CI</w:t>
      </w:r>
      <w:r w:rsidRPr="002D6FF8">
        <w:rPr>
          <w:bCs/>
          <w:lang w:val="en-US"/>
        </w:rPr>
        <w:t xml:space="preserve"> 91110) </w:t>
      </w:r>
      <w:r w:rsidRPr="002D6FF8">
        <w:rPr>
          <w:bCs/>
        </w:rPr>
        <w:t xml:space="preserve">(see Annex </w:t>
      </w:r>
      <w:r w:rsidR="00AE517F">
        <w:rPr>
          <w:bCs/>
        </w:rPr>
        <w:t>C</w:t>
      </w:r>
      <w:r w:rsidRPr="002D6FF8">
        <w:rPr>
          <w:bCs/>
        </w:rPr>
        <w:t xml:space="preserve"> for detailed GL accounts)</w:t>
      </w:r>
    </w:p>
    <w:p w14:paraId="4274DAED" w14:textId="77777777" w:rsidR="00DB44B8" w:rsidRPr="002D6FF8" w:rsidRDefault="00DB44B8" w:rsidP="00F6090D">
      <w:pPr>
        <w:pStyle w:val="ListParagraph"/>
        <w:numPr>
          <w:ilvl w:val="0"/>
          <w:numId w:val="8"/>
        </w:numPr>
        <w:spacing w:before="60"/>
        <w:ind w:left="714" w:hanging="357"/>
        <w:contextualSpacing w:val="0"/>
        <w:rPr>
          <w:bCs/>
          <w:lang w:val="en-US"/>
        </w:rPr>
      </w:pPr>
      <w:r w:rsidRPr="002D6FF8">
        <w:rPr>
          <w:bCs/>
          <w:lang w:val="en-US"/>
        </w:rPr>
        <w:t>Transition Pay (</w:t>
      </w:r>
      <w:r>
        <w:rPr>
          <w:bCs/>
          <w:lang w:val="en-US"/>
        </w:rPr>
        <w:t>CI</w:t>
      </w:r>
      <w:r w:rsidRPr="002D6FF8">
        <w:rPr>
          <w:bCs/>
          <w:lang w:val="en-US"/>
        </w:rPr>
        <w:t xml:space="preserve"> 91003)</w:t>
      </w:r>
    </w:p>
    <w:p w14:paraId="17FF95EF" w14:textId="77777777" w:rsidR="00DB44B8" w:rsidRPr="002D6FF8" w:rsidRDefault="00DB44B8" w:rsidP="00DB44B8">
      <w:pPr>
        <w:rPr>
          <w:bCs/>
        </w:rPr>
      </w:pPr>
    </w:p>
    <w:p w14:paraId="4327B183" w14:textId="77777777" w:rsidR="00DB44B8" w:rsidRPr="002D6FF8" w:rsidRDefault="00DB44B8" w:rsidP="00DB44B8">
      <w:pPr>
        <w:rPr>
          <w:bCs/>
          <w:lang w:val="en-US"/>
        </w:rPr>
      </w:pPr>
      <w:r w:rsidRPr="002D6FF8">
        <w:rPr>
          <w:bCs/>
          <w:lang w:val="en-US"/>
        </w:rPr>
        <w:t>In addition, the CI</w:t>
      </w:r>
      <w:r>
        <w:rPr>
          <w:bCs/>
          <w:lang w:val="en-US"/>
        </w:rPr>
        <w:t xml:space="preserve"> (FGC)</w:t>
      </w:r>
      <w:r w:rsidRPr="002D6FF8">
        <w:rPr>
          <w:bCs/>
          <w:lang w:val="en-US"/>
        </w:rPr>
        <w:t xml:space="preserve"> 91112</w:t>
      </w:r>
      <w:r w:rsidRPr="00482829">
        <w:rPr>
          <w:bCs/>
          <w:lang w:val="en-US"/>
        </w:rPr>
        <w:t xml:space="preserve"> Other</w:t>
      </w:r>
      <w:r>
        <w:rPr>
          <w:bCs/>
          <w:lang w:val="en-US"/>
        </w:rPr>
        <w:t xml:space="preserve"> Personnel Non-</w:t>
      </w:r>
      <w:r w:rsidRPr="002C3BF0">
        <w:rPr>
          <w:bCs/>
          <w:lang w:val="en-US"/>
        </w:rPr>
        <w:t xml:space="preserve">PRI </w:t>
      </w:r>
      <w:r w:rsidRPr="000B352C">
        <w:rPr>
          <w:bCs/>
          <w:lang w:val="en-US"/>
        </w:rPr>
        <w:t>Specific costs can</w:t>
      </w:r>
      <w:r w:rsidRPr="002C3BF0">
        <w:rPr>
          <w:bCs/>
          <w:lang w:val="en-US"/>
        </w:rPr>
        <w:t xml:space="preserve"> be used to forecast </w:t>
      </w:r>
      <w:r w:rsidRPr="002D6FF8">
        <w:rPr>
          <w:bCs/>
          <w:lang w:val="en-US"/>
        </w:rPr>
        <w:t>specific types of expenditures (i.e. specific</w:t>
      </w:r>
      <w:r>
        <w:rPr>
          <w:bCs/>
          <w:lang w:val="en-US"/>
        </w:rPr>
        <w:t xml:space="preserve"> GL accounts listed in Annex </w:t>
      </w:r>
      <w:r w:rsidR="00AE517F">
        <w:rPr>
          <w:bCs/>
          <w:lang w:val="en-US"/>
        </w:rPr>
        <w:t>C</w:t>
      </w:r>
      <w:r w:rsidRPr="002D6FF8">
        <w:rPr>
          <w:bCs/>
          <w:lang w:val="en-US"/>
        </w:rPr>
        <w:t>) that are not currently being posted in SFT. This type of forecast should be done through an adjustment in FMBB and commitments should be done manually.</w:t>
      </w:r>
    </w:p>
    <w:p w14:paraId="64D1D790" w14:textId="77777777" w:rsidR="00DB44B8" w:rsidRPr="00163448" w:rsidRDefault="00DB44B8" w:rsidP="00DB44B8">
      <w:pPr>
        <w:rPr>
          <w:bCs/>
          <w:lang w:val="en-US"/>
        </w:rPr>
      </w:pPr>
    </w:p>
    <w:p w14:paraId="61479B82" w14:textId="77777777" w:rsidR="00DB44B8" w:rsidRPr="002C3BF0" w:rsidRDefault="00DB44B8" w:rsidP="00DB44B8">
      <w:pPr>
        <w:rPr>
          <w:bCs/>
          <w:lang w:val="en-US"/>
        </w:rPr>
      </w:pPr>
      <w:r w:rsidRPr="002D6FF8">
        <w:rPr>
          <w:bCs/>
          <w:lang w:val="en-US"/>
        </w:rPr>
        <w:t>Global forecast</w:t>
      </w:r>
      <w:r>
        <w:rPr>
          <w:bCs/>
          <w:lang w:val="en-US"/>
        </w:rPr>
        <w:t>s</w:t>
      </w:r>
      <w:r w:rsidRPr="002D6FF8">
        <w:rPr>
          <w:bCs/>
          <w:lang w:val="en-US"/>
        </w:rPr>
        <w:t xml:space="preserve"> should not be used for any other type of forecasted expenditures.  For example</w:t>
      </w:r>
      <w:r w:rsidRPr="002C3BF0">
        <w:rPr>
          <w:bCs/>
          <w:lang w:val="en-US"/>
        </w:rPr>
        <w:t xml:space="preserve">, performance pay, acting pay, increments and planned staffing </w:t>
      </w:r>
      <w:r w:rsidRPr="002C3BF0">
        <w:rPr>
          <w:bCs/>
          <w:u w:val="single"/>
          <w:lang w:val="en-US"/>
        </w:rPr>
        <w:t xml:space="preserve">should </w:t>
      </w:r>
      <w:r w:rsidRPr="002C3BF0">
        <w:rPr>
          <w:bCs/>
          <w:u w:val="single"/>
          <w:lang w:val="en-US"/>
        </w:rPr>
        <w:lastRenderedPageBreak/>
        <w:t>not</w:t>
      </w:r>
      <w:r w:rsidRPr="002C3BF0">
        <w:rPr>
          <w:bCs/>
          <w:lang w:val="en-US"/>
        </w:rPr>
        <w:t xml:space="preserve"> be forecasted using Global forecast</w:t>
      </w:r>
      <w:r>
        <w:rPr>
          <w:bCs/>
          <w:lang w:val="en-US"/>
        </w:rPr>
        <w:t>s</w:t>
      </w:r>
      <w:r w:rsidRPr="002C3BF0">
        <w:rPr>
          <w:bCs/>
          <w:lang w:val="en-US"/>
        </w:rPr>
        <w:t>.  These types of expenditures should be included in the Employee forecast (PRI level) or Position forecast (planned staffing).</w:t>
      </w:r>
    </w:p>
    <w:p w14:paraId="1325AF28" w14:textId="77777777" w:rsidR="00DB44B8" w:rsidRPr="002C3BF0" w:rsidRDefault="00DB44B8" w:rsidP="00DB44B8">
      <w:pPr>
        <w:rPr>
          <w:bCs/>
          <w:lang w:val="en-US"/>
        </w:rPr>
      </w:pPr>
    </w:p>
    <w:p w14:paraId="27BD5EB6" w14:textId="5FB3F3D4" w:rsidR="00DB44B8" w:rsidRPr="002C3BF0" w:rsidRDefault="00DB44B8" w:rsidP="00DB44B8">
      <w:pPr>
        <w:rPr>
          <w:bCs/>
          <w:lang w:val="en-US"/>
        </w:rPr>
      </w:pPr>
      <w:r w:rsidRPr="002C3BF0">
        <w:rPr>
          <w:bCs/>
          <w:lang w:val="en-US"/>
        </w:rPr>
        <w:t>Global fore</w:t>
      </w:r>
      <w:r>
        <w:rPr>
          <w:bCs/>
          <w:lang w:val="en-US"/>
        </w:rPr>
        <w:t xml:space="preserve">casts should be </w:t>
      </w:r>
      <w:r w:rsidR="003A1587">
        <w:rPr>
          <w:bCs/>
          <w:lang w:val="en-US"/>
        </w:rPr>
        <w:t>recorded using</w:t>
      </w:r>
      <w:r>
        <w:rPr>
          <w:bCs/>
          <w:lang w:val="en-US"/>
        </w:rPr>
        <w:t xml:space="preserve"> the FC</w:t>
      </w:r>
      <w:r w:rsidRPr="002C3BF0">
        <w:rPr>
          <w:bCs/>
          <w:lang w:val="en-US"/>
        </w:rPr>
        <w:t xml:space="preserve"> where the actual expenditure will be posted. This avoid</w:t>
      </w:r>
      <w:r>
        <w:rPr>
          <w:bCs/>
          <w:lang w:val="en-US"/>
        </w:rPr>
        <w:t>s</w:t>
      </w:r>
      <w:r w:rsidRPr="002C3BF0">
        <w:rPr>
          <w:bCs/>
          <w:lang w:val="en-US"/>
        </w:rPr>
        <w:t xml:space="preserve"> un</w:t>
      </w:r>
      <w:r w:rsidR="003A1587">
        <w:rPr>
          <w:bCs/>
          <w:lang w:val="en-US"/>
        </w:rPr>
        <w:t>-</w:t>
      </w:r>
      <w:r w:rsidRPr="002C3BF0">
        <w:rPr>
          <w:bCs/>
          <w:lang w:val="en-US"/>
        </w:rPr>
        <w:t>forecasted amounts when reconciling actuals with forecasts.</w:t>
      </w:r>
    </w:p>
    <w:p w14:paraId="26E7230B" w14:textId="77777777" w:rsidR="00DB44B8" w:rsidRPr="002C3BF0" w:rsidRDefault="00DB44B8" w:rsidP="00DB44B8">
      <w:pPr>
        <w:rPr>
          <w:bCs/>
          <w:lang w:val="en-US"/>
        </w:rPr>
      </w:pPr>
    </w:p>
    <w:p w14:paraId="0C3815F2" w14:textId="77777777" w:rsidR="00DB44B8" w:rsidRPr="00025D1A" w:rsidRDefault="00DB44B8" w:rsidP="00DB44B8">
      <w:pPr>
        <w:rPr>
          <w:bCs/>
          <w:lang w:val="en-US"/>
        </w:rPr>
      </w:pPr>
      <w:r w:rsidRPr="00025D1A">
        <w:rPr>
          <w:bCs/>
          <w:lang w:val="en-US"/>
        </w:rPr>
        <w:t>Note that this type of forecast represents an annual amount and will not be prorated as the year progresses (but can be modified/adjusted throughout the year). If the fiscal year is not specified, the forecast will be perpetual.</w:t>
      </w:r>
    </w:p>
    <w:p w14:paraId="5EAE9A30" w14:textId="77777777" w:rsidR="00DB44B8" w:rsidRPr="00025D1A" w:rsidRDefault="00DB44B8" w:rsidP="00DB44B8">
      <w:pPr>
        <w:rPr>
          <w:bCs/>
          <w:lang w:val="en-US"/>
        </w:rPr>
      </w:pPr>
    </w:p>
    <w:p w14:paraId="10A1F4C5" w14:textId="79239699" w:rsidR="00DB44B8" w:rsidRDefault="00EF65D7" w:rsidP="00DB44B8">
      <w:r>
        <w:t>B</w:t>
      </w:r>
      <w:r w:rsidR="00DB44B8" w:rsidRPr="00637ECF">
        <w:t xml:space="preserve">elow are links </w:t>
      </w:r>
      <w:r w:rsidR="003A1587" w:rsidRPr="00454CA7">
        <w:t xml:space="preserve">to </w:t>
      </w:r>
      <w:r w:rsidR="003A1587">
        <w:t xml:space="preserve">myEMS (SAP) </w:t>
      </w:r>
      <w:r w:rsidR="003A1587" w:rsidRPr="005457CB">
        <w:t>detailed procedures</w:t>
      </w:r>
      <w:r>
        <w:t xml:space="preserve"> on global forecasts</w:t>
      </w:r>
      <w:r w:rsidR="003A1587">
        <w:t>. Please also refer to</w:t>
      </w:r>
      <w:r w:rsidR="00DB44B8" w:rsidRPr="00637ECF">
        <w:t xml:space="preserve"> the </w:t>
      </w:r>
      <w:hyperlink r:id="rId27" w:history="1">
        <w:r w:rsidR="00DB44B8" w:rsidRPr="00637ECF">
          <w:rPr>
            <w:rStyle w:val="Hyperlink"/>
          </w:rPr>
          <w:t>Commitment Item</w:t>
        </w:r>
      </w:hyperlink>
      <w:r w:rsidR="00DB44B8" w:rsidRPr="00637ECF">
        <w:t xml:space="preserve"> </w:t>
      </w:r>
      <w:r w:rsidR="003A1587">
        <w:t xml:space="preserve">(CI) </w:t>
      </w:r>
      <w:r w:rsidR="00DB44B8" w:rsidRPr="00637ECF">
        <w:t xml:space="preserve">section of the Financial Coding Manual for the list of GL accounts that roll-up to each CI. </w:t>
      </w:r>
    </w:p>
    <w:p w14:paraId="3037DA7F" w14:textId="77777777" w:rsidR="00DB44B8" w:rsidRPr="0060233B" w:rsidRDefault="00DB44B8" w:rsidP="00DB44B8"/>
    <w:p w14:paraId="69C60510" w14:textId="77777777" w:rsidR="00DB44B8" w:rsidRPr="00637ECF" w:rsidRDefault="00660AE1" w:rsidP="00DB44B8">
      <w:pPr>
        <w:rPr>
          <w:lang w:val="en-US"/>
        </w:rPr>
      </w:pPr>
      <w:hyperlink r:id="rId28" w:history="1">
        <w:r w:rsidR="00DB44B8" w:rsidRPr="00637ECF">
          <w:rPr>
            <w:rStyle w:val="Hyperlink"/>
            <w:lang w:val="en-US"/>
          </w:rPr>
          <w:t>Display Global Forecast</w:t>
        </w:r>
      </w:hyperlink>
    </w:p>
    <w:p w14:paraId="6CBD293A" w14:textId="77777777" w:rsidR="00DB44B8" w:rsidRPr="00637ECF" w:rsidRDefault="00660AE1" w:rsidP="00DB44B8">
      <w:pPr>
        <w:rPr>
          <w:lang w:val="en-US"/>
        </w:rPr>
      </w:pPr>
      <w:hyperlink r:id="rId29" w:history="1">
        <w:r w:rsidR="00DB44B8" w:rsidRPr="00637ECF">
          <w:rPr>
            <w:rStyle w:val="Hyperlink"/>
            <w:lang w:val="en-US"/>
          </w:rPr>
          <w:t>Modify a Global Forecast</w:t>
        </w:r>
      </w:hyperlink>
      <w:r w:rsidR="00DB44B8" w:rsidRPr="00637ECF">
        <w:rPr>
          <w:lang w:val="en-US"/>
        </w:rPr>
        <w:t xml:space="preserve"> </w:t>
      </w:r>
    </w:p>
    <w:p w14:paraId="2FE37DEC" w14:textId="77777777" w:rsidR="00DB44B8" w:rsidRPr="00637ECF" w:rsidRDefault="00660AE1" w:rsidP="00DB44B8">
      <w:pPr>
        <w:rPr>
          <w:lang w:val="en-US"/>
        </w:rPr>
      </w:pPr>
      <w:hyperlink r:id="rId30" w:history="1">
        <w:r w:rsidR="00DB44B8" w:rsidRPr="00637ECF">
          <w:rPr>
            <w:rStyle w:val="Hyperlink"/>
            <w:lang w:val="en-US"/>
          </w:rPr>
          <w:t>Delete a Global Forecast</w:t>
        </w:r>
      </w:hyperlink>
      <w:r w:rsidR="00DB44B8" w:rsidRPr="00637ECF">
        <w:rPr>
          <w:lang w:val="en-US"/>
        </w:rPr>
        <w:t xml:space="preserve"> </w:t>
      </w:r>
    </w:p>
    <w:p w14:paraId="45629748" w14:textId="77777777" w:rsidR="00DB44B8" w:rsidRPr="00637ECF" w:rsidRDefault="00DB44B8" w:rsidP="00DB44B8">
      <w:pPr>
        <w:rPr>
          <w:rStyle w:val="Hyperlink"/>
        </w:rPr>
      </w:pPr>
      <w:bookmarkStart w:id="25" w:name="_Toc356388384"/>
    </w:p>
    <w:p w14:paraId="7252891C" w14:textId="77777777" w:rsidR="00DB44B8" w:rsidRPr="00637ECF" w:rsidRDefault="00DB44B8" w:rsidP="00F6090D">
      <w:pPr>
        <w:pStyle w:val="Heading3"/>
        <w:numPr>
          <w:ilvl w:val="2"/>
          <w:numId w:val="1"/>
        </w:numPr>
        <w:rPr>
          <w:lang w:val="en-US"/>
        </w:rPr>
      </w:pPr>
      <w:bookmarkStart w:id="26" w:name="_Toc72402751"/>
      <w:bookmarkEnd w:id="25"/>
      <w:r w:rsidRPr="00637ECF">
        <w:rPr>
          <w:lang w:val="en-US"/>
        </w:rPr>
        <w:t>Personnel Commitment</w:t>
      </w:r>
      <w:r>
        <w:rPr>
          <w:lang w:val="en-US"/>
        </w:rPr>
        <w:t>s</w:t>
      </w:r>
      <w:r w:rsidRPr="00637ECF">
        <w:rPr>
          <w:lang w:val="en-US"/>
        </w:rPr>
        <w:t xml:space="preserve"> (Personnel Reservation)</w:t>
      </w:r>
      <w:r>
        <w:rPr>
          <w:lang w:val="en-US"/>
        </w:rPr>
        <w:t xml:space="preserve"> under BI</w:t>
      </w:r>
      <w:bookmarkEnd w:id="26"/>
      <w:r>
        <w:rPr>
          <w:lang w:val="en-US"/>
        </w:rPr>
        <w:t xml:space="preserve"> </w:t>
      </w:r>
    </w:p>
    <w:p w14:paraId="6362DCD9" w14:textId="77777777" w:rsidR="00DB44B8" w:rsidRPr="00637ECF" w:rsidRDefault="00DB44B8" w:rsidP="00DB44B8">
      <w:pPr>
        <w:rPr>
          <w:lang w:val="en-US"/>
        </w:rPr>
      </w:pPr>
    </w:p>
    <w:p w14:paraId="62BF5D67" w14:textId="2B2ACB62" w:rsidR="00DB44B8" w:rsidRDefault="00DB44B8" w:rsidP="00DB44B8">
      <w:pPr>
        <w:rPr>
          <w:lang w:val="en-US"/>
        </w:rPr>
      </w:pPr>
      <w:r w:rsidRPr="00637ECF">
        <w:rPr>
          <w:lang w:val="en-US"/>
        </w:rPr>
        <w:t>MyEMS</w:t>
      </w:r>
      <w:r w:rsidR="00BB7687">
        <w:rPr>
          <w:lang w:val="en-US"/>
        </w:rPr>
        <w:t xml:space="preserve"> </w:t>
      </w:r>
      <w:r w:rsidRPr="00637ECF">
        <w:rPr>
          <w:lang w:val="en-US"/>
        </w:rPr>
        <w:t xml:space="preserve">(SAP) </w:t>
      </w:r>
      <w:r>
        <w:rPr>
          <w:lang w:val="en-US"/>
        </w:rPr>
        <w:t xml:space="preserve">does </w:t>
      </w:r>
      <w:r w:rsidRPr="00637ECF">
        <w:rPr>
          <w:lang w:val="en-US"/>
        </w:rPr>
        <w:t>not generate personnel commitments</w:t>
      </w:r>
      <w:r>
        <w:rPr>
          <w:lang w:val="en-US"/>
        </w:rPr>
        <w:t>. M</w:t>
      </w:r>
      <w:r w:rsidRPr="00637ECF">
        <w:rPr>
          <w:lang w:val="en-US"/>
        </w:rPr>
        <w:t xml:space="preserve">anual commitments should not be created for </w:t>
      </w:r>
      <w:r w:rsidRPr="00025D1A">
        <w:rPr>
          <w:lang w:val="en-US"/>
        </w:rPr>
        <w:t>personnel expenditures, with the exception of pride and recognition expenditures as they are processed using an acquisition card.</w:t>
      </w:r>
    </w:p>
    <w:p w14:paraId="626F19D3" w14:textId="77777777" w:rsidR="00DB44B8" w:rsidRPr="00025D1A" w:rsidRDefault="00DB44B8" w:rsidP="00DB44B8">
      <w:pPr>
        <w:rPr>
          <w:lang w:val="en-US"/>
        </w:rPr>
      </w:pPr>
    </w:p>
    <w:p w14:paraId="5B3E9296" w14:textId="655569C2" w:rsidR="00DB44B8" w:rsidRPr="004968AB" w:rsidRDefault="00DB44B8" w:rsidP="00DB44B8">
      <w:pPr>
        <w:rPr>
          <w:lang w:val="en-US"/>
        </w:rPr>
      </w:pPr>
      <w:r w:rsidRPr="00025D1A">
        <w:rPr>
          <w:lang w:val="en-US"/>
        </w:rPr>
        <w:t>For reporting purposes</w:t>
      </w:r>
      <w:r w:rsidR="00A5674D">
        <w:rPr>
          <w:lang w:val="en-US"/>
        </w:rPr>
        <w:t>,</w:t>
      </w:r>
      <w:r w:rsidRPr="00025D1A">
        <w:rPr>
          <w:lang w:val="en-US"/>
        </w:rPr>
        <w:t xml:space="preserve"> and to account for the fact that there are no personnel commitments in myEMS</w:t>
      </w:r>
      <w:r w:rsidR="00BB7687">
        <w:rPr>
          <w:lang w:val="en-US"/>
        </w:rPr>
        <w:t xml:space="preserve"> </w:t>
      </w:r>
      <w:r>
        <w:rPr>
          <w:lang w:val="en-US"/>
        </w:rPr>
        <w:t>(SAP)</w:t>
      </w:r>
      <w:r w:rsidRPr="00025D1A">
        <w:rPr>
          <w:lang w:val="en-US"/>
        </w:rPr>
        <w:t>, BI reports</w:t>
      </w:r>
      <w:r>
        <w:rPr>
          <w:lang w:val="en-US"/>
        </w:rPr>
        <w:t xml:space="preserve"> include </w:t>
      </w:r>
      <w:r w:rsidRPr="00025D1A">
        <w:rPr>
          <w:lang w:val="en-US"/>
        </w:rPr>
        <w:t>Personnel Reservation</w:t>
      </w:r>
      <w:r>
        <w:rPr>
          <w:lang w:val="en-US"/>
        </w:rPr>
        <w:t>s</w:t>
      </w:r>
      <w:r w:rsidRPr="00025D1A">
        <w:rPr>
          <w:lang w:val="en-US"/>
        </w:rPr>
        <w:t>, which</w:t>
      </w:r>
      <w:r>
        <w:rPr>
          <w:lang w:val="en-US"/>
        </w:rPr>
        <w:t xml:space="preserve"> is a calculated field that </w:t>
      </w:r>
      <w:r w:rsidRPr="00025D1A">
        <w:rPr>
          <w:lang w:val="en-US"/>
        </w:rPr>
        <w:t>provides the personnel outstanding commitments</w:t>
      </w:r>
      <w:r w:rsidRPr="004968AB">
        <w:rPr>
          <w:lang w:val="en-US"/>
        </w:rPr>
        <w:t xml:space="preserve"> in the event that all plans materialize. The Personnel Reservation calculation is as follows: SFT Forecast</w:t>
      </w:r>
      <w:r w:rsidR="006A5D73">
        <w:rPr>
          <w:lang w:val="en-US"/>
        </w:rPr>
        <w:t>s</w:t>
      </w:r>
      <w:r w:rsidRPr="004968AB">
        <w:rPr>
          <w:lang w:val="en-US"/>
        </w:rPr>
        <w:t xml:space="preserve"> excluding Planned Staffing minus Personnel Actuals.</w:t>
      </w:r>
    </w:p>
    <w:p w14:paraId="0A8A63A8" w14:textId="77777777" w:rsidR="00DB44B8" w:rsidRPr="004968AB" w:rsidRDefault="00DB44B8" w:rsidP="00DB44B8">
      <w:pPr>
        <w:rPr>
          <w:lang w:val="en-US"/>
        </w:rPr>
      </w:pPr>
    </w:p>
    <w:p w14:paraId="7A1DCB5E" w14:textId="77777777" w:rsidR="00DB44B8" w:rsidRPr="00A44E00" w:rsidRDefault="00DB44B8" w:rsidP="00F6090D">
      <w:pPr>
        <w:pStyle w:val="Heading2"/>
        <w:numPr>
          <w:ilvl w:val="1"/>
          <w:numId w:val="1"/>
        </w:numPr>
      </w:pPr>
      <w:bookmarkStart w:id="27" w:name="_Toc356388383"/>
      <w:bookmarkStart w:id="28" w:name="_Toc72402752"/>
      <w:r w:rsidRPr="00A44E00">
        <w:t>Non-Personnel Forecast</w:t>
      </w:r>
      <w:bookmarkEnd w:id="27"/>
      <w:r>
        <w:t>s</w:t>
      </w:r>
      <w:bookmarkEnd w:id="28"/>
    </w:p>
    <w:p w14:paraId="640FBCD9" w14:textId="77777777" w:rsidR="00DB44B8" w:rsidRPr="00A44E00" w:rsidRDefault="00DB44B8" w:rsidP="00DB44B8">
      <w:pPr>
        <w:rPr>
          <w:lang w:val="en-US"/>
        </w:rPr>
      </w:pPr>
      <w:r>
        <w:rPr>
          <w:lang w:val="en-US"/>
        </w:rPr>
        <w:t xml:space="preserve"> </w:t>
      </w:r>
    </w:p>
    <w:p w14:paraId="4ACCB9A8" w14:textId="77777777" w:rsidR="00DB44B8" w:rsidRPr="00A44E00" w:rsidRDefault="00DB44B8" w:rsidP="00DB44B8">
      <w:pPr>
        <w:rPr>
          <w:bCs/>
          <w:lang w:val="en-US"/>
        </w:rPr>
      </w:pPr>
      <w:r>
        <w:rPr>
          <w:bCs/>
          <w:lang w:val="en-US"/>
        </w:rPr>
        <w:t>Non-p</w:t>
      </w:r>
      <w:r w:rsidRPr="00A44E00">
        <w:rPr>
          <w:bCs/>
          <w:lang w:val="en-US"/>
        </w:rPr>
        <w:t>ersonnel forecast</w:t>
      </w:r>
      <w:r>
        <w:rPr>
          <w:bCs/>
          <w:lang w:val="en-US"/>
        </w:rPr>
        <w:t>s</w:t>
      </w:r>
      <w:r w:rsidRPr="00A44E00">
        <w:rPr>
          <w:bCs/>
          <w:lang w:val="en-US"/>
        </w:rPr>
        <w:t xml:space="preserve"> include the following items:</w:t>
      </w:r>
    </w:p>
    <w:p w14:paraId="6A4CA9E5" w14:textId="18C73330" w:rsidR="00702C72" w:rsidRDefault="00DB44B8" w:rsidP="00F6090D">
      <w:pPr>
        <w:pStyle w:val="ListParagraph"/>
        <w:numPr>
          <w:ilvl w:val="0"/>
          <w:numId w:val="6"/>
        </w:numPr>
        <w:spacing w:before="60"/>
        <w:ind w:left="1077" w:hanging="357"/>
        <w:contextualSpacing w:val="0"/>
        <w:rPr>
          <w:bCs/>
          <w:lang w:val="en-US"/>
        </w:rPr>
      </w:pPr>
      <w:r w:rsidRPr="001F72BC">
        <w:rPr>
          <w:bCs/>
          <w:lang w:val="en-US"/>
        </w:rPr>
        <w:t>Operations and Maintenance (O&amp;M) including Separately Controlled Allotments (SCA)</w:t>
      </w:r>
      <w:r w:rsidR="00BE633E" w:rsidRPr="001F72BC">
        <w:rPr>
          <w:bCs/>
          <w:lang w:val="en-US"/>
        </w:rPr>
        <w:t xml:space="preserve">, </w:t>
      </w:r>
      <w:r w:rsidRPr="001F72BC">
        <w:rPr>
          <w:bCs/>
          <w:lang w:val="en-US"/>
        </w:rPr>
        <w:t>Service Delivery Partnership Agreements (under DESDA)</w:t>
      </w:r>
      <w:r w:rsidR="00BE633E" w:rsidRPr="001F72BC">
        <w:rPr>
          <w:bCs/>
          <w:lang w:val="en-US"/>
        </w:rPr>
        <w:t xml:space="preserve"> and Measures in Response to COVID-19</w:t>
      </w:r>
      <w:r w:rsidR="00DB18E2" w:rsidRPr="001F72BC">
        <w:rPr>
          <w:bCs/>
          <w:lang w:val="en-US"/>
        </w:rPr>
        <w:t>;</w:t>
      </w:r>
    </w:p>
    <w:p w14:paraId="03DE440F" w14:textId="49520312" w:rsidR="00DB44B8" w:rsidRPr="00A44E00" w:rsidRDefault="00DB44B8" w:rsidP="00F6090D">
      <w:pPr>
        <w:pStyle w:val="ListParagraph"/>
        <w:numPr>
          <w:ilvl w:val="0"/>
          <w:numId w:val="6"/>
        </w:numPr>
        <w:spacing w:before="60"/>
        <w:ind w:left="1077" w:hanging="357"/>
        <w:contextualSpacing w:val="0"/>
        <w:rPr>
          <w:bCs/>
          <w:lang w:val="en-US"/>
        </w:rPr>
      </w:pPr>
      <w:r w:rsidRPr="00A44E00">
        <w:rPr>
          <w:bCs/>
          <w:lang w:val="en-US"/>
        </w:rPr>
        <w:t>Grants and Contributions (Gs&amp;Cs); and</w:t>
      </w:r>
    </w:p>
    <w:p w14:paraId="00E59984" w14:textId="77777777" w:rsidR="00DB44B8" w:rsidRPr="00A44E00" w:rsidRDefault="00DB44B8" w:rsidP="00F6090D">
      <w:pPr>
        <w:pStyle w:val="ListParagraph"/>
        <w:numPr>
          <w:ilvl w:val="0"/>
          <w:numId w:val="6"/>
        </w:numPr>
        <w:spacing w:before="60"/>
        <w:ind w:left="1077" w:hanging="357"/>
        <w:contextualSpacing w:val="0"/>
        <w:rPr>
          <w:bCs/>
          <w:lang w:val="en-US"/>
        </w:rPr>
      </w:pPr>
      <w:r w:rsidRPr="00A44E00">
        <w:rPr>
          <w:bCs/>
          <w:lang w:val="en-US"/>
        </w:rPr>
        <w:t>Vote-Netted Revenue (VNR) (</w:t>
      </w:r>
      <w:r>
        <w:rPr>
          <w:bCs/>
          <w:lang w:val="en-US"/>
        </w:rPr>
        <w:t>credit portion of the recovery</w:t>
      </w:r>
      <w:r w:rsidRPr="00A44E00">
        <w:rPr>
          <w:bCs/>
          <w:lang w:val="en-US"/>
        </w:rPr>
        <w:t xml:space="preserve">). </w:t>
      </w:r>
    </w:p>
    <w:p w14:paraId="033F1AEC" w14:textId="77777777" w:rsidR="00DB44B8" w:rsidRPr="00A44E00" w:rsidRDefault="00DB44B8" w:rsidP="00DB44B8">
      <w:pPr>
        <w:rPr>
          <w:bCs/>
          <w:lang w:val="en-US"/>
        </w:rPr>
      </w:pPr>
    </w:p>
    <w:p w14:paraId="26F88B88" w14:textId="77777777" w:rsidR="00DB44B8" w:rsidRDefault="00DB44B8" w:rsidP="00DB44B8">
      <w:pPr>
        <w:rPr>
          <w:bCs/>
          <w:lang w:val="en-US"/>
        </w:rPr>
      </w:pPr>
      <w:r>
        <w:rPr>
          <w:bCs/>
          <w:lang w:val="en-US"/>
        </w:rPr>
        <w:t xml:space="preserve">Detailed non-personnel forecasts, by Fund and CI </w:t>
      </w:r>
      <w:r>
        <w:t>(forecast group level 3)</w:t>
      </w:r>
      <w:r>
        <w:rPr>
          <w:bCs/>
          <w:lang w:val="en-US"/>
        </w:rPr>
        <w:t xml:space="preserve">, must be entered in </w:t>
      </w:r>
      <w:r w:rsidRPr="002C13ED">
        <w:rPr>
          <w:bCs/>
          <w:lang w:val="en-US"/>
        </w:rPr>
        <w:t>the non-salary forecasting tool for each</w:t>
      </w:r>
      <w:r>
        <w:rPr>
          <w:bCs/>
          <w:lang w:val="en-US"/>
        </w:rPr>
        <w:t xml:space="preserve"> FC for which a manager has delegation of authority.</w:t>
      </w:r>
    </w:p>
    <w:p w14:paraId="280D9D6F" w14:textId="77777777" w:rsidR="00DB44B8" w:rsidRDefault="00DB44B8" w:rsidP="00DB44B8">
      <w:pPr>
        <w:rPr>
          <w:bCs/>
          <w:lang w:val="en-US"/>
        </w:rPr>
      </w:pPr>
    </w:p>
    <w:p w14:paraId="2D5D7F48" w14:textId="2D0367A5" w:rsidR="00DB44B8" w:rsidRPr="00286FAB" w:rsidRDefault="00DB44B8" w:rsidP="00DB44B8">
      <w:pPr>
        <w:rPr>
          <w:bCs/>
          <w:lang w:val="en-US"/>
        </w:rPr>
      </w:pPr>
      <w:r w:rsidRPr="00A44E00">
        <w:rPr>
          <w:bCs/>
          <w:lang w:val="en-US"/>
        </w:rPr>
        <w:t xml:space="preserve">To determine the non-personnel forecast, </w:t>
      </w:r>
      <w:r>
        <w:rPr>
          <w:bCs/>
          <w:lang w:val="en-US"/>
        </w:rPr>
        <w:t>a FCM</w:t>
      </w:r>
      <w:r w:rsidRPr="00A44E00">
        <w:rPr>
          <w:bCs/>
          <w:lang w:val="en-US"/>
        </w:rPr>
        <w:t xml:space="preserve"> must consider YTD expenditures, outstanding commitments and </w:t>
      </w:r>
      <w:r w:rsidR="00A5674D" w:rsidRPr="00A44E00">
        <w:rPr>
          <w:bCs/>
          <w:lang w:val="en-US"/>
        </w:rPr>
        <w:t>plans</w:t>
      </w:r>
      <w:r w:rsidRPr="00A44E00">
        <w:rPr>
          <w:bCs/>
          <w:lang w:val="en-US"/>
        </w:rPr>
        <w:t xml:space="preserve">. All expenditures and commitments are to be </w:t>
      </w:r>
      <w:r w:rsidRPr="00286FAB">
        <w:rPr>
          <w:bCs/>
          <w:lang w:val="en-US"/>
        </w:rPr>
        <w:t>verified and, if needed, corrected in a timely manner (i.e. JV</w:t>
      </w:r>
      <w:r>
        <w:rPr>
          <w:bCs/>
          <w:lang w:val="en-US"/>
        </w:rPr>
        <w:t>s</w:t>
      </w:r>
      <w:r w:rsidRPr="00286FAB">
        <w:rPr>
          <w:bCs/>
          <w:lang w:val="en-US"/>
        </w:rPr>
        <w:t xml:space="preserve">, de-commitments). </w:t>
      </w:r>
      <w:r w:rsidRPr="00A6375D">
        <w:rPr>
          <w:b/>
          <w:bCs/>
          <w:u w:val="single"/>
          <w:lang w:val="en-US"/>
        </w:rPr>
        <w:t xml:space="preserve">This </w:t>
      </w:r>
      <w:r w:rsidR="006A5D73">
        <w:rPr>
          <w:b/>
          <w:bCs/>
          <w:u w:val="single"/>
          <w:lang w:val="en-US"/>
        </w:rPr>
        <w:t>must</w:t>
      </w:r>
      <w:r w:rsidR="006A5D73" w:rsidRPr="00A6375D">
        <w:rPr>
          <w:b/>
          <w:bCs/>
          <w:u w:val="single"/>
          <w:lang w:val="en-US"/>
        </w:rPr>
        <w:t xml:space="preserve"> </w:t>
      </w:r>
      <w:r w:rsidRPr="00A6375D">
        <w:rPr>
          <w:b/>
          <w:bCs/>
          <w:u w:val="single"/>
          <w:lang w:val="en-US"/>
        </w:rPr>
        <w:t>be done on an ongoing basis.</w:t>
      </w:r>
    </w:p>
    <w:p w14:paraId="76E8C814" w14:textId="77777777" w:rsidR="00DB44B8" w:rsidRPr="00286FAB" w:rsidRDefault="00DB44B8" w:rsidP="00DB44B8">
      <w:pPr>
        <w:rPr>
          <w:bCs/>
          <w:lang w:val="en-US"/>
        </w:rPr>
      </w:pPr>
    </w:p>
    <w:p w14:paraId="5B50A46F" w14:textId="0549E5C3" w:rsidR="00DB44B8" w:rsidRPr="00286FAB" w:rsidRDefault="00DB44B8" w:rsidP="00DB44B8">
      <w:r w:rsidRPr="00286FAB">
        <w:t xml:space="preserve">The </w:t>
      </w:r>
      <w:hyperlink r:id="rId31" w:history="1">
        <w:r>
          <w:rPr>
            <w:rStyle w:val="Hyperlink"/>
          </w:rPr>
          <w:t>Commitment I</w:t>
        </w:r>
        <w:r w:rsidRPr="00286FAB">
          <w:rPr>
            <w:rStyle w:val="Hyperlink"/>
          </w:rPr>
          <w:t>tem (Forecast Group Code)</w:t>
        </w:r>
      </w:hyperlink>
      <w:r w:rsidRPr="00286FAB">
        <w:t xml:space="preserve"> section of the Departmental Financial Coding Manual provides the CI (forecast group) structure to be used for O&amp;M forecasting purposes in the non-salary forecasting tool.</w:t>
      </w:r>
    </w:p>
    <w:p w14:paraId="3FC10D9E" w14:textId="77777777" w:rsidR="00DB44B8" w:rsidRPr="00286FAB" w:rsidRDefault="00DB44B8" w:rsidP="00DB44B8">
      <w:pPr>
        <w:rPr>
          <w:bCs/>
          <w:lang w:val="en-US"/>
        </w:rPr>
      </w:pPr>
    </w:p>
    <w:p w14:paraId="6C343153" w14:textId="77777777" w:rsidR="00DB44B8" w:rsidRDefault="00DB44B8" w:rsidP="00DB44B8">
      <w:pPr>
        <w:rPr>
          <w:bCs/>
          <w:lang w:val="en-US"/>
        </w:rPr>
      </w:pPr>
      <w:r w:rsidRPr="00286FAB">
        <w:rPr>
          <w:bCs/>
          <w:lang w:val="en-US"/>
        </w:rPr>
        <w:t>The non-salary forecasting tool is available through the Portal, under the Budgeting &amp; Forecasting or the Manager Self-Service tab, in the Forecasting folder</w:t>
      </w:r>
      <w:r>
        <w:rPr>
          <w:bCs/>
          <w:lang w:val="en-US"/>
        </w:rPr>
        <w:t>.</w:t>
      </w:r>
    </w:p>
    <w:p w14:paraId="29552F92" w14:textId="77777777" w:rsidR="00DB44B8" w:rsidRDefault="00DB44B8" w:rsidP="00DB44B8">
      <w:pPr>
        <w:rPr>
          <w:bCs/>
          <w:lang w:val="en-US"/>
        </w:rPr>
      </w:pPr>
    </w:p>
    <w:p w14:paraId="440EB59A" w14:textId="77777777" w:rsidR="00DB44B8" w:rsidRPr="00692200" w:rsidRDefault="00DB44B8" w:rsidP="00F6090D">
      <w:pPr>
        <w:pStyle w:val="Heading3"/>
        <w:numPr>
          <w:ilvl w:val="2"/>
          <w:numId w:val="1"/>
        </w:numPr>
      </w:pPr>
      <w:bookmarkStart w:id="29" w:name="_Toc72402753"/>
      <w:r w:rsidRPr="00692200">
        <w:t>Forecasting Input Screen</w:t>
      </w:r>
      <w:r>
        <w:t xml:space="preserve"> (FR11)</w:t>
      </w:r>
      <w:bookmarkEnd w:id="29"/>
    </w:p>
    <w:p w14:paraId="0359AC51" w14:textId="77777777" w:rsidR="00DB44B8" w:rsidRPr="00692200" w:rsidRDefault="00DB44B8" w:rsidP="00DB44B8">
      <w:pPr>
        <w:rPr>
          <w:bCs/>
          <w:highlight w:val="yellow"/>
          <w:lang w:val="en-US"/>
        </w:rPr>
      </w:pPr>
    </w:p>
    <w:p w14:paraId="22344AF6" w14:textId="76ABE90C" w:rsidR="00DB44B8" w:rsidRPr="00F50F6D" w:rsidRDefault="00DB44B8" w:rsidP="00DB44B8">
      <w:pPr>
        <w:rPr>
          <w:bCs/>
        </w:rPr>
      </w:pPr>
      <w:r>
        <w:rPr>
          <w:bCs/>
          <w:lang w:val="en-US"/>
        </w:rPr>
        <w:t>The</w:t>
      </w:r>
      <w:r w:rsidRPr="00692200">
        <w:rPr>
          <w:bCs/>
          <w:lang w:val="en-US"/>
        </w:rPr>
        <w:t xml:space="preserve"> </w:t>
      </w:r>
      <w:r w:rsidR="00BE633E">
        <w:rPr>
          <w:bCs/>
          <w:lang w:val="en-US"/>
        </w:rPr>
        <w:t xml:space="preserve">non-salary forecasting tool </w:t>
      </w:r>
      <w:r w:rsidRPr="002C13ED">
        <w:rPr>
          <w:bCs/>
          <w:lang w:val="en-US"/>
        </w:rPr>
        <w:t xml:space="preserve">Forecasting </w:t>
      </w:r>
      <w:r w:rsidR="00BE633E">
        <w:rPr>
          <w:bCs/>
          <w:lang w:val="en-US"/>
        </w:rPr>
        <w:t>I</w:t>
      </w:r>
      <w:r w:rsidRPr="002C13ED">
        <w:rPr>
          <w:bCs/>
          <w:lang w:val="en-US"/>
        </w:rPr>
        <w:t xml:space="preserve">nput </w:t>
      </w:r>
      <w:r w:rsidR="00BE633E">
        <w:rPr>
          <w:bCs/>
          <w:lang w:val="en-US"/>
        </w:rPr>
        <w:t>S</w:t>
      </w:r>
      <w:r w:rsidRPr="002C13ED">
        <w:rPr>
          <w:bCs/>
          <w:lang w:val="en-US"/>
        </w:rPr>
        <w:t>creen</w:t>
      </w:r>
      <w:r w:rsidR="00BE633E">
        <w:rPr>
          <w:bCs/>
          <w:lang w:val="en-US"/>
        </w:rPr>
        <w:t xml:space="preserve"> (F</w:t>
      </w:r>
      <w:r w:rsidR="00AA4B86">
        <w:rPr>
          <w:bCs/>
          <w:lang w:val="en-US"/>
        </w:rPr>
        <w:t>R</w:t>
      </w:r>
      <w:r w:rsidR="00BE633E">
        <w:rPr>
          <w:bCs/>
          <w:lang w:val="en-US"/>
        </w:rPr>
        <w:t>11)</w:t>
      </w:r>
      <w:r w:rsidRPr="002C13ED">
        <w:rPr>
          <w:bCs/>
          <w:lang w:val="en-US"/>
        </w:rPr>
        <w:t xml:space="preserve"> is used</w:t>
      </w:r>
      <w:r w:rsidRPr="00692200">
        <w:rPr>
          <w:bCs/>
          <w:lang w:val="en-US"/>
        </w:rPr>
        <w:t xml:space="preserve"> to enter and maintain non-p</w:t>
      </w:r>
      <w:r>
        <w:rPr>
          <w:bCs/>
          <w:lang w:val="en-US"/>
        </w:rPr>
        <w:t xml:space="preserve">ersonnel forecasts by </w:t>
      </w:r>
      <w:r w:rsidRPr="00AF3FE5">
        <w:rPr>
          <w:bCs/>
          <w:lang w:val="en-US"/>
        </w:rPr>
        <w:t xml:space="preserve">FC, Fund, CI, </w:t>
      </w:r>
      <w:r w:rsidR="00DB2D9D">
        <w:rPr>
          <w:bCs/>
          <w:lang w:val="en-US"/>
        </w:rPr>
        <w:t xml:space="preserve">for </w:t>
      </w:r>
      <w:r w:rsidRPr="00AF3FE5">
        <w:rPr>
          <w:bCs/>
          <w:lang w:val="en-US"/>
        </w:rPr>
        <w:t>Forecast Type</w:t>
      </w:r>
      <w:r w:rsidR="00BE633E">
        <w:rPr>
          <w:bCs/>
          <w:lang w:val="en-US"/>
        </w:rPr>
        <w:t xml:space="preserve">s: </w:t>
      </w:r>
      <w:r w:rsidRPr="00AF3FE5">
        <w:rPr>
          <w:bCs/>
          <w:lang w:val="en-US"/>
        </w:rPr>
        <w:t>O&amp;M, Program Funds</w:t>
      </w:r>
      <w:r w:rsidR="00BE633E">
        <w:rPr>
          <w:bCs/>
          <w:lang w:val="en-US"/>
        </w:rPr>
        <w:t xml:space="preserve"> and</w:t>
      </w:r>
      <w:r w:rsidRPr="00AF3FE5">
        <w:rPr>
          <w:bCs/>
          <w:lang w:val="en-US"/>
        </w:rPr>
        <w:t xml:space="preserve"> VNR.</w:t>
      </w:r>
      <w:r w:rsidR="00F50F6D">
        <w:rPr>
          <w:bCs/>
          <w:lang w:val="en-US"/>
        </w:rPr>
        <w:t xml:space="preserve"> </w:t>
      </w:r>
      <w:r w:rsidR="00DB2D9D">
        <w:rPr>
          <w:bCs/>
          <w:lang w:val="en-US"/>
        </w:rPr>
        <w:t xml:space="preserve">F00 is </w:t>
      </w:r>
      <w:r w:rsidR="00BE633E">
        <w:rPr>
          <w:bCs/>
          <w:lang w:val="en-US"/>
        </w:rPr>
        <w:t xml:space="preserve">the version used for inputting and is </w:t>
      </w:r>
      <w:r w:rsidR="00DB2D9D">
        <w:rPr>
          <w:bCs/>
          <w:lang w:val="en-US"/>
        </w:rPr>
        <w:t xml:space="preserve">accessible </w:t>
      </w:r>
      <w:r w:rsidR="00BE633E">
        <w:rPr>
          <w:bCs/>
          <w:lang w:val="en-US"/>
        </w:rPr>
        <w:t xml:space="preserve">up to </w:t>
      </w:r>
      <w:r w:rsidR="00DB2D9D">
        <w:rPr>
          <w:bCs/>
          <w:lang w:val="en-US"/>
        </w:rPr>
        <w:t>the retraction date identif</w:t>
      </w:r>
      <w:r w:rsidR="00BE633E">
        <w:rPr>
          <w:bCs/>
          <w:lang w:val="en-US"/>
        </w:rPr>
        <w:t>ied</w:t>
      </w:r>
      <w:r w:rsidR="00DB2D9D">
        <w:rPr>
          <w:bCs/>
          <w:lang w:val="en-US"/>
        </w:rPr>
        <w:t xml:space="preserve"> in the </w:t>
      </w:r>
      <w:r w:rsidR="00BE633E">
        <w:rPr>
          <w:bCs/>
          <w:lang w:val="en-US"/>
        </w:rPr>
        <w:t xml:space="preserve">Departmental </w:t>
      </w:r>
      <w:r w:rsidR="00DB2D9D">
        <w:rPr>
          <w:bCs/>
          <w:lang w:val="en-US"/>
        </w:rPr>
        <w:t>Forecasting calendar</w:t>
      </w:r>
      <w:r w:rsidR="00BE633E">
        <w:rPr>
          <w:bCs/>
          <w:lang w:val="en-US"/>
        </w:rPr>
        <w:t xml:space="preserve"> (Annex A)</w:t>
      </w:r>
      <w:r w:rsidR="00DB2D9D">
        <w:rPr>
          <w:bCs/>
          <w:lang w:val="en-US"/>
        </w:rPr>
        <w:t xml:space="preserve">. </w:t>
      </w:r>
    </w:p>
    <w:p w14:paraId="4B2C874C" w14:textId="77777777" w:rsidR="00DB44B8" w:rsidRPr="003D16DD" w:rsidRDefault="00DB44B8" w:rsidP="00DB44B8">
      <w:pPr>
        <w:rPr>
          <w:bCs/>
        </w:rPr>
      </w:pPr>
    </w:p>
    <w:p w14:paraId="064F56D7" w14:textId="116D4B9E" w:rsidR="00DB44B8" w:rsidRDefault="00DB44B8" w:rsidP="00DB44B8">
      <w:pPr>
        <w:rPr>
          <w:bCs/>
          <w:lang w:val="en-US"/>
        </w:rPr>
      </w:pPr>
      <w:r w:rsidRPr="002C13ED">
        <w:rPr>
          <w:bCs/>
          <w:lang w:val="en-US"/>
        </w:rPr>
        <w:t xml:space="preserve">The Forecasting input screen includes the notional budget (budget and </w:t>
      </w:r>
      <w:r w:rsidR="00B214B3">
        <w:rPr>
          <w:bCs/>
          <w:lang w:val="en-US"/>
        </w:rPr>
        <w:t>A</w:t>
      </w:r>
      <w:r w:rsidRPr="002C13ED">
        <w:rPr>
          <w:bCs/>
          <w:lang w:val="en-US"/>
        </w:rPr>
        <w:t xml:space="preserve">pproved </w:t>
      </w:r>
      <w:r w:rsidR="007A3A2E">
        <w:rPr>
          <w:bCs/>
          <w:lang w:val="en-US"/>
        </w:rPr>
        <w:t>potentia</w:t>
      </w:r>
      <w:r w:rsidR="00B214B3">
        <w:rPr>
          <w:bCs/>
          <w:lang w:val="en-US"/>
        </w:rPr>
        <w:t>l</w:t>
      </w:r>
      <w:r w:rsidR="007A3A2E">
        <w:rPr>
          <w:bCs/>
          <w:lang w:val="en-US"/>
        </w:rPr>
        <w:t xml:space="preserve"> funding for planning purposes</w:t>
      </w:r>
      <w:r w:rsidRPr="002C13ED">
        <w:rPr>
          <w:bCs/>
          <w:lang w:val="en-US"/>
        </w:rPr>
        <w:t xml:space="preserve"> items), YTD commitments (commitments and actuals), the prior</w:t>
      </w:r>
      <w:r>
        <w:rPr>
          <w:bCs/>
          <w:lang w:val="en-US"/>
        </w:rPr>
        <w:t xml:space="preserve"> period</w:t>
      </w:r>
      <w:r w:rsidRPr="002C13ED">
        <w:rPr>
          <w:bCs/>
          <w:lang w:val="en-US"/>
        </w:rPr>
        <w:t xml:space="preserve"> forecast, the new forecast</w:t>
      </w:r>
      <w:r>
        <w:rPr>
          <w:bCs/>
          <w:lang w:val="en-US"/>
        </w:rPr>
        <w:t>,</w:t>
      </w:r>
      <w:r w:rsidRPr="002C13ED">
        <w:rPr>
          <w:bCs/>
          <w:lang w:val="en-US"/>
        </w:rPr>
        <w:t xml:space="preserve"> and a v</w:t>
      </w:r>
      <w:r>
        <w:rPr>
          <w:bCs/>
          <w:lang w:val="en-US"/>
        </w:rPr>
        <w:t>ariance.</w:t>
      </w:r>
    </w:p>
    <w:p w14:paraId="5E84B709" w14:textId="243AB5A9" w:rsidR="00547EBC" w:rsidRDefault="00547EBC" w:rsidP="00DB44B8">
      <w:pPr>
        <w:rPr>
          <w:bCs/>
          <w:lang w:val="en-US"/>
        </w:rPr>
      </w:pPr>
    </w:p>
    <w:p w14:paraId="7B57E16B" w14:textId="22F6DF0D" w:rsidR="00547EBC" w:rsidRPr="0014171F" w:rsidRDefault="00547EBC" w:rsidP="003A14A5">
      <w:pPr>
        <w:pStyle w:val="NormalWeb"/>
        <w:spacing w:before="86" w:beforeAutospacing="0" w:after="0" w:afterAutospacing="0"/>
      </w:pPr>
      <w:r w:rsidRPr="0014171F">
        <w:rPr>
          <w:rFonts w:ascii="Arial" w:hAnsi="Arial"/>
          <w:bCs/>
          <w:lang w:val="en-US"/>
        </w:rPr>
        <w:t xml:space="preserve">Forecast amounts, comments, and attachments are </w:t>
      </w:r>
      <w:r w:rsidR="00BE633E">
        <w:rPr>
          <w:rFonts w:ascii="Arial" w:hAnsi="Arial"/>
          <w:bCs/>
          <w:lang w:val="en-US"/>
        </w:rPr>
        <w:t>copied</w:t>
      </w:r>
      <w:r w:rsidRPr="0014171F">
        <w:rPr>
          <w:rFonts w:ascii="Arial" w:hAnsi="Arial"/>
          <w:bCs/>
          <w:lang w:val="en-US"/>
        </w:rPr>
        <w:t xml:space="preserve"> in </w:t>
      </w:r>
      <w:r w:rsidR="003A14A5">
        <w:rPr>
          <w:rFonts w:ascii="Arial" w:hAnsi="Arial"/>
          <w:bCs/>
          <w:lang w:val="en-US"/>
        </w:rPr>
        <w:t>the non-salary forecasting tool</w:t>
      </w:r>
      <w:r w:rsidRPr="0014171F">
        <w:rPr>
          <w:rFonts w:ascii="Arial" w:hAnsi="Arial"/>
          <w:bCs/>
          <w:lang w:val="en-US"/>
        </w:rPr>
        <w:t xml:space="preserve"> </w:t>
      </w:r>
      <w:r w:rsidR="00BE633E">
        <w:rPr>
          <w:rFonts w:ascii="Arial" w:hAnsi="Arial"/>
          <w:bCs/>
          <w:lang w:val="en-US"/>
        </w:rPr>
        <w:t>from one period to the ne</w:t>
      </w:r>
      <w:r w:rsidR="00AA4B86">
        <w:rPr>
          <w:rFonts w:ascii="Arial" w:hAnsi="Arial"/>
          <w:bCs/>
          <w:lang w:val="en-US"/>
        </w:rPr>
        <w:t>x</w:t>
      </w:r>
      <w:r w:rsidR="00BE633E">
        <w:rPr>
          <w:rFonts w:ascii="Arial" w:hAnsi="Arial"/>
          <w:bCs/>
          <w:lang w:val="en-US"/>
        </w:rPr>
        <w:t>t. However, a complete review at each period is required.</w:t>
      </w:r>
    </w:p>
    <w:p w14:paraId="2CC31C9F" w14:textId="77777777" w:rsidR="00DB44B8" w:rsidRDefault="00DB44B8" w:rsidP="00DB44B8">
      <w:pPr>
        <w:rPr>
          <w:lang w:val="en-US"/>
        </w:rPr>
      </w:pPr>
    </w:p>
    <w:p w14:paraId="542DC12C" w14:textId="77777777" w:rsidR="00DB44B8" w:rsidRDefault="00DB44B8" w:rsidP="00DB44B8">
      <w:pPr>
        <w:rPr>
          <w:lang w:val="en-US"/>
        </w:rPr>
      </w:pPr>
      <w:r>
        <w:rPr>
          <w:lang w:val="en-US"/>
        </w:rPr>
        <w:t>Non-salary forecasting functionalities include:</w:t>
      </w:r>
    </w:p>
    <w:p w14:paraId="7A58A4C6" w14:textId="77777777" w:rsidR="00DB44B8" w:rsidRDefault="00DB44B8" w:rsidP="00DB44B8">
      <w:pPr>
        <w:rPr>
          <w:lang w:val="en-US"/>
        </w:rPr>
      </w:pPr>
    </w:p>
    <w:p w14:paraId="35B6406F" w14:textId="77777777" w:rsidR="00DB44B8" w:rsidRDefault="00DB44B8" w:rsidP="00F6090D">
      <w:pPr>
        <w:pStyle w:val="ListParagraph"/>
        <w:numPr>
          <w:ilvl w:val="0"/>
          <w:numId w:val="15"/>
        </w:numPr>
        <w:rPr>
          <w:lang w:val="en-US"/>
        </w:rPr>
      </w:pPr>
      <w:r w:rsidRPr="005E1342">
        <w:rPr>
          <w:lang w:val="en-US"/>
        </w:rPr>
        <w:t xml:space="preserve">Forecast </w:t>
      </w:r>
      <w:r>
        <w:rPr>
          <w:lang w:val="en-US"/>
        </w:rPr>
        <w:t>details</w:t>
      </w:r>
    </w:p>
    <w:p w14:paraId="2BD2A995" w14:textId="23C4D2A6" w:rsidR="00DB44B8" w:rsidRDefault="00DB44B8" w:rsidP="00DB44B8">
      <w:pPr>
        <w:pStyle w:val="ListParagraph"/>
        <w:rPr>
          <w:bCs/>
          <w:lang w:val="en-US"/>
        </w:rPr>
      </w:pPr>
      <w:r w:rsidRPr="005E1342">
        <w:rPr>
          <w:bCs/>
          <w:lang w:val="en-US"/>
        </w:rPr>
        <w:t xml:space="preserve">The forecast </w:t>
      </w:r>
      <w:r>
        <w:rPr>
          <w:bCs/>
          <w:lang w:val="en-US"/>
        </w:rPr>
        <w:t xml:space="preserve">details </w:t>
      </w:r>
      <w:r w:rsidRPr="005E1342">
        <w:rPr>
          <w:bCs/>
          <w:lang w:val="en-US"/>
        </w:rPr>
        <w:t>can be used to add additional detail</w:t>
      </w:r>
      <w:r w:rsidR="00BE633E">
        <w:rPr>
          <w:bCs/>
          <w:lang w:val="en-US"/>
        </w:rPr>
        <w:t>s</w:t>
      </w:r>
      <w:r w:rsidRPr="005E1342">
        <w:rPr>
          <w:bCs/>
          <w:lang w:val="en-US"/>
        </w:rPr>
        <w:t xml:space="preserve"> when entering a forecast against every CI within a FC. The detailed information can be summed up to provide the overall forecast amount.  </w:t>
      </w:r>
    </w:p>
    <w:p w14:paraId="4BC08901" w14:textId="77777777" w:rsidR="00DB44B8" w:rsidRDefault="00DB44B8" w:rsidP="00DB44B8">
      <w:pPr>
        <w:pStyle w:val="ListParagraph"/>
        <w:rPr>
          <w:bCs/>
          <w:lang w:val="en-US"/>
        </w:rPr>
      </w:pPr>
    </w:p>
    <w:p w14:paraId="3454B6F8" w14:textId="77777777" w:rsidR="00DB44B8" w:rsidRDefault="00DB44B8" w:rsidP="00F6090D">
      <w:pPr>
        <w:pStyle w:val="ListParagraph"/>
        <w:numPr>
          <w:ilvl w:val="0"/>
          <w:numId w:val="15"/>
        </w:numPr>
        <w:rPr>
          <w:bCs/>
          <w:lang w:val="en-US"/>
        </w:rPr>
      </w:pPr>
      <w:r>
        <w:rPr>
          <w:bCs/>
          <w:lang w:val="en-US"/>
        </w:rPr>
        <w:t>Comments</w:t>
      </w:r>
    </w:p>
    <w:p w14:paraId="30FC0623" w14:textId="77777777" w:rsidR="00DB44B8" w:rsidRPr="005E1342" w:rsidRDefault="00DB44B8" w:rsidP="00DB44B8">
      <w:pPr>
        <w:pStyle w:val="ListParagraph"/>
        <w:rPr>
          <w:bCs/>
          <w:lang w:val="en-US"/>
        </w:rPr>
      </w:pPr>
      <w:r w:rsidRPr="005E1342">
        <w:rPr>
          <w:bCs/>
          <w:lang w:val="en-US"/>
        </w:rPr>
        <w:t xml:space="preserve">The comments function can be used to add and maintain additional information. The comments are </w:t>
      </w:r>
      <w:r w:rsidRPr="002C13ED">
        <w:rPr>
          <w:bCs/>
          <w:lang w:val="en-US"/>
        </w:rPr>
        <w:t>entered at the CI level and are saved within the FC forecast</w:t>
      </w:r>
      <w:r>
        <w:rPr>
          <w:bCs/>
          <w:lang w:val="en-US"/>
        </w:rPr>
        <w:t>.</w:t>
      </w:r>
    </w:p>
    <w:p w14:paraId="4F842F7A" w14:textId="77777777" w:rsidR="00DB44B8" w:rsidRDefault="00DB44B8" w:rsidP="00DB44B8">
      <w:pPr>
        <w:pStyle w:val="ListParagraph"/>
        <w:ind w:left="1440"/>
        <w:rPr>
          <w:bCs/>
          <w:lang w:val="en-US"/>
        </w:rPr>
      </w:pPr>
    </w:p>
    <w:p w14:paraId="1D1E2F18" w14:textId="77777777" w:rsidR="00DB44B8" w:rsidRDefault="00DB44B8" w:rsidP="00F6090D">
      <w:pPr>
        <w:pStyle w:val="ListParagraph"/>
        <w:numPr>
          <w:ilvl w:val="0"/>
          <w:numId w:val="15"/>
        </w:numPr>
        <w:rPr>
          <w:bCs/>
          <w:lang w:val="en-US"/>
        </w:rPr>
      </w:pPr>
      <w:r>
        <w:rPr>
          <w:bCs/>
          <w:lang w:val="en-US"/>
        </w:rPr>
        <w:t>Document attach</w:t>
      </w:r>
      <w:r w:rsidRPr="005E1342">
        <w:rPr>
          <w:bCs/>
          <w:lang w:val="en-US"/>
        </w:rPr>
        <w:t>ment</w:t>
      </w:r>
    </w:p>
    <w:p w14:paraId="2A01620B" w14:textId="77777777" w:rsidR="00DB44B8" w:rsidRDefault="00DB44B8" w:rsidP="00DB44B8">
      <w:pPr>
        <w:pStyle w:val="ListParagraph"/>
        <w:rPr>
          <w:bCs/>
          <w:lang w:val="en-US"/>
        </w:rPr>
      </w:pPr>
      <w:r>
        <w:rPr>
          <w:bCs/>
          <w:lang w:val="en-US"/>
        </w:rPr>
        <w:t>A</w:t>
      </w:r>
      <w:r w:rsidRPr="005E1342">
        <w:rPr>
          <w:bCs/>
          <w:lang w:val="en-US"/>
        </w:rPr>
        <w:t xml:space="preserve"> document can be attached to provide additional/supporting information. The documents are attached at the Fund level and are saved within the FC forecast.</w:t>
      </w:r>
    </w:p>
    <w:p w14:paraId="121B0DED" w14:textId="77777777" w:rsidR="00DB44B8" w:rsidRDefault="00DB44B8" w:rsidP="00DB44B8">
      <w:pPr>
        <w:pStyle w:val="ListParagraph"/>
        <w:rPr>
          <w:lang w:val="en-US"/>
        </w:rPr>
      </w:pPr>
    </w:p>
    <w:p w14:paraId="32F1ECFA" w14:textId="77777777" w:rsidR="00DB44B8" w:rsidRDefault="00DB44B8" w:rsidP="00F6090D">
      <w:pPr>
        <w:pStyle w:val="ListParagraph"/>
        <w:numPr>
          <w:ilvl w:val="0"/>
          <w:numId w:val="15"/>
        </w:numPr>
        <w:rPr>
          <w:lang w:val="en-US"/>
        </w:rPr>
      </w:pPr>
      <w:r>
        <w:rPr>
          <w:lang w:val="en-US"/>
        </w:rPr>
        <w:t>Change log</w:t>
      </w:r>
    </w:p>
    <w:p w14:paraId="061D0F49" w14:textId="7FCC20A2" w:rsidR="00DB44B8" w:rsidRPr="00025D1A" w:rsidRDefault="00DB44B8" w:rsidP="00DB44B8">
      <w:pPr>
        <w:pStyle w:val="ListParagraph"/>
      </w:pPr>
      <w:r>
        <w:t>The Change log can be used to track/monitor any</w:t>
      </w:r>
      <w:r w:rsidRPr="00C53B61">
        <w:t xml:space="preserve"> forecast update</w:t>
      </w:r>
      <w:r>
        <w:t>/modification to a fund</w:t>
      </w:r>
      <w:r w:rsidRPr="00C53B61">
        <w:t xml:space="preserve"> center</w:t>
      </w:r>
      <w:r>
        <w:t xml:space="preserve"> forecast</w:t>
      </w:r>
      <w:r w:rsidRPr="00C53B61">
        <w:t>.</w:t>
      </w:r>
      <w:r>
        <w:t xml:space="preserve"> The Change log displays all the updates that were made at the Fund and </w:t>
      </w:r>
      <w:r w:rsidRPr="00025D1A">
        <w:t>CI level within a FC.</w:t>
      </w:r>
    </w:p>
    <w:p w14:paraId="23E01C8B" w14:textId="77777777" w:rsidR="00DB44B8" w:rsidRPr="00025D1A" w:rsidRDefault="00DB44B8" w:rsidP="00DB44B8">
      <w:pPr>
        <w:pStyle w:val="ListParagraph"/>
      </w:pPr>
    </w:p>
    <w:p w14:paraId="67B3BCBD" w14:textId="28FA9AB5" w:rsidR="00DB44B8" w:rsidRPr="00BE7CDF" w:rsidRDefault="00DB44B8" w:rsidP="00DB44B8">
      <w:r w:rsidRPr="00BE7CDF">
        <w:t xml:space="preserve">Click </w:t>
      </w:r>
      <w:hyperlink r:id="rId32" w:history="1">
        <w:r w:rsidRPr="00BE7CDF">
          <w:rPr>
            <w:rStyle w:val="Hyperlink"/>
          </w:rPr>
          <w:t>here</w:t>
        </w:r>
      </w:hyperlink>
      <w:r w:rsidRPr="00BE7CDF">
        <w:t xml:space="preserve"> for </w:t>
      </w:r>
      <w:r w:rsidR="00832A29">
        <w:t xml:space="preserve">myEMS (SAP) </w:t>
      </w:r>
      <w:r w:rsidRPr="00BE7CDF">
        <w:t xml:space="preserve">detailed procedures </w:t>
      </w:r>
      <w:r w:rsidR="00832A29">
        <w:t>on</w:t>
      </w:r>
      <w:r w:rsidRPr="00BE7CDF">
        <w:t xml:space="preserve"> the non-salary forecasting tool.</w:t>
      </w:r>
    </w:p>
    <w:p w14:paraId="755C79FF" w14:textId="77777777" w:rsidR="00DB44B8" w:rsidRPr="00BE7CDF" w:rsidRDefault="00DB44B8" w:rsidP="00DB44B8"/>
    <w:p w14:paraId="77C11595" w14:textId="77777777" w:rsidR="00DB44B8" w:rsidRPr="00BE7CDF" w:rsidRDefault="00DB44B8" w:rsidP="00F6090D">
      <w:pPr>
        <w:pStyle w:val="Heading3"/>
        <w:numPr>
          <w:ilvl w:val="2"/>
          <w:numId w:val="1"/>
        </w:numPr>
      </w:pPr>
      <w:bookmarkStart w:id="30" w:name="_Toc72402754"/>
      <w:r w:rsidRPr="00BE7CDF">
        <w:t>Forecasting Input Report</w:t>
      </w:r>
      <w:r>
        <w:t xml:space="preserve"> (FR12)</w:t>
      </w:r>
      <w:bookmarkEnd w:id="30"/>
    </w:p>
    <w:p w14:paraId="4565EF56" w14:textId="77777777" w:rsidR="00DB44B8" w:rsidRPr="00BE7CDF" w:rsidRDefault="00DB44B8" w:rsidP="00DB44B8">
      <w:pPr>
        <w:rPr>
          <w:bCs/>
          <w:lang w:val="en-US"/>
        </w:rPr>
      </w:pPr>
    </w:p>
    <w:p w14:paraId="729B99F8" w14:textId="318089F4" w:rsidR="00DB44B8" w:rsidRPr="00BE7CDF" w:rsidRDefault="00DB44B8" w:rsidP="00DB44B8">
      <w:pPr>
        <w:rPr>
          <w:bCs/>
          <w:lang w:val="en-US"/>
        </w:rPr>
      </w:pPr>
      <w:r w:rsidRPr="00BE7CDF">
        <w:rPr>
          <w:bCs/>
          <w:lang w:val="en-US"/>
        </w:rPr>
        <w:t xml:space="preserve">The </w:t>
      </w:r>
      <w:r w:rsidR="00BE633E">
        <w:rPr>
          <w:bCs/>
          <w:lang w:val="en-US"/>
        </w:rPr>
        <w:t xml:space="preserve">non-salary forecasting tool </w:t>
      </w:r>
      <w:r w:rsidRPr="00BE7CDF">
        <w:rPr>
          <w:bCs/>
          <w:lang w:val="en-US"/>
        </w:rPr>
        <w:t>Forecasting Input Report</w:t>
      </w:r>
      <w:r w:rsidR="00BE633E">
        <w:rPr>
          <w:bCs/>
          <w:lang w:val="en-US"/>
        </w:rPr>
        <w:t xml:space="preserve"> (FR12)</w:t>
      </w:r>
      <w:r w:rsidRPr="00BE7CDF">
        <w:rPr>
          <w:bCs/>
          <w:lang w:val="en-US"/>
        </w:rPr>
        <w:t xml:space="preserve"> is used to report the non-personnel forecast and information that has been entered in the Forecasting Input screen</w:t>
      </w:r>
      <w:r w:rsidR="005E1368">
        <w:rPr>
          <w:bCs/>
          <w:lang w:val="en-US"/>
        </w:rPr>
        <w:t xml:space="preserve"> (FR11)</w:t>
      </w:r>
      <w:r w:rsidRPr="00BE7CDF">
        <w:rPr>
          <w:bCs/>
          <w:lang w:val="en-US"/>
        </w:rPr>
        <w:t xml:space="preserve">, by FC, Fund, CI, Forecast Version </w:t>
      </w:r>
      <w:r w:rsidR="00D96BC0">
        <w:rPr>
          <w:bCs/>
          <w:lang w:val="en-US"/>
        </w:rPr>
        <w:t>(From F01 to F12 or current forecast under F00</w:t>
      </w:r>
      <w:r w:rsidR="005B3623">
        <w:rPr>
          <w:bCs/>
          <w:lang w:val="en-US"/>
        </w:rPr>
        <w:t>)</w:t>
      </w:r>
      <w:r w:rsidR="00D96BC0">
        <w:rPr>
          <w:bCs/>
          <w:lang w:val="en-US"/>
        </w:rPr>
        <w:t xml:space="preserve"> </w:t>
      </w:r>
      <w:r w:rsidRPr="00BE7CDF">
        <w:rPr>
          <w:bCs/>
          <w:lang w:val="en-US"/>
        </w:rPr>
        <w:t>and Forecast Type (O&amp;M, Program Funds, VNR). In addition to summary forecast amounts, this report has the ability to report on comments and detailed forecast items. The non-</w:t>
      </w:r>
      <w:r w:rsidR="00BB7687" w:rsidRPr="00BE7CDF">
        <w:rPr>
          <w:bCs/>
          <w:lang w:val="en-US"/>
        </w:rPr>
        <w:t>personnel</w:t>
      </w:r>
      <w:r w:rsidRPr="00BE7CDF">
        <w:rPr>
          <w:bCs/>
          <w:lang w:val="en-US"/>
        </w:rPr>
        <w:t xml:space="preserve"> forecast and information can be exported to Excel or PDF to be printed.</w:t>
      </w:r>
    </w:p>
    <w:p w14:paraId="566EB63B" w14:textId="77777777" w:rsidR="00DB44B8" w:rsidRPr="00BE7CDF" w:rsidRDefault="00DB44B8" w:rsidP="00DB44B8">
      <w:pPr>
        <w:rPr>
          <w:bCs/>
          <w:lang w:val="en-US"/>
        </w:rPr>
      </w:pPr>
    </w:p>
    <w:p w14:paraId="7051C814" w14:textId="77777777" w:rsidR="00DB44B8" w:rsidRPr="00BE7CDF" w:rsidRDefault="00DB44B8" w:rsidP="00F6090D">
      <w:pPr>
        <w:pStyle w:val="Heading3"/>
        <w:numPr>
          <w:ilvl w:val="2"/>
          <w:numId w:val="1"/>
        </w:numPr>
      </w:pPr>
      <w:bookmarkStart w:id="31" w:name="_Toc72402755"/>
      <w:r w:rsidRPr="00BE7CDF">
        <w:t>O&amp;M Commitment</w:t>
      </w:r>
      <w:r>
        <w:t>s</w:t>
      </w:r>
      <w:bookmarkEnd w:id="31"/>
    </w:p>
    <w:p w14:paraId="0C758E85" w14:textId="77777777" w:rsidR="00DB44B8" w:rsidRPr="0048086E" w:rsidRDefault="00DB44B8" w:rsidP="00DB44B8">
      <w:pPr>
        <w:rPr>
          <w:bCs/>
        </w:rPr>
      </w:pPr>
    </w:p>
    <w:p w14:paraId="14E9437C" w14:textId="4C5C2303" w:rsidR="00DB44B8" w:rsidRDefault="00DB44B8" w:rsidP="00DB44B8">
      <w:r w:rsidRPr="000B48F2">
        <w:t xml:space="preserve">Fund commitments in </w:t>
      </w:r>
      <w:r>
        <w:t>myEMS</w:t>
      </w:r>
      <w:r w:rsidR="004D6075">
        <w:t xml:space="preserve"> </w:t>
      </w:r>
      <w:r>
        <w:t>(SAP)</w:t>
      </w:r>
      <w:r w:rsidRPr="000B48F2">
        <w:t xml:space="preserve"> are to be used only to reserve budget for specific situations</w:t>
      </w:r>
      <w:r>
        <w:t xml:space="preserve"> s</w:t>
      </w:r>
      <w:r w:rsidR="00BE633E">
        <w:t>uch as</w:t>
      </w:r>
      <w:r w:rsidRPr="000B48F2">
        <w:t xml:space="preserve">: </w:t>
      </w:r>
    </w:p>
    <w:p w14:paraId="53CEA43E" w14:textId="77777777" w:rsidR="00DB44B8" w:rsidRPr="000B48F2" w:rsidRDefault="00DB44B8" w:rsidP="00DB44B8"/>
    <w:p w14:paraId="397FC134" w14:textId="77777777" w:rsidR="00DB44B8" w:rsidRPr="00025D1A" w:rsidRDefault="00DB44B8" w:rsidP="00F6090D">
      <w:pPr>
        <w:numPr>
          <w:ilvl w:val="0"/>
          <w:numId w:val="5"/>
        </w:numPr>
        <w:tabs>
          <w:tab w:val="clear" w:pos="720"/>
          <w:tab w:val="num" w:pos="1080"/>
        </w:tabs>
        <w:autoSpaceDE w:val="0"/>
        <w:autoSpaceDN w:val="0"/>
        <w:adjustRightInd w:val="0"/>
        <w:spacing w:before="60"/>
        <w:ind w:left="1077" w:hanging="357"/>
        <w:rPr>
          <w:rFonts w:cs="Arial"/>
          <w:lang w:val="en-US"/>
        </w:rPr>
      </w:pPr>
      <w:r w:rsidRPr="00087646">
        <w:rPr>
          <w:rFonts w:cs="Arial"/>
          <w:lang w:val="en-US"/>
        </w:rPr>
        <w:t xml:space="preserve">A memorandum of understanding (MOU) with other government departments/ agencies or with </w:t>
      </w:r>
      <w:r w:rsidRPr="00025D1A">
        <w:rPr>
          <w:rFonts w:cs="Arial"/>
          <w:lang w:val="en-US"/>
        </w:rPr>
        <w:t>other levels of government;</w:t>
      </w:r>
    </w:p>
    <w:p w14:paraId="7523CA32" w14:textId="77777777" w:rsidR="00DB44B8" w:rsidRPr="00025D1A" w:rsidRDefault="00DB44B8" w:rsidP="00F6090D">
      <w:pPr>
        <w:numPr>
          <w:ilvl w:val="0"/>
          <w:numId w:val="5"/>
        </w:numPr>
        <w:tabs>
          <w:tab w:val="clear" w:pos="720"/>
          <w:tab w:val="num" w:pos="1080"/>
        </w:tabs>
        <w:autoSpaceDE w:val="0"/>
        <w:autoSpaceDN w:val="0"/>
        <w:adjustRightInd w:val="0"/>
        <w:spacing w:before="60"/>
        <w:ind w:left="1077" w:hanging="357"/>
        <w:rPr>
          <w:rFonts w:cs="Arial"/>
          <w:lang w:val="en-US"/>
        </w:rPr>
      </w:pPr>
      <w:r w:rsidRPr="00025D1A">
        <w:rPr>
          <w:rFonts w:cs="Arial"/>
          <w:lang w:val="en-US"/>
        </w:rPr>
        <w:t>Postage and Courier Services;</w:t>
      </w:r>
    </w:p>
    <w:p w14:paraId="7910C5FD" w14:textId="77777777" w:rsidR="00DB44B8" w:rsidRPr="00025D1A" w:rsidRDefault="00DB44B8" w:rsidP="00F6090D">
      <w:pPr>
        <w:numPr>
          <w:ilvl w:val="0"/>
          <w:numId w:val="5"/>
        </w:numPr>
        <w:tabs>
          <w:tab w:val="clear" w:pos="720"/>
          <w:tab w:val="num" w:pos="1080"/>
        </w:tabs>
        <w:autoSpaceDE w:val="0"/>
        <w:autoSpaceDN w:val="0"/>
        <w:adjustRightInd w:val="0"/>
        <w:spacing w:before="60"/>
        <w:ind w:left="1077" w:hanging="357"/>
        <w:rPr>
          <w:rFonts w:cs="Arial"/>
          <w:lang w:val="en-US"/>
        </w:rPr>
      </w:pPr>
      <w:r w:rsidRPr="00025D1A">
        <w:rPr>
          <w:rFonts w:cs="Arial"/>
          <w:lang w:val="en-US"/>
        </w:rPr>
        <w:t>Reimbursement to employees:</w:t>
      </w:r>
    </w:p>
    <w:p w14:paraId="1388756C" w14:textId="77777777" w:rsidR="00DB44B8" w:rsidRPr="00087646" w:rsidRDefault="00DB44B8" w:rsidP="00F6090D">
      <w:pPr>
        <w:pStyle w:val="ListParagraph"/>
        <w:numPr>
          <w:ilvl w:val="0"/>
          <w:numId w:val="14"/>
        </w:numPr>
        <w:autoSpaceDE w:val="0"/>
        <w:autoSpaceDN w:val="0"/>
        <w:adjustRightInd w:val="0"/>
        <w:spacing w:before="60"/>
        <w:rPr>
          <w:rFonts w:cs="Arial"/>
          <w:lang w:val="en-US"/>
        </w:rPr>
      </w:pPr>
      <w:r w:rsidRPr="00025D1A">
        <w:rPr>
          <w:rFonts w:cs="Arial"/>
          <w:lang w:val="en-US"/>
        </w:rPr>
        <w:t xml:space="preserve">Membership </w:t>
      </w:r>
      <w:r>
        <w:rPr>
          <w:rFonts w:cs="Arial"/>
          <w:lang w:val="en-US"/>
        </w:rPr>
        <w:t xml:space="preserve">fees </w:t>
      </w:r>
      <w:r w:rsidRPr="00025D1A">
        <w:rPr>
          <w:rFonts w:cs="Arial"/>
          <w:lang w:val="en-US"/>
        </w:rPr>
        <w:t>except</w:t>
      </w:r>
      <w:r w:rsidRPr="00087646">
        <w:rPr>
          <w:rFonts w:cs="Arial"/>
          <w:lang w:val="en-US"/>
        </w:rPr>
        <w:t xml:space="preserve"> fees relating to an employee’s collective agreement;</w:t>
      </w:r>
    </w:p>
    <w:p w14:paraId="750D631C" w14:textId="77777777" w:rsidR="00DB44B8" w:rsidRPr="00087646" w:rsidRDefault="00DB44B8" w:rsidP="00F6090D">
      <w:pPr>
        <w:pStyle w:val="ListParagraph"/>
        <w:numPr>
          <w:ilvl w:val="0"/>
          <w:numId w:val="14"/>
        </w:numPr>
        <w:rPr>
          <w:rFonts w:cs="Arial"/>
          <w:lang w:val="en-US"/>
        </w:rPr>
      </w:pPr>
      <w:r w:rsidRPr="00087646">
        <w:rPr>
          <w:rFonts w:cs="Arial"/>
          <w:lang w:val="en-US"/>
        </w:rPr>
        <w:t>Reimbursement of tuition;</w:t>
      </w:r>
    </w:p>
    <w:p w14:paraId="1DA00FD3" w14:textId="77777777" w:rsidR="00DB44B8" w:rsidRPr="00087646" w:rsidRDefault="00DB44B8" w:rsidP="00F6090D">
      <w:pPr>
        <w:pStyle w:val="ListParagraph"/>
        <w:numPr>
          <w:ilvl w:val="0"/>
          <w:numId w:val="14"/>
        </w:numPr>
        <w:autoSpaceDE w:val="0"/>
        <w:autoSpaceDN w:val="0"/>
        <w:adjustRightInd w:val="0"/>
        <w:spacing w:before="60"/>
        <w:rPr>
          <w:rFonts w:cs="Arial"/>
          <w:lang w:val="en-US"/>
        </w:rPr>
      </w:pPr>
      <w:r w:rsidRPr="00087646">
        <w:rPr>
          <w:rFonts w:cs="Arial"/>
          <w:lang w:val="en-US"/>
        </w:rPr>
        <w:t>Hospitality/Event Expenses;</w:t>
      </w:r>
    </w:p>
    <w:p w14:paraId="208BE5CD" w14:textId="77777777" w:rsidR="00DB44B8" w:rsidRDefault="00DB44B8" w:rsidP="00F6090D">
      <w:pPr>
        <w:pStyle w:val="ListParagraph"/>
        <w:numPr>
          <w:ilvl w:val="0"/>
          <w:numId w:val="14"/>
        </w:numPr>
        <w:autoSpaceDE w:val="0"/>
        <w:autoSpaceDN w:val="0"/>
        <w:adjustRightInd w:val="0"/>
        <w:spacing w:before="60"/>
        <w:rPr>
          <w:rFonts w:cs="Arial"/>
          <w:lang w:val="en-US"/>
        </w:rPr>
      </w:pPr>
      <w:r w:rsidRPr="00087646">
        <w:rPr>
          <w:rFonts w:cs="Arial"/>
          <w:lang w:val="en-US"/>
        </w:rPr>
        <w:t xml:space="preserve">Conference </w:t>
      </w:r>
      <w:r>
        <w:rPr>
          <w:rFonts w:cs="Arial"/>
          <w:lang w:val="en-US"/>
        </w:rPr>
        <w:t>f</w:t>
      </w:r>
      <w:r w:rsidRPr="00087646">
        <w:rPr>
          <w:rFonts w:cs="Arial"/>
          <w:lang w:val="en-US"/>
        </w:rPr>
        <w:t>ees.</w:t>
      </w:r>
    </w:p>
    <w:p w14:paraId="31FB9C46" w14:textId="77777777" w:rsidR="00DB44B8" w:rsidRDefault="00DB44B8" w:rsidP="00DB44B8">
      <w:pPr>
        <w:pStyle w:val="ListParagraph"/>
        <w:autoSpaceDE w:val="0"/>
        <w:autoSpaceDN w:val="0"/>
        <w:adjustRightInd w:val="0"/>
        <w:spacing w:before="60"/>
        <w:ind w:left="1797"/>
        <w:rPr>
          <w:rFonts w:cs="Arial"/>
          <w:lang w:val="en-US"/>
        </w:rPr>
      </w:pPr>
    </w:p>
    <w:p w14:paraId="1CA7091E" w14:textId="77777777" w:rsidR="00DB44B8" w:rsidRPr="00087646" w:rsidRDefault="00DB44B8" w:rsidP="00F6090D">
      <w:pPr>
        <w:numPr>
          <w:ilvl w:val="0"/>
          <w:numId w:val="5"/>
        </w:numPr>
        <w:tabs>
          <w:tab w:val="clear" w:pos="720"/>
          <w:tab w:val="num" w:pos="1080"/>
        </w:tabs>
        <w:autoSpaceDE w:val="0"/>
        <w:autoSpaceDN w:val="0"/>
        <w:adjustRightInd w:val="0"/>
        <w:spacing w:before="60"/>
        <w:ind w:left="1077" w:hanging="357"/>
        <w:rPr>
          <w:rFonts w:cs="Arial"/>
          <w:lang w:val="en-US"/>
        </w:rPr>
      </w:pPr>
      <w:r w:rsidRPr="00087646">
        <w:rPr>
          <w:rFonts w:cs="Arial"/>
          <w:lang w:val="en-US"/>
        </w:rPr>
        <w:t>Common System for Grants and Contributions (CSGC) Funds Commitment interfaced through Partner Systems;</w:t>
      </w:r>
    </w:p>
    <w:p w14:paraId="4F1575A6" w14:textId="77777777" w:rsidR="00DB44B8" w:rsidRPr="00087646" w:rsidRDefault="00DB44B8" w:rsidP="00F6090D">
      <w:pPr>
        <w:numPr>
          <w:ilvl w:val="0"/>
          <w:numId w:val="5"/>
        </w:numPr>
        <w:tabs>
          <w:tab w:val="clear" w:pos="720"/>
          <w:tab w:val="num" w:pos="1080"/>
        </w:tabs>
        <w:autoSpaceDE w:val="0"/>
        <w:autoSpaceDN w:val="0"/>
        <w:adjustRightInd w:val="0"/>
        <w:spacing w:before="60"/>
        <w:ind w:left="1077" w:hanging="357"/>
        <w:rPr>
          <w:rFonts w:cs="Arial"/>
          <w:lang w:val="en-US"/>
        </w:rPr>
      </w:pPr>
      <w:r w:rsidRPr="00087646">
        <w:rPr>
          <w:rFonts w:cs="Arial"/>
          <w:lang w:val="en-US"/>
        </w:rPr>
        <w:t xml:space="preserve">Grants &amp; Contributions (G&amp;C) </w:t>
      </w:r>
      <w:r>
        <w:rPr>
          <w:rFonts w:cs="Arial"/>
          <w:lang w:val="en-US"/>
        </w:rPr>
        <w:t>c</w:t>
      </w:r>
      <w:r w:rsidRPr="00087646">
        <w:rPr>
          <w:rFonts w:cs="Arial"/>
          <w:lang w:val="en-US"/>
        </w:rPr>
        <w:t>ommitments used for non-CSGC G&amp;C;</w:t>
      </w:r>
    </w:p>
    <w:p w14:paraId="054F5286" w14:textId="77777777" w:rsidR="00DB44B8" w:rsidRPr="00087646" w:rsidRDefault="00DB44B8" w:rsidP="00F6090D">
      <w:pPr>
        <w:numPr>
          <w:ilvl w:val="0"/>
          <w:numId w:val="5"/>
        </w:numPr>
        <w:tabs>
          <w:tab w:val="clear" w:pos="720"/>
          <w:tab w:val="num" w:pos="1080"/>
        </w:tabs>
        <w:autoSpaceDE w:val="0"/>
        <w:autoSpaceDN w:val="0"/>
        <w:adjustRightInd w:val="0"/>
        <w:spacing w:before="60"/>
        <w:ind w:left="1077" w:hanging="357"/>
        <w:rPr>
          <w:rFonts w:cs="Arial"/>
          <w:lang w:val="en-US"/>
        </w:rPr>
      </w:pPr>
      <w:r w:rsidRPr="00087646">
        <w:rPr>
          <w:rFonts w:cs="Arial"/>
          <w:lang w:val="en-US"/>
        </w:rPr>
        <w:t>Travel Commitments for non-public servant</w:t>
      </w:r>
      <w:r>
        <w:rPr>
          <w:rFonts w:cs="Arial"/>
          <w:lang w:val="en-US"/>
        </w:rPr>
        <w:t>s</w:t>
      </w:r>
      <w:r w:rsidRPr="00087646">
        <w:rPr>
          <w:rFonts w:cs="Arial"/>
          <w:lang w:val="en-US"/>
        </w:rPr>
        <w:t xml:space="preserve"> travel;</w:t>
      </w:r>
    </w:p>
    <w:p w14:paraId="4F1DA3C3" w14:textId="77777777" w:rsidR="00DB44B8" w:rsidRPr="00087646" w:rsidRDefault="00DB44B8" w:rsidP="00F6090D">
      <w:pPr>
        <w:numPr>
          <w:ilvl w:val="0"/>
          <w:numId w:val="5"/>
        </w:numPr>
        <w:tabs>
          <w:tab w:val="clear" w:pos="720"/>
          <w:tab w:val="num" w:pos="1080"/>
        </w:tabs>
        <w:autoSpaceDE w:val="0"/>
        <w:autoSpaceDN w:val="0"/>
        <w:adjustRightInd w:val="0"/>
        <w:spacing w:before="60"/>
        <w:ind w:left="1077" w:hanging="357"/>
        <w:rPr>
          <w:rFonts w:cs="Arial"/>
          <w:lang w:val="en-US"/>
        </w:rPr>
      </w:pPr>
      <w:r w:rsidRPr="00087646">
        <w:rPr>
          <w:rFonts w:cs="Arial"/>
          <w:lang w:val="en-US"/>
        </w:rPr>
        <w:t>Non-Salary Interdepartmental Settlement (IS) including training with Canada School of Public Service (CSPS).</w:t>
      </w:r>
    </w:p>
    <w:p w14:paraId="3F205BD0" w14:textId="77777777" w:rsidR="00DB44B8" w:rsidRPr="000B48F2" w:rsidRDefault="00DB44B8" w:rsidP="00DB44B8"/>
    <w:p w14:paraId="576F0A96" w14:textId="420DB05A" w:rsidR="00DB44B8" w:rsidRPr="000B48F2" w:rsidRDefault="00DB44B8" w:rsidP="00DB44B8">
      <w:r w:rsidRPr="000B48F2">
        <w:lastRenderedPageBreak/>
        <w:t>A vendor</w:t>
      </w:r>
      <w:r>
        <w:t xml:space="preserve"> number</w:t>
      </w:r>
      <w:r w:rsidRPr="000B48F2">
        <w:t xml:space="preserve"> should be input for all funds commitments.  </w:t>
      </w:r>
      <w:r w:rsidR="002B26A0">
        <w:t>This will enable the ability to</w:t>
      </w:r>
      <w:r w:rsidRPr="000B48F2">
        <w:t xml:space="preserve"> convert</w:t>
      </w:r>
      <w:r w:rsidR="002B26A0">
        <w:t xml:space="preserve"> automatically</w:t>
      </w:r>
      <w:r w:rsidRPr="000B48F2">
        <w:t xml:space="preserve"> any unused balance into a PAYE</w:t>
      </w:r>
      <w:r>
        <w:t xml:space="preserve"> at year-end</w:t>
      </w:r>
      <w:r w:rsidRPr="000B48F2">
        <w:t>, if applicable.</w:t>
      </w:r>
    </w:p>
    <w:p w14:paraId="59F5F608" w14:textId="77777777" w:rsidR="00DB44B8" w:rsidRPr="000B48F2" w:rsidRDefault="00DB44B8" w:rsidP="00DB44B8"/>
    <w:p w14:paraId="4BEC6D11" w14:textId="310DCEF9" w:rsidR="00DB44B8" w:rsidRDefault="00DB44B8" w:rsidP="00DB44B8">
      <w:r w:rsidRPr="000B48F2">
        <w:t xml:space="preserve">Other types of purchases should be made either </w:t>
      </w:r>
      <w:r>
        <w:t xml:space="preserve">by </w:t>
      </w:r>
      <w:r w:rsidRPr="000B48F2">
        <w:t xml:space="preserve">using an acquisition card or </w:t>
      </w:r>
      <w:r>
        <w:t>via the establishment of a contract (</w:t>
      </w:r>
      <w:r w:rsidRPr="000B48F2">
        <w:t>purchase order</w:t>
      </w:r>
      <w:r>
        <w:t>/</w:t>
      </w:r>
      <w:r w:rsidRPr="000B48F2">
        <w:t>purchase requisition</w:t>
      </w:r>
      <w:r>
        <w:t>)</w:t>
      </w:r>
      <w:r w:rsidRPr="000B48F2">
        <w:t xml:space="preserve">. These "reserved" funds are then committed </w:t>
      </w:r>
      <w:r>
        <w:t>with</w:t>
      </w:r>
      <w:r w:rsidRPr="000B48F2">
        <w:t xml:space="preserve"> the financial coding used to pay the invoice (no manual commitment required). </w:t>
      </w:r>
    </w:p>
    <w:p w14:paraId="48210F0D" w14:textId="77777777" w:rsidR="00DB44B8" w:rsidRPr="0048086E" w:rsidRDefault="00DB44B8" w:rsidP="00DB44B8">
      <w:pPr>
        <w:rPr>
          <w:sz w:val="28"/>
          <w:szCs w:val="28"/>
        </w:rPr>
      </w:pPr>
    </w:p>
    <w:p w14:paraId="374B3273" w14:textId="77777777" w:rsidR="00DB44B8" w:rsidRPr="00B848A1" w:rsidRDefault="00DB44B8" w:rsidP="00F6090D">
      <w:pPr>
        <w:pStyle w:val="Heading3"/>
        <w:numPr>
          <w:ilvl w:val="2"/>
          <w:numId w:val="1"/>
        </w:numPr>
      </w:pPr>
      <w:bookmarkStart w:id="32" w:name="_Toc72402756"/>
      <w:r w:rsidRPr="00B848A1">
        <w:t>Travel, Hospitality, Conference and Events Forecast</w:t>
      </w:r>
      <w:r>
        <w:t>s</w:t>
      </w:r>
      <w:bookmarkEnd w:id="32"/>
    </w:p>
    <w:p w14:paraId="5ADB3F9D" w14:textId="77777777" w:rsidR="00DB44B8" w:rsidRPr="00B848A1" w:rsidRDefault="00DB44B8" w:rsidP="00DB44B8"/>
    <w:p w14:paraId="28246212" w14:textId="3F552BE4" w:rsidR="00DB44B8" w:rsidRPr="00B848A1" w:rsidRDefault="00DB44B8" w:rsidP="00DB44B8">
      <w:r w:rsidRPr="00B848A1">
        <w:t xml:space="preserve">Deputy Heads must approve annual budgets for travel, hospitality, conference and event costs, ensure there are adequate departmental control mechanisms for these costs, and disclose them on the departmental website, including information on variances from previous years. Branches/regions </w:t>
      </w:r>
      <w:r>
        <w:t>are</w:t>
      </w:r>
      <w:r w:rsidRPr="00B848A1">
        <w:t xml:space="preserve"> held accountable to a single ceiling amount that may be managed within the four components (travel, hospitality, conference, and events), thereby allowing some operational flexibility. </w:t>
      </w:r>
    </w:p>
    <w:p w14:paraId="16D325EE" w14:textId="77777777" w:rsidR="00DB44B8" w:rsidRPr="00B848A1" w:rsidRDefault="00DB44B8" w:rsidP="00DB44B8"/>
    <w:p w14:paraId="3D62E9B0" w14:textId="77777777" w:rsidR="00DB44B8" w:rsidRPr="00B848A1" w:rsidRDefault="00DB44B8" w:rsidP="00DB44B8">
      <w:r>
        <w:t xml:space="preserve">Forecasts for </w:t>
      </w:r>
      <w:r w:rsidRPr="00B848A1">
        <w:t>Travel, Hospitality and Conference</w:t>
      </w:r>
      <w:r>
        <w:t>s are monitored</w:t>
      </w:r>
      <w:r w:rsidRPr="00B848A1">
        <w:t xml:space="preserve"> to</w:t>
      </w:r>
      <w:r>
        <w:t xml:space="preserve"> ensure branches/regions do not exceed approved spending ceilings.</w:t>
      </w:r>
      <w:r w:rsidRPr="00B848A1">
        <w:t xml:space="preserve"> </w:t>
      </w:r>
    </w:p>
    <w:p w14:paraId="16ABD0B1" w14:textId="77777777" w:rsidR="00DB44B8" w:rsidRPr="00B848A1" w:rsidRDefault="00DB44B8" w:rsidP="00DB44B8"/>
    <w:p w14:paraId="5871E247" w14:textId="5E364054" w:rsidR="00DB44B8" w:rsidRPr="00B848A1" w:rsidRDefault="002B26A0" w:rsidP="00DB44B8">
      <w:r w:rsidRPr="00B848A1">
        <w:t>Also,</w:t>
      </w:r>
      <w:r w:rsidR="00DB44B8" w:rsidRPr="00B848A1">
        <w:t xml:space="preserve"> note that all consultant costs related to travel must be charged to a travel GL account as opposed to being charged to the applicable consultant GL account. </w:t>
      </w:r>
    </w:p>
    <w:p w14:paraId="24029EAD" w14:textId="77777777" w:rsidR="00DB44B8" w:rsidRPr="00B848A1" w:rsidRDefault="00DB44B8" w:rsidP="00DB44B8"/>
    <w:p w14:paraId="138E275F" w14:textId="77777777" w:rsidR="00DB44B8" w:rsidRPr="00B848A1" w:rsidRDefault="00DB44B8" w:rsidP="00F6090D">
      <w:pPr>
        <w:pStyle w:val="Heading3"/>
        <w:numPr>
          <w:ilvl w:val="2"/>
          <w:numId w:val="1"/>
        </w:numPr>
      </w:pPr>
      <w:bookmarkStart w:id="33" w:name="_Toc72402757"/>
      <w:r w:rsidRPr="00B848A1">
        <w:t>Centrally-Managed Cost Pools (CMCP) Forecast</w:t>
      </w:r>
      <w:r>
        <w:t>s</w:t>
      </w:r>
      <w:bookmarkEnd w:id="33"/>
    </w:p>
    <w:p w14:paraId="4F8916CA" w14:textId="77777777" w:rsidR="00DB44B8" w:rsidRPr="00B848A1" w:rsidRDefault="00DB44B8" w:rsidP="00DB44B8"/>
    <w:p w14:paraId="593C34D3" w14:textId="79C9E94A" w:rsidR="00DB44B8" w:rsidRPr="00F00681" w:rsidRDefault="00DB44B8" w:rsidP="00DB44B8">
      <w:pPr>
        <w:rPr>
          <w:lang w:val="en-US"/>
        </w:rPr>
      </w:pPr>
      <w:r w:rsidRPr="00F00681">
        <w:t xml:space="preserve">All departmental CMCPs roll-up to a separate FC </w:t>
      </w:r>
      <w:r w:rsidR="005E1368">
        <w:t>c</w:t>
      </w:r>
      <w:r w:rsidRPr="00F00681">
        <w:t>ode for budgetary control purposes. For forecasting purposes</w:t>
      </w:r>
      <w:r>
        <w:t xml:space="preserve"> however</w:t>
      </w:r>
      <w:r w:rsidRPr="00F00681">
        <w:t>, t</w:t>
      </w:r>
      <w:r w:rsidRPr="00F00681">
        <w:rPr>
          <w:lang w:val="en-US"/>
        </w:rPr>
        <w:t>he FCM</w:t>
      </w:r>
      <w:r w:rsidR="001F72BC">
        <w:rPr>
          <w:lang w:val="en-US"/>
        </w:rPr>
        <w:t>s</w:t>
      </w:r>
      <w:r w:rsidRPr="00F00681">
        <w:rPr>
          <w:lang w:val="en-US"/>
        </w:rPr>
        <w:t xml:space="preserve"> responsible for the CMCP</w:t>
      </w:r>
      <w:r w:rsidR="001F72BC">
        <w:rPr>
          <w:lang w:val="en-US"/>
        </w:rPr>
        <w:t>s</w:t>
      </w:r>
      <w:r w:rsidRPr="00F00681">
        <w:rPr>
          <w:lang w:val="en-US"/>
        </w:rPr>
        <w:t xml:space="preserve"> will need to input their forecast in the non-salary forecasting tool, under the appropriate CMCP FC.  </w:t>
      </w:r>
    </w:p>
    <w:p w14:paraId="75C35CA3" w14:textId="77777777" w:rsidR="00DB44B8" w:rsidRPr="00F00681" w:rsidRDefault="00DB44B8" w:rsidP="00DB44B8">
      <w:pPr>
        <w:rPr>
          <w:lang w:val="en-US"/>
        </w:rPr>
      </w:pPr>
    </w:p>
    <w:p w14:paraId="62C5DF2F" w14:textId="77777777" w:rsidR="00DB44B8" w:rsidRPr="00B848A1" w:rsidRDefault="00DB44B8" w:rsidP="00F6090D">
      <w:pPr>
        <w:pStyle w:val="Heading3"/>
        <w:numPr>
          <w:ilvl w:val="2"/>
          <w:numId w:val="1"/>
        </w:numPr>
      </w:pPr>
      <w:bookmarkStart w:id="34" w:name="_Toc72402758"/>
      <w:r w:rsidRPr="00B848A1">
        <w:t>Learning Investment Fund (LIF)</w:t>
      </w:r>
      <w:bookmarkEnd w:id="34"/>
    </w:p>
    <w:p w14:paraId="5C100595" w14:textId="77777777" w:rsidR="00DB44B8" w:rsidRPr="00B848A1" w:rsidRDefault="00DB44B8" w:rsidP="00DB44B8"/>
    <w:p w14:paraId="6DB31A77" w14:textId="3EACB62C" w:rsidR="00DB44B8" w:rsidRPr="00162867" w:rsidRDefault="00DB44B8" w:rsidP="00DB44B8">
      <w:pPr>
        <w:rPr>
          <w:lang w:val="en-US"/>
        </w:rPr>
      </w:pPr>
      <w:r w:rsidRPr="00162867">
        <w:rPr>
          <w:lang w:val="en-US"/>
        </w:rPr>
        <w:t xml:space="preserve">All non-personnel investments in learning, training and developmental activities must be coded to Fund B011 and be used with a </w:t>
      </w:r>
      <w:hyperlink r:id="rId33" w:history="1">
        <w:r w:rsidRPr="00162867">
          <w:rPr>
            <w:rStyle w:val="Hyperlink"/>
            <w:lang w:val="en-US"/>
          </w:rPr>
          <w:t>learning code</w:t>
        </w:r>
      </w:hyperlink>
      <w:r w:rsidRPr="00162867">
        <w:rPr>
          <w:lang w:val="en-US"/>
        </w:rPr>
        <w:t xml:space="preserve">.  </w:t>
      </w:r>
    </w:p>
    <w:p w14:paraId="4551EBAA" w14:textId="3CA384FE" w:rsidR="00CF20F0" w:rsidRDefault="00CF20F0" w:rsidP="00DB44B8">
      <w:pPr>
        <w:rPr>
          <w:lang w:val="en-US"/>
        </w:rPr>
      </w:pPr>
    </w:p>
    <w:p w14:paraId="4323F5D7" w14:textId="77777777" w:rsidR="00CF20F0" w:rsidRPr="00401FA8" w:rsidRDefault="00CF20F0" w:rsidP="00CF20F0">
      <w:r w:rsidRPr="00401FA8">
        <w:t xml:space="preserve">Branches and regions are to forecast their full requirements under Fund B011. </w:t>
      </w:r>
      <w:r>
        <w:t>B</w:t>
      </w:r>
      <w:r w:rsidRPr="00401FA8">
        <w:t>ranches/regions are free to top up their LIF budget by transferring funds from their operating budget (B001) to their LIF budget (B011). Branches and regions (LIF participants only) are required to identify any funding pressures, or surplus resources, for the period as reallocations and adjustments will be made as required.</w:t>
      </w:r>
    </w:p>
    <w:p w14:paraId="559B1857" w14:textId="77777777" w:rsidR="00CF20F0" w:rsidRDefault="00CF20F0" w:rsidP="00CF20F0"/>
    <w:p w14:paraId="60F5AC12" w14:textId="77777777" w:rsidR="0086617B" w:rsidRDefault="0086617B" w:rsidP="00CF20F0"/>
    <w:p w14:paraId="3A019646" w14:textId="05A30C89" w:rsidR="00CF20F0" w:rsidRDefault="00CF20F0" w:rsidP="00CF20F0">
      <w:r w:rsidRPr="00401FA8">
        <w:lastRenderedPageBreak/>
        <w:t>Please note that:</w:t>
      </w:r>
    </w:p>
    <w:p w14:paraId="5B2491A0" w14:textId="77777777" w:rsidR="002B357F" w:rsidRPr="00401FA8" w:rsidRDefault="002B357F" w:rsidP="00CF20F0"/>
    <w:p w14:paraId="69EEDF02" w14:textId="5207BCFC" w:rsidR="00CF20F0" w:rsidRPr="00401FA8" w:rsidRDefault="00CF20F0" w:rsidP="00F6090D">
      <w:pPr>
        <w:pStyle w:val="ListParagraph"/>
        <w:numPr>
          <w:ilvl w:val="0"/>
          <w:numId w:val="19"/>
        </w:numPr>
        <w:ind w:left="360"/>
      </w:pPr>
      <w:r w:rsidRPr="00401FA8">
        <w:t xml:space="preserve">As per </w:t>
      </w:r>
      <w:hyperlink r:id="rId34" w:history="1">
        <w:r w:rsidRPr="00401FA8">
          <w:rPr>
            <w:rStyle w:val="Hyperlink"/>
            <w:rFonts w:eastAsiaTheme="majorEastAsia"/>
            <w:color w:val="auto"/>
          </w:rPr>
          <w:t xml:space="preserve">ESDC </w:t>
        </w:r>
        <w:r w:rsidRPr="00401FA8">
          <w:rPr>
            <w:rStyle w:val="Hyperlink"/>
            <w:rFonts w:eastAsiaTheme="majorEastAsia"/>
            <w:i/>
            <w:iCs/>
            <w:color w:val="auto"/>
          </w:rPr>
          <w:t>Second Official Language Learning Guidelines</w:t>
        </w:r>
      </w:hyperlink>
      <w:r w:rsidRPr="00401FA8">
        <w:t xml:space="preserve">, the costs of the related control measures must be included in the responsible manager’s forecast and a transfer of funds from the operating budget B001 to the LIF budget B011 </w:t>
      </w:r>
      <w:r>
        <w:t>must</w:t>
      </w:r>
      <w:r w:rsidRPr="00401FA8">
        <w:t xml:space="preserve"> be done to cover these costs, as required. </w:t>
      </w:r>
    </w:p>
    <w:p w14:paraId="0BEE38EE" w14:textId="77777777" w:rsidR="00CF20F0" w:rsidRPr="00401FA8" w:rsidRDefault="00CF20F0" w:rsidP="00CF20F0">
      <w:pPr>
        <w:pStyle w:val="ListParagraph"/>
        <w:ind w:left="360"/>
      </w:pPr>
    </w:p>
    <w:p w14:paraId="4D0AB6D6" w14:textId="1F41445B" w:rsidR="00CF20F0" w:rsidRPr="00401FA8" w:rsidRDefault="00CF20F0" w:rsidP="00F6090D">
      <w:pPr>
        <w:pStyle w:val="ListParagraph"/>
        <w:numPr>
          <w:ilvl w:val="0"/>
          <w:numId w:val="19"/>
        </w:numPr>
        <w:ind w:left="360"/>
      </w:pPr>
      <w:r w:rsidRPr="00401FA8">
        <w:rPr>
          <w:i/>
        </w:rPr>
        <w:t xml:space="preserve">Guidelines on </w:t>
      </w:r>
      <w:hyperlink r:id="rId35" w:history="1">
        <w:r w:rsidRPr="00401FA8">
          <w:rPr>
            <w:rStyle w:val="Hyperlink"/>
            <w:rFonts w:eastAsiaTheme="majorEastAsia"/>
            <w:i/>
            <w:color w:val="auto"/>
          </w:rPr>
          <w:t>Departmental Learning Investment Fund (LIF) allowable and non-allowable charges</w:t>
        </w:r>
      </w:hyperlink>
      <w:r w:rsidRPr="00401FA8">
        <w:t xml:space="preserve"> summarize </w:t>
      </w:r>
      <w:r w:rsidR="005E1368">
        <w:t>the</w:t>
      </w:r>
      <w:r>
        <w:t xml:space="preserve"> </w:t>
      </w:r>
      <w:r w:rsidRPr="00401FA8">
        <w:t>type</w:t>
      </w:r>
      <w:r w:rsidR="005E1368">
        <w:t>s</w:t>
      </w:r>
      <w:r w:rsidRPr="00401FA8">
        <w:t xml:space="preserve"> of expenses covered by the LIF. </w:t>
      </w:r>
    </w:p>
    <w:p w14:paraId="2F15084F" w14:textId="77777777" w:rsidR="00CF20F0" w:rsidRPr="00401FA8" w:rsidRDefault="00CF20F0" w:rsidP="00CF20F0">
      <w:pPr>
        <w:pStyle w:val="ListParagraph"/>
        <w:ind w:left="360"/>
      </w:pPr>
    </w:p>
    <w:p w14:paraId="54EC8D00" w14:textId="77777777" w:rsidR="00CF20F0" w:rsidRPr="00401FA8" w:rsidRDefault="00CF20F0" w:rsidP="00F6090D">
      <w:pPr>
        <w:pStyle w:val="ListParagraph"/>
        <w:numPr>
          <w:ilvl w:val="0"/>
          <w:numId w:val="19"/>
        </w:numPr>
        <w:ind w:left="360"/>
      </w:pPr>
      <w:r w:rsidRPr="00401FA8">
        <w:t xml:space="preserve">Guiding principles are now available to support the </w:t>
      </w:r>
      <w:hyperlink r:id="rId36" w:history="1">
        <w:r w:rsidRPr="00401FA8">
          <w:rPr>
            <w:rStyle w:val="Hyperlink"/>
            <w:rFonts w:eastAsiaTheme="majorEastAsia"/>
            <w:i/>
            <w:color w:val="auto"/>
          </w:rPr>
          <w:t>management of the LIF</w:t>
        </w:r>
      </w:hyperlink>
      <w:r w:rsidRPr="00401FA8">
        <w:t xml:space="preserve"> at the corporate and Branch/Regional levels.</w:t>
      </w:r>
    </w:p>
    <w:p w14:paraId="11EA0BB9" w14:textId="77777777" w:rsidR="00CF20F0" w:rsidRPr="00401FA8" w:rsidRDefault="00CF20F0" w:rsidP="00CF20F0">
      <w:pPr>
        <w:pStyle w:val="ListParagraph"/>
      </w:pPr>
    </w:p>
    <w:p w14:paraId="5AD08010" w14:textId="4B38D1F0" w:rsidR="00CF20F0" w:rsidRPr="00401FA8" w:rsidRDefault="00CF20F0" w:rsidP="00F6090D">
      <w:pPr>
        <w:pStyle w:val="ListParagraph"/>
        <w:numPr>
          <w:ilvl w:val="0"/>
          <w:numId w:val="19"/>
        </w:numPr>
        <w:ind w:left="360"/>
      </w:pPr>
      <w:r w:rsidRPr="00401FA8">
        <w:t>Branches and regions (LIF participants only) cannot use the initial allocation of the LIF budget (B011) to supplement the branch/region operating budget (B001), unless the transfer involves funds previously moved from the operating budget to top up the LIF.</w:t>
      </w:r>
    </w:p>
    <w:p w14:paraId="0BCDC713" w14:textId="77777777" w:rsidR="00CF20F0" w:rsidRPr="00401FA8" w:rsidRDefault="00CF20F0" w:rsidP="00CF20F0"/>
    <w:p w14:paraId="6831E90D" w14:textId="705ACE89" w:rsidR="00CF20F0" w:rsidRPr="00B848A1" w:rsidRDefault="00CF20F0" w:rsidP="00CF20F0">
      <w:pPr>
        <w:rPr>
          <w:lang w:val="en-US"/>
        </w:rPr>
      </w:pPr>
      <w:r w:rsidRPr="00401FA8">
        <w:t xml:space="preserve">A Learning Investment Fund (LIF) </w:t>
      </w:r>
      <w:r w:rsidRPr="00401FA8">
        <w:rPr>
          <w:b/>
        </w:rPr>
        <w:t>business case</w:t>
      </w:r>
      <w:r w:rsidRPr="00401FA8">
        <w:t xml:space="preserve"> is required for any LIF requirement that exceeds the initial LIF allocation received from Human Resources Services Branch (HRSB) (College@ESDC) and for which the branch/region is unable to fund from their existing</w:t>
      </w:r>
      <w:r>
        <w:t xml:space="preserve"> resources. </w:t>
      </w:r>
      <w:r w:rsidRPr="00401FA8">
        <w:t xml:space="preserve">In addition to the business case, the </w:t>
      </w:r>
      <w:r w:rsidRPr="00401FA8">
        <w:rPr>
          <w:b/>
        </w:rPr>
        <w:t>explanation of variances form</w:t>
      </w:r>
      <w:r w:rsidRPr="00401FA8">
        <w:t xml:space="preserve"> should also provide a brief rationale as to why the branch/region cannot absorb internally.</w:t>
      </w:r>
    </w:p>
    <w:p w14:paraId="52AFD0BB" w14:textId="77777777" w:rsidR="00DB44B8" w:rsidRPr="00163448" w:rsidRDefault="00DB44B8" w:rsidP="00DB44B8">
      <w:pPr>
        <w:rPr>
          <w:highlight w:val="yellow"/>
          <w:lang w:val="en-US"/>
        </w:rPr>
      </w:pPr>
    </w:p>
    <w:p w14:paraId="3DE7697B" w14:textId="77777777" w:rsidR="00DB44B8" w:rsidRDefault="00DB44B8" w:rsidP="00F6090D">
      <w:pPr>
        <w:pStyle w:val="Heading2"/>
        <w:numPr>
          <w:ilvl w:val="1"/>
          <w:numId w:val="1"/>
        </w:numPr>
      </w:pPr>
      <w:bookmarkStart w:id="35" w:name="_Toc72402759"/>
      <w:r>
        <w:t>Service Delivery Partnership Agreements (under DESDA) Forecasts</w:t>
      </w:r>
      <w:bookmarkEnd w:id="35"/>
    </w:p>
    <w:p w14:paraId="71C65B76" w14:textId="77777777" w:rsidR="00DB44B8" w:rsidRDefault="00DB44B8" w:rsidP="00DB44B8"/>
    <w:p w14:paraId="4C3F0005" w14:textId="6C7838AE" w:rsidR="0086617B" w:rsidRDefault="00DB44B8" w:rsidP="00DB44B8">
      <w:pPr>
        <w:rPr>
          <w:rFonts w:cs="Arial"/>
          <w:bCs/>
        </w:rPr>
      </w:pPr>
      <w:r>
        <w:t>Budget for activities relat</w:t>
      </w:r>
      <w:r w:rsidR="00BC62A8">
        <w:t>ed</w:t>
      </w:r>
      <w:r>
        <w:t xml:space="preserve"> to Services Delivery Partnerships </w:t>
      </w:r>
      <w:r w:rsidR="00BC62A8">
        <w:t xml:space="preserve">is </w:t>
      </w:r>
      <w:r>
        <w:t>allocated using r</w:t>
      </w:r>
      <w:r w:rsidRPr="00275B00">
        <w:t xml:space="preserve">estricted </w:t>
      </w:r>
      <w:r>
        <w:t>s</w:t>
      </w:r>
      <w:r w:rsidRPr="00275B00">
        <w:t xml:space="preserve">pending authority </w:t>
      </w:r>
      <w:r>
        <w:t>funds (under Funds A401 to A4</w:t>
      </w:r>
      <w:r w:rsidR="00046B30">
        <w:t>1</w:t>
      </w:r>
      <w:r w:rsidR="004136D0">
        <w:t>1</w:t>
      </w:r>
      <w:r>
        <w:t xml:space="preserve"> and A449). Though these are considered statutory expenditures, they are to be forecasted in the same way as regular operating funds. As such, salary related forecasts for these activities should be detailed </w:t>
      </w:r>
      <w:r w:rsidRPr="008E7CA4">
        <w:rPr>
          <w:rFonts w:cs="Arial"/>
          <w:lang w:val="en-US"/>
        </w:rPr>
        <w:t>using</w:t>
      </w:r>
      <w:r>
        <w:rPr>
          <w:rFonts w:cs="Arial"/>
          <w:lang w:val="en-US"/>
        </w:rPr>
        <w:t xml:space="preserve"> the</w:t>
      </w:r>
      <w:r w:rsidRPr="008E7CA4">
        <w:rPr>
          <w:rFonts w:cs="Arial"/>
          <w:lang w:val="en-US"/>
        </w:rPr>
        <w:t xml:space="preserve"> </w:t>
      </w:r>
      <w:r>
        <w:rPr>
          <w:rFonts w:cs="Arial"/>
          <w:lang w:val="en-US"/>
        </w:rPr>
        <w:t>SFT, while non-</w:t>
      </w:r>
      <w:r w:rsidR="00962FC9">
        <w:rPr>
          <w:rFonts w:cs="Arial"/>
          <w:lang w:val="en-US"/>
        </w:rPr>
        <w:t>personnel</w:t>
      </w:r>
      <w:r>
        <w:rPr>
          <w:rFonts w:cs="Arial"/>
          <w:lang w:val="en-US"/>
        </w:rPr>
        <w:t xml:space="preserve"> related forecast should be included in the non-personnel forecasting tool under “Forecast Type O&amp;M”. Note that o</w:t>
      </w:r>
      <w:r w:rsidRPr="002A18D0">
        <w:rPr>
          <w:rFonts w:cs="Arial"/>
          <w:lang w:val="en-US"/>
        </w:rPr>
        <w:t>nly permanent and major agreements</w:t>
      </w:r>
      <w:r w:rsidR="002B26A0">
        <w:rPr>
          <w:rFonts w:cs="Arial"/>
          <w:lang w:val="en-US"/>
        </w:rPr>
        <w:t xml:space="preserve"> </w:t>
      </w:r>
      <w:r w:rsidR="002B26A0" w:rsidRPr="002A18D0">
        <w:rPr>
          <w:rFonts w:cs="Arial"/>
          <w:lang w:val="en-US"/>
        </w:rPr>
        <w:t>(over $1M)</w:t>
      </w:r>
      <w:r w:rsidRPr="002A18D0">
        <w:rPr>
          <w:rFonts w:cs="Arial"/>
          <w:lang w:val="en-US"/>
        </w:rPr>
        <w:t xml:space="preserve"> have been segregated into </w:t>
      </w:r>
      <w:r w:rsidR="00922FCD" w:rsidRPr="002A18D0">
        <w:rPr>
          <w:rFonts w:cs="Arial"/>
          <w:lang w:val="en-US"/>
        </w:rPr>
        <w:t>separate</w:t>
      </w:r>
      <w:r w:rsidRPr="002A18D0">
        <w:rPr>
          <w:rFonts w:cs="Arial"/>
          <w:lang w:val="en-US"/>
        </w:rPr>
        <w:t xml:space="preserve"> funds</w:t>
      </w:r>
      <w:r>
        <w:rPr>
          <w:rFonts w:cs="Arial"/>
          <w:lang w:val="en-US"/>
        </w:rPr>
        <w:t xml:space="preserve">. The low dollar partnerships are all included under one </w:t>
      </w:r>
      <w:r w:rsidR="002B26A0">
        <w:rPr>
          <w:rFonts w:cs="Arial"/>
          <w:lang w:val="en-US"/>
        </w:rPr>
        <w:t>f</w:t>
      </w:r>
      <w:r>
        <w:rPr>
          <w:rFonts w:cs="Arial"/>
          <w:lang w:val="en-US"/>
        </w:rPr>
        <w:t>und (A449) and are forecasted through FMBB only (</w:t>
      </w:r>
      <w:r w:rsidR="009F1B9A">
        <w:rPr>
          <w:rFonts w:cs="Arial"/>
          <w:lang w:val="en-US"/>
        </w:rPr>
        <w:t>s</w:t>
      </w:r>
      <w:r>
        <w:rPr>
          <w:rFonts w:cs="Arial"/>
          <w:lang w:val="en-US"/>
        </w:rPr>
        <w:t>ee section 3.4.1</w:t>
      </w:r>
      <w:r w:rsidR="009F1B9A">
        <w:rPr>
          <w:rFonts w:cs="Arial"/>
          <w:lang w:val="en-US"/>
        </w:rPr>
        <w:t xml:space="preserve"> below for detailed information</w:t>
      </w:r>
      <w:r>
        <w:rPr>
          <w:rFonts w:cs="Arial"/>
          <w:lang w:val="en-US"/>
        </w:rPr>
        <w:t>)</w:t>
      </w:r>
      <w:r w:rsidR="00B0321F">
        <w:rPr>
          <w:rFonts w:cs="Arial"/>
          <w:lang w:val="en-US"/>
        </w:rPr>
        <w:t>.</w:t>
      </w:r>
    </w:p>
    <w:p w14:paraId="3DE11EB7" w14:textId="77777777" w:rsidR="0086617B" w:rsidRDefault="0086617B" w:rsidP="00DB44B8">
      <w:pPr>
        <w:rPr>
          <w:rFonts w:cs="Arial"/>
          <w:bCs/>
        </w:rPr>
      </w:pPr>
    </w:p>
    <w:p w14:paraId="073B6E3A" w14:textId="5273C1DD" w:rsidR="00DB44B8" w:rsidRDefault="00DB44B8" w:rsidP="00DB44B8">
      <w:pPr>
        <w:rPr>
          <w:rFonts w:cs="Arial"/>
          <w:bCs/>
        </w:rPr>
      </w:pPr>
      <w:r w:rsidRPr="009E2084">
        <w:rPr>
          <w:rFonts w:cs="Arial"/>
          <w:bCs/>
        </w:rPr>
        <w:t xml:space="preserve">The department has </w:t>
      </w:r>
      <w:r>
        <w:rPr>
          <w:rFonts w:cs="Arial"/>
          <w:bCs/>
        </w:rPr>
        <w:t>cost recovery authorities</w:t>
      </w:r>
      <w:r w:rsidRPr="009E2084">
        <w:rPr>
          <w:rFonts w:cs="Arial"/>
          <w:bCs/>
        </w:rPr>
        <w:t xml:space="preserve"> for the following </w:t>
      </w:r>
      <w:r>
        <w:rPr>
          <w:rFonts w:cs="Arial"/>
          <w:bCs/>
        </w:rPr>
        <w:t xml:space="preserve">Service Delivery Partnerships: </w:t>
      </w:r>
    </w:p>
    <w:p w14:paraId="0E004D10" w14:textId="77777777" w:rsidR="00DB44B8" w:rsidRDefault="00DB44B8" w:rsidP="00DB44B8">
      <w:pPr>
        <w:rPr>
          <w:rFonts w:cs="Arial"/>
          <w:bCs/>
        </w:rPr>
      </w:pPr>
    </w:p>
    <w:p w14:paraId="3C9915CF" w14:textId="77777777" w:rsidR="00DB44B8" w:rsidRDefault="00DB44B8" w:rsidP="00F6090D">
      <w:pPr>
        <w:pStyle w:val="ListParagraph"/>
        <w:numPr>
          <w:ilvl w:val="0"/>
          <w:numId w:val="16"/>
        </w:numPr>
        <w:rPr>
          <w:rFonts w:cs="Arial"/>
          <w:bCs/>
        </w:rPr>
      </w:pPr>
      <w:r>
        <w:rPr>
          <w:rFonts w:cs="Arial"/>
          <w:bCs/>
        </w:rPr>
        <w:t>Customized Information Services (A401)</w:t>
      </w:r>
    </w:p>
    <w:p w14:paraId="57E68C7A" w14:textId="77777777" w:rsidR="00DB44B8" w:rsidRDefault="00DB44B8" w:rsidP="00F6090D">
      <w:pPr>
        <w:pStyle w:val="ListParagraph"/>
        <w:numPr>
          <w:ilvl w:val="0"/>
          <w:numId w:val="16"/>
        </w:numPr>
        <w:rPr>
          <w:rFonts w:cs="Arial"/>
          <w:bCs/>
        </w:rPr>
      </w:pPr>
      <w:r>
        <w:rPr>
          <w:rFonts w:cs="Arial"/>
          <w:bCs/>
        </w:rPr>
        <w:t>Passport (A402)</w:t>
      </w:r>
    </w:p>
    <w:p w14:paraId="42A7FBD6" w14:textId="77777777" w:rsidR="00DB44B8" w:rsidRDefault="00DB44B8" w:rsidP="00F6090D">
      <w:pPr>
        <w:pStyle w:val="ListParagraph"/>
        <w:numPr>
          <w:ilvl w:val="0"/>
          <w:numId w:val="16"/>
        </w:numPr>
        <w:rPr>
          <w:rFonts w:cs="Arial"/>
          <w:bCs/>
        </w:rPr>
      </w:pPr>
      <w:r>
        <w:rPr>
          <w:rFonts w:cs="Arial"/>
          <w:bCs/>
        </w:rPr>
        <w:lastRenderedPageBreak/>
        <w:t>Passport Modernization (A403)</w:t>
      </w:r>
    </w:p>
    <w:p w14:paraId="41752093" w14:textId="77777777" w:rsidR="00DB44B8" w:rsidRDefault="00DB44B8" w:rsidP="00F6090D">
      <w:pPr>
        <w:pStyle w:val="ListParagraph"/>
        <w:numPr>
          <w:ilvl w:val="0"/>
          <w:numId w:val="16"/>
        </w:numPr>
        <w:rPr>
          <w:rFonts w:cs="Arial"/>
          <w:bCs/>
        </w:rPr>
      </w:pPr>
      <w:r>
        <w:rPr>
          <w:rFonts w:cs="Arial"/>
          <w:bCs/>
        </w:rPr>
        <w:t>ePassport (A404)</w:t>
      </w:r>
    </w:p>
    <w:p w14:paraId="456F8D74" w14:textId="4D32C6B4" w:rsidR="00DB44B8" w:rsidRDefault="00DB44B8" w:rsidP="00F6090D">
      <w:pPr>
        <w:pStyle w:val="ListParagraph"/>
        <w:numPr>
          <w:ilvl w:val="0"/>
          <w:numId w:val="16"/>
        </w:numPr>
        <w:rPr>
          <w:rFonts w:cs="Arial"/>
          <w:bCs/>
        </w:rPr>
      </w:pPr>
      <w:r>
        <w:rPr>
          <w:rFonts w:cs="Arial"/>
          <w:bCs/>
        </w:rPr>
        <w:t>Passport Receiving Agents (A405)</w:t>
      </w:r>
    </w:p>
    <w:p w14:paraId="6392841D" w14:textId="77777777" w:rsidR="00DB44B8" w:rsidRDefault="00DB44B8" w:rsidP="00F6090D">
      <w:pPr>
        <w:pStyle w:val="ListParagraph"/>
        <w:numPr>
          <w:ilvl w:val="0"/>
          <w:numId w:val="16"/>
        </w:numPr>
        <w:rPr>
          <w:rFonts w:cs="Arial"/>
          <w:bCs/>
        </w:rPr>
      </w:pPr>
      <w:r>
        <w:rPr>
          <w:rFonts w:cs="Arial"/>
          <w:bCs/>
        </w:rPr>
        <w:t>Biometrics (A406)</w:t>
      </w:r>
    </w:p>
    <w:p w14:paraId="06E338BC" w14:textId="7761D536" w:rsidR="00DB44B8" w:rsidRDefault="00DB44B8" w:rsidP="00F6090D">
      <w:pPr>
        <w:pStyle w:val="ListParagraph"/>
        <w:numPr>
          <w:ilvl w:val="0"/>
          <w:numId w:val="16"/>
        </w:numPr>
        <w:rPr>
          <w:rFonts w:cs="Arial"/>
          <w:bCs/>
        </w:rPr>
      </w:pPr>
      <w:r>
        <w:rPr>
          <w:rFonts w:cs="Arial"/>
          <w:bCs/>
        </w:rPr>
        <w:t>Temporary Foreign Workers (A407)</w:t>
      </w:r>
    </w:p>
    <w:p w14:paraId="7F3D6C27" w14:textId="47D7767C" w:rsidR="00046B30" w:rsidRDefault="00046B30" w:rsidP="00F6090D">
      <w:pPr>
        <w:pStyle w:val="ListParagraph"/>
        <w:numPr>
          <w:ilvl w:val="0"/>
          <w:numId w:val="16"/>
        </w:numPr>
        <w:rPr>
          <w:rFonts w:cs="Arial"/>
          <w:bCs/>
        </w:rPr>
      </w:pPr>
      <w:r>
        <w:rPr>
          <w:rFonts w:cs="Arial"/>
          <w:bCs/>
        </w:rPr>
        <w:t>Reservists (A408)</w:t>
      </w:r>
    </w:p>
    <w:p w14:paraId="2FE95521" w14:textId="0E5F52E3" w:rsidR="00046B30" w:rsidRDefault="00046B30" w:rsidP="00F6090D">
      <w:pPr>
        <w:pStyle w:val="ListParagraph"/>
        <w:numPr>
          <w:ilvl w:val="0"/>
          <w:numId w:val="16"/>
        </w:numPr>
        <w:rPr>
          <w:rFonts w:cs="Arial"/>
          <w:bCs/>
        </w:rPr>
      </w:pPr>
      <w:r>
        <w:rPr>
          <w:rFonts w:cs="Arial"/>
          <w:bCs/>
        </w:rPr>
        <w:t>Web (A409)</w:t>
      </w:r>
    </w:p>
    <w:p w14:paraId="09CD0865" w14:textId="328F00C8" w:rsidR="00046B30" w:rsidRDefault="00046B30" w:rsidP="00F6090D">
      <w:pPr>
        <w:pStyle w:val="ListParagraph"/>
        <w:numPr>
          <w:ilvl w:val="0"/>
          <w:numId w:val="16"/>
        </w:numPr>
        <w:rPr>
          <w:rFonts w:cs="Arial"/>
          <w:bCs/>
        </w:rPr>
      </w:pPr>
      <w:r w:rsidRPr="00046B30">
        <w:rPr>
          <w:rFonts w:cs="Arial"/>
          <w:bCs/>
        </w:rPr>
        <w:t>Veteran Affairs Canada (A410)</w:t>
      </w:r>
    </w:p>
    <w:p w14:paraId="331DCB27" w14:textId="7738F90F" w:rsidR="004136D0" w:rsidRDefault="004136D0" w:rsidP="00F6090D">
      <w:pPr>
        <w:pStyle w:val="ListParagraph"/>
        <w:numPr>
          <w:ilvl w:val="0"/>
          <w:numId w:val="16"/>
        </w:numPr>
        <w:rPr>
          <w:rFonts w:cs="Arial"/>
          <w:bCs/>
        </w:rPr>
      </w:pPr>
      <w:r w:rsidRPr="004136D0">
        <w:rPr>
          <w:rFonts w:cs="Arial"/>
          <w:bCs/>
        </w:rPr>
        <w:t>Public Health Agency of Canada</w:t>
      </w:r>
      <w:r>
        <w:rPr>
          <w:rFonts w:cs="Arial"/>
          <w:bCs/>
        </w:rPr>
        <w:t xml:space="preserve"> (A411)</w:t>
      </w:r>
    </w:p>
    <w:p w14:paraId="5FB79E65" w14:textId="6A632E6E" w:rsidR="009F1B9A" w:rsidRDefault="009F1B9A" w:rsidP="00F6090D">
      <w:pPr>
        <w:pStyle w:val="ListParagraph"/>
        <w:numPr>
          <w:ilvl w:val="0"/>
          <w:numId w:val="16"/>
        </w:numPr>
        <w:rPr>
          <w:rFonts w:cs="Arial"/>
          <w:bCs/>
        </w:rPr>
      </w:pPr>
      <w:r>
        <w:rPr>
          <w:rFonts w:cs="Arial"/>
          <w:bCs/>
        </w:rPr>
        <w:t>Fisheries and Oceans Canada (A412)</w:t>
      </w:r>
    </w:p>
    <w:p w14:paraId="79F9335C" w14:textId="1B31FBBC" w:rsidR="009F1B9A" w:rsidRPr="00046B30" w:rsidRDefault="009F1B9A" w:rsidP="00F6090D">
      <w:pPr>
        <w:pStyle w:val="ListParagraph"/>
        <w:numPr>
          <w:ilvl w:val="0"/>
          <w:numId w:val="16"/>
        </w:numPr>
        <w:rPr>
          <w:rFonts w:cs="Arial"/>
          <w:bCs/>
        </w:rPr>
      </w:pPr>
      <w:r>
        <w:rPr>
          <w:rFonts w:cs="Arial"/>
          <w:bCs/>
        </w:rPr>
        <w:t>Passport Delivery Operations Center (A413)</w:t>
      </w:r>
    </w:p>
    <w:p w14:paraId="560442DC" w14:textId="77777777" w:rsidR="00DB44B8" w:rsidRPr="00AE4D9A" w:rsidRDefault="00DB44B8" w:rsidP="00F6090D">
      <w:pPr>
        <w:pStyle w:val="ListParagraph"/>
        <w:numPr>
          <w:ilvl w:val="0"/>
          <w:numId w:val="16"/>
        </w:numPr>
        <w:rPr>
          <w:rFonts w:cs="Arial"/>
          <w:bCs/>
        </w:rPr>
      </w:pPr>
      <w:r>
        <w:rPr>
          <w:rFonts w:cs="Arial"/>
          <w:bCs/>
        </w:rPr>
        <w:t>Other (A449)</w:t>
      </w:r>
    </w:p>
    <w:p w14:paraId="37C0BD27" w14:textId="3881D60C" w:rsidR="00DB44B8" w:rsidRPr="00883AE8" w:rsidRDefault="00DB44B8" w:rsidP="00F6090D">
      <w:pPr>
        <w:pStyle w:val="Heading3"/>
        <w:numPr>
          <w:ilvl w:val="2"/>
          <w:numId w:val="1"/>
        </w:numPr>
        <w:rPr>
          <w:lang w:val="en-US"/>
        </w:rPr>
      </w:pPr>
      <w:bookmarkStart w:id="36" w:name="_Toc72402760"/>
      <w:r w:rsidRPr="00883AE8">
        <w:rPr>
          <w:lang w:val="en-US"/>
        </w:rPr>
        <w:t>Low-dollar Service Delivery Partnerships (Fund A449)</w:t>
      </w:r>
      <w:r>
        <w:rPr>
          <w:lang w:val="en-US"/>
        </w:rPr>
        <w:t xml:space="preserve"> Forecasts</w:t>
      </w:r>
      <w:bookmarkEnd w:id="36"/>
    </w:p>
    <w:p w14:paraId="7825608C" w14:textId="77777777" w:rsidR="00DB44B8" w:rsidRPr="00883AE8" w:rsidRDefault="00DB44B8" w:rsidP="00DB44B8">
      <w:pPr>
        <w:rPr>
          <w:rFonts w:cs="Arial"/>
          <w:lang w:val="en-US"/>
        </w:rPr>
      </w:pPr>
    </w:p>
    <w:p w14:paraId="4CF5E3D4" w14:textId="2B3DD78C" w:rsidR="00DB44B8" w:rsidRPr="00883AE8" w:rsidRDefault="00DB44B8" w:rsidP="00DB44B8">
      <w:pPr>
        <w:rPr>
          <w:rFonts w:cs="Arial"/>
          <w:lang w:val="en-US"/>
        </w:rPr>
      </w:pPr>
      <w:r w:rsidRPr="00883AE8">
        <w:rPr>
          <w:rFonts w:cs="Arial"/>
          <w:lang w:val="en-US"/>
        </w:rPr>
        <w:t xml:space="preserve">Low-dollar service delivery agreements have been grouped together into </w:t>
      </w:r>
      <w:r>
        <w:rPr>
          <w:rFonts w:cs="Arial"/>
          <w:lang w:val="en-US"/>
        </w:rPr>
        <w:t xml:space="preserve">one </w:t>
      </w:r>
      <w:r w:rsidRPr="004E6E99">
        <w:rPr>
          <w:rFonts w:cs="Arial"/>
          <w:lang w:val="en-US"/>
        </w:rPr>
        <w:t xml:space="preserve">fund </w:t>
      </w:r>
      <w:r>
        <w:rPr>
          <w:rFonts w:cs="Arial"/>
          <w:lang w:val="en-US"/>
        </w:rPr>
        <w:t>(</w:t>
      </w:r>
      <w:r w:rsidRPr="004E6E99">
        <w:rPr>
          <w:rFonts w:cs="Arial"/>
          <w:lang w:val="en-US"/>
        </w:rPr>
        <w:t>A449</w:t>
      </w:r>
      <w:r>
        <w:rPr>
          <w:rFonts w:cs="Arial"/>
          <w:lang w:val="en-US"/>
        </w:rPr>
        <w:t>)</w:t>
      </w:r>
      <w:r w:rsidRPr="004E6E99">
        <w:rPr>
          <w:rFonts w:cs="Arial"/>
          <w:lang w:val="en-US"/>
        </w:rPr>
        <w:t xml:space="preserve"> and </w:t>
      </w:r>
      <w:r w:rsidR="001F72BC">
        <w:rPr>
          <w:rFonts w:cs="Arial"/>
          <w:lang w:val="en-US"/>
        </w:rPr>
        <w:t>must</w:t>
      </w:r>
      <w:r w:rsidRPr="004E6E99">
        <w:rPr>
          <w:rFonts w:cs="Arial"/>
          <w:lang w:val="en-US"/>
        </w:rPr>
        <w:t xml:space="preserve"> be forecasted differently</w:t>
      </w:r>
      <w:r>
        <w:rPr>
          <w:rFonts w:cs="Arial"/>
          <w:lang w:val="en-US"/>
        </w:rPr>
        <w:t xml:space="preserve"> due to </w:t>
      </w:r>
      <w:r w:rsidRPr="004E6E99">
        <w:rPr>
          <w:rFonts w:cs="Arial"/>
          <w:lang w:val="en-US"/>
        </w:rPr>
        <w:t xml:space="preserve">system constraints </w:t>
      </w:r>
      <w:r w:rsidR="004D6075" w:rsidRPr="004E6E99">
        <w:rPr>
          <w:rFonts w:cs="Arial"/>
          <w:lang w:val="en-US"/>
        </w:rPr>
        <w:t>about</w:t>
      </w:r>
      <w:r w:rsidRPr="004E6E99">
        <w:rPr>
          <w:rFonts w:cs="Arial"/>
          <w:lang w:val="en-US"/>
        </w:rPr>
        <w:t xml:space="preserve"> cost splitting</w:t>
      </w:r>
      <w:r>
        <w:rPr>
          <w:rFonts w:cs="Arial"/>
          <w:lang w:val="en-US"/>
        </w:rPr>
        <w:t xml:space="preserve">. As such, </w:t>
      </w:r>
      <w:r w:rsidRPr="004E6E99">
        <w:rPr>
          <w:rFonts w:cs="Arial"/>
          <w:lang w:val="en-US"/>
        </w:rPr>
        <w:t>salary forecasts</w:t>
      </w:r>
      <w:r>
        <w:rPr>
          <w:rFonts w:cs="Arial"/>
          <w:lang w:val="en-US"/>
        </w:rPr>
        <w:t xml:space="preserve"> for</w:t>
      </w:r>
      <w:r w:rsidRPr="004E6E99">
        <w:rPr>
          <w:rFonts w:cs="Arial"/>
          <w:lang w:val="en-US"/>
        </w:rPr>
        <w:t xml:space="preserve"> </w:t>
      </w:r>
      <w:r>
        <w:rPr>
          <w:rFonts w:cs="Arial"/>
          <w:lang w:val="en-US"/>
        </w:rPr>
        <w:t>employees working on these smaller service delivery partnerships will continue to be coded to regular operating funds (B001) in SFT. Then, in order to align</w:t>
      </w:r>
      <w:r w:rsidR="002B26A0">
        <w:rPr>
          <w:rFonts w:cs="Arial"/>
          <w:lang w:val="en-US"/>
        </w:rPr>
        <w:t xml:space="preserve"> properly</w:t>
      </w:r>
      <w:r>
        <w:rPr>
          <w:rFonts w:cs="Arial"/>
          <w:lang w:val="en-US"/>
        </w:rPr>
        <w:t xml:space="preserve"> forecasts and budgets, </w:t>
      </w:r>
      <w:r w:rsidR="004D6075">
        <w:rPr>
          <w:rFonts w:cs="Arial"/>
          <w:lang w:val="en-US"/>
        </w:rPr>
        <w:t>a</w:t>
      </w:r>
      <w:r w:rsidR="004D6075" w:rsidRPr="004D6605">
        <w:rPr>
          <w:rFonts w:cs="Arial"/>
          <w:lang w:val="en-US"/>
        </w:rPr>
        <w:t xml:space="preserve"> forecast adjustment</w:t>
      </w:r>
      <w:r w:rsidRPr="004D6605">
        <w:rPr>
          <w:rFonts w:cs="Arial"/>
          <w:lang w:val="en-US"/>
        </w:rPr>
        <w:t xml:space="preserve"> in FMBB </w:t>
      </w:r>
      <w:r w:rsidR="001E33A0">
        <w:rPr>
          <w:rFonts w:cs="Arial"/>
          <w:lang w:val="en-US"/>
        </w:rPr>
        <w:t>will</w:t>
      </w:r>
      <w:r>
        <w:rPr>
          <w:rFonts w:cs="Arial"/>
          <w:lang w:val="en-US"/>
        </w:rPr>
        <w:t xml:space="preserve"> be required during the periodical forecasting </w:t>
      </w:r>
      <w:r w:rsidR="00962FC9">
        <w:rPr>
          <w:rFonts w:cs="Arial"/>
          <w:lang w:val="en-US"/>
        </w:rPr>
        <w:t>exercises</w:t>
      </w:r>
      <w:r>
        <w:rPr>
          <w:rFonts w:cs="Arial"/>
          <w:lang w:val="en-US"/>
        </w:rPr>
        <w:t xml:space="preserve"> </w:t>
      </w:r>
      <w:r w:rsidRPr="00883AE8">
        <w:rPr>
          <w:rFonts w:cs="Arial"/>
          <w:lang w:val="en-US"/>
        </w:rPr>
        <w:t>to increase forecasts against fund A449 and reduce the forecasts against fund B001 for the equivalent amount</w:t>
      </w:r>
      <w:r>
        <w:rPr>
          <w:rFonts w:cs="Arial"/>
          <w:lang w:val="en-US"/>
        </w:rPr>
        <w:t>.</w:t>
      </w:r>
      <w:r>
        <w:rPr>
          <w:rStyle w:val="FootnoteReference"/>
          <w:rFonts w:eastAsiaTheme="majorEastAsia" w:cs="Arial"/>
          <w:lang w:val="en-US"/>
        </w:rPr>
        <w:footnoteReference w:id="6"/>
      </w:r>
      <w:r>
        <w:rPr>
          <w:rFonts w:cs="Arial"/>
          <w:lang w:val="en-US"/>
        </w:rPr>
        <w:t xml:space="preserve"> </w:t>
      </w:r>
    </w:p>
    <w:p w14:paraId="1032175B" w14:textId="77777777" w:rsidR="00DB44B8" w:rsidRPr="00883AE8" w:rsidRDefault="00DB44B8" w:rsidP="00DB44B8">
      <w:pPr>
        <w:rPr>
          <w:rFonts w:cs="Arial"/>
          <w:lang w:val="en-US"/>
        </w:rPr>
      </w:pPr>
    </w:p>
    <w:p w14:paraId="6CB6C1A4" w14:textId="4D14B5D3" w:rsidR="00DB44B8" w:rsidRPr="004E6E99" w:rsidRDefault="00DB44B8" w:rsidP="00DB44B8">
      <w:pPr>
        <w:rPr>
          <w:rFonts w:cs="Arial"/>
          <w:lang w:val="en-US"/>
        </w:rPr>
      </w:pPr>
      <w:r w:rsidRPr="00883AE8">
        <w:rPr>
          <w:rFonts w:cs="Arial"/>
          <w:lang w:val="en-US"/>
        </w:rPr>
        <w:t>Non-salary forecasts for low-dollar agreement</w:t>
      </w:r>
      <w:r w:rsidRPr="009B253B">
        <w:rPr>
          <w:rFonts w:cs="Arial"/>
          <w:lang w:val="en-US"/>
        </w:rPr>
        <w:t>s should be included in the non-personnel forecasting tool under Forecast Type O&amp;M</w:t>
      </w:r>
      <w:r>
        <w:rPr>
          <w:rFonts w:cs="Arial"/>
          <w:lang w:val="en-US"/>
        </w:rPr>
        <w:t xml:space="preserve"> (</w:t>
      </w:r>
      <w:r w:rsidR="00BB7687">
        <w:rPr>
          <w:rFonts w:cs="Arial"/>
          <w:lang w:val="en-US"/>
        </w:rPr>
        <w:t xml:space="preserve">fund </w:t>
      </w:r>
      <w:r>
        <w:rPr>
          <w:rFonts w:cs="Arial"/>
          <w:lang w:val="en-US"/>
        </w:rPr>
        <w:t>A449).</w:t>
      </w:r>
    </w:p>
    <w:p w14:paraId="3A2FAAA3" w14:textId="77777777" w:rsidR="00DB44B8" w:rsidRDefault="00DB44B8" w:rsidP="00DB44B8">
      <w:pPr>
        <w:rPr>
          <w:rFonts w:cs="Arial"/>
          <w:highlight w:val="yellow"/>
          <w:lang w:val="en-US"/>
        </w:rPr>
      </w:pPr>
    </w:p>
    <w:p w14:paraId="51B20502" w14:textId="77777777" w:rsidR="00DB44B8" w:rsidRPr="00C24A14" w:rsidRDefault="00DB44B8" w:rsidP="00F6090D">
      <w:pPr>
        <w:pStyle w:val="Heading2"/>
        <w:numPr>
          <w:ilvl w:val="1"/>
          <w:numId w:val="1"/>
        </w:numPr>
      </w:pPr>
      <w:bookmarkStart w:id="37" w:name="_Toc72402761"/>
      <w:r w:rsidRPr="00C24A14">
        <w:t>Vote-Netted Revenue (VNR) Forecast</w:t>
      </w:r>
      <w:r>
        <w:t>s</w:t>
      </w:r>
      <w:bookmarkEnd w:id="37"/>
    </w:p>
    <w:p w14:paraId="3576F6BE" w14:textId="77777777" w:rsidR="00DB44B8" w:rsidRPr="00C24A14" w:rsidRDefault="00DB44B8" w:rsidP="00DB44B8"/>
    <w:p w14:paraId="2FE4A8C6" w14:textId="5505379E" w:rsidR="00DB44B8" w:rsidRPr="00C24A14" w:rsidRDefault="00DB44B8" w:rsidP="00DB44B8">
      <w:pPr>
        <w:rPr>
          <w:rFonts w:cs="Arial"/>
          <w:bCs/>
        </w:rPr>
      </w:pPr>
      <w:r w:rsidRPr="00C24A14">
        <w:rPr>
          <w:rFonts w:cs="Arial"/>
          <w:bCs/>
        </w:rPr>
        <w:t>Budget for activities for which ESDC</w:t>
      </w:r>
      <w:r>
        <w:rPr>
          <w:rFonts w:cs="Arial"/>
          <w:bCs/>
        </w:rPr>
        <w:t xml:space="preserve"> has net voting authorities </w:t>
      </w:r>
      <w:r w:rsidR="00807628">
        <w:rPr>
          <w:rFonts w:cs="Arial"/>
          <w:bCs/>
        </w:rPr>
        <w:t>is</w:t>
      </w:r>
      <w:r w:rsidRPr="00C24A14">
        <w:rPr>
          <w:rFonts w:cs="Arial"/>
          <w:bCs/>
        </w:rPr>
        <w:t xml:space="preserve"> allocated using regular operating fund</w:t>
      </w:r>
      <w:r>
        <w:rPr>
          <w:rFonts w:cs="Arial"/>
          <w:bCs/>
        </w:rPr>
        <w:t xml:space="preserve"> B00</w:t>
      </w:r>
      <w:r w:rsidR="00FA3E68">
        <w:rPr>
          <w:rFonts w:cs="Arial"/>
          <w:bCs/>
        </w:rPr>
        <w:t>9</w:t>
      </w:r>
      <w:r w:rsidRPr="009F5899">
        <w:rPr>
          <w:rFonts w:cs="Arial"/>
          <w:bCs/>
        </w:rPr>
        <w:t>.</w:t>
      </w:r>
      <w:r w:rsidRPr="00C24A14">
        <w:rPr>
          <w:rFonts w:cs="Arial"/>
          <w:bCs/>
        </w:rPr>
        <w:t xml:space="preserve">  Therefore, forecasts for these activities are also part of the regular operating funds forecasts (Forecast Type O&amp;M).</w:t>
      </w:r>
    </w:p>
    <w:p w14:paraId="775FB198" w14:textId="77777777" w:rsidR="0086617B" w:rsidRDefault="0086617B" w:rsidP="00DB44B8">
      <w:pPr>
        <w:rPr>
          <w:rFonts w:cs="Arial"/>
          <w:bCs/>
        </w:rPr>
      </w:pPr>
    </w:p>
    <w:p w14:paraId="0724E735" w14:textId="08AB10C3" w:rsidR="00DB44B8" w:rsidRDefault="00DB44B8" w:rsidP="00DB44B8">
      <w:pPr>
        <w:rPr>
          <w:rFonts w:cs="Arial"/>
          <w:bCs/>
        </w:rPr>
      </w:pPr>
      <w:r w:rsidRPr="004B5746">
        <w:rPr>
          <w:rFonts w:cs="Arial"/>
          <w:bCs/>
        </w:rPr>
        <w:t xml:space="preserve">However, since surplus for these activities cannot be used for other purposes, the financial situation of VNRs needs to be isolated from the rest of the regular operating funds financial situation. In order to do so, a forecast of the anticipated VNR recovery amount (credit portion) is required for Fund </w:t>
      </w:r>
      <w:r>
        <w:rPr>
          <w:rFonts w:cs="Arial"/>
          <w:bCs/>
        </w:rPr>
        <w:t>B606</w:t>
      </w:r>
      <w:r w:rsidR="00CB006A">
        <w:rPr>
          <w:rFonts w:cs="Arial"/>
          <w:bCs/>
        </w:rPr>
        <w:t xml:space="preserve"> </w:t>
      </w:r>
      <w:r w:rsidRPr="004B5746">
        <w:rPr>
          <w:rFonts w:cs="Arial"/>
          <w:bCs/>
        </w:rPr>
        <w:t>and is to be entered in the non-salary forecasting tool (Forecast Type VNR), by FMAs, as follows:</w:t>
      </w:r>
    </w:p>
    <w:p w14:paraId="2DC68218" w14:textId="77777777" w:rsidR="00DB44B8" w:rsidRPr="00C24A14" w:rsidRDefault="00DB44B8" w:rsidP="00DB44B8">
      <w:pPr>
        <w:rPr>
          <w:rFonts w:cs="Arial"/>
          <w:bCs/>
        </w:rPr>
      </w:pPr>
    </w:p>
    <w:p w14:paraId="3379A225" w14:textId="77777777" w:rsidR="00DB44B8" w:rsidRPr="00C24A14" w:rsidRDefault="00DB44B8" w:rsidP="00F6090D">
      <w:pPr>
        <w:pStyle w:val="ListParagraph"/>
        <w:numPr>
          <w:ilvl w:val="0"/>
          <w:numId w:val="10"/>
        </w:numPr>
        <w:spacing w:before="60"/>
        <w:ind w:left="714" w:hanging="357"/>
        <w:contextualSpacing w:val="0"/>
        <w:rPr>
          <w:rFonts w:cs="Arial"/>
          <w:bCs/>
        </w:rPr>
      </w:pPr>
      <w:r w:rsidRPr="00C24A14">
        <w:rPr>
          <w:rFonts w:cs="Arial"/>
          <w:bCs/>
        </w:rPr>
        <w:t>Separate Personnel (CI 96101) and O&amp;M (CI 96102) VNR recovery forecast; and</w:t>
      </w:r>
    </w:p>
    <w:p w14:paraId="5C4E2D99" w14:textId="77777777" w:rsidR="00DB44B8" w:rsidRDefault="00DB44B8" w:rsidP="00F6090D">
      <w:pPr>
        <w:pStyle w:val="ListParagraph"/>
        <w:numPr>
          <w:ilvl w:val="0"/>
          <w:numId w:val="10"/>
        </w:numPr>
        <w:spacing w:before="60"/>
        <w:ind w:left="714" w:hanging="357"/>
        <w:contextualSpacing w:val="0"/>
        <w:rPr>
          <w:rFonts w:cs="Arial"/>
          <w:bCs/>
        </w:rPr>
      </w:pPr>
      <w:r w:rsidRPr="00C24A14">
        <w:rPr>
          <w:rFonts w:cs="Arial"/>
          <w:bCs/>
        </w:rPr>
        <w:t>In absolute value (positive amount – even though it is a credit).</w:t>
      </w:r>
    </w:p>
    <w:p w14:paraId="3E381D59" w14:textId="77777777" w:rsidR="00DB44B8" w:rsidRPr="00F567A3" w:rsidRDefault="00DB44B8" w:rsidP="00DB44B8">
      <w:pPr>
        <w:spacing w:before="60"/>
        <w:rPr>
          <w:rFonts w:cs="Arial"/>
          <w:bCs/>
        </w:rPr>
      </w:pPr>
    </w:p>
    <w:p w14:paraId="09CAC636" w14:textId="7EAF6D57" w:rsidR="00DB44B8" w:rsidRPr="00C24A14" w:rsidRDefault="00807628" w:rsidP="00DB44B8">
      <w:pPr>
        <w:rPr>
          <w:rFonts w:cs="Arial"/>
          <w:bCs/>
        </w:rPr>
      </w:pPr>
      <w:r>
        <w:rPr>
          <w:rFonts w:cs="Arial"/>
          <w:bCs/>
        </w:rPr>
        <w:t>A</w:t>
      </w:r>
      <w:r w:rsidR="00DB44B8" w:rsidRPr="00C24A14">
        <w:rPr>
          <w:rFonts w:cs="Arial"/>
          <w:bCs/>
        </w:rPr>
        <w:t xml:space="preserve">djustments in FMBB are also to be </w:t>
      </w:r>
      <w:r>
        <w:rPr>
          <w:rFonts w:cs="Arial"/>
          <w:bCs/>
        </w:rPr>
        <w:t>recorded</w:t>
      </w:r>
      <w:r w:rsidRPr="00C24A14">
        <w:rPr>
          <w:rFonts w:cs="Arial"/>
          <w:bCs/>
        </w:rPr>
        <w:t xml:space="preserve"> </w:t>
      </w:r>
      <w:r w:rsidR="00DB44B8" w:rsidRPr="00C24A14">
        <w:rPr>
          <w:rFonts w:cs="Arial"/>
          <w:bCs/>
        </w:rPr>
        <w:t xml:space="preserve">in absolute value (positive amount). However, </w:t>
      </w:r>
      <w:r>
        <w:rPr>
          <w:rFonts w:cs="Arial"/>
          <w:bCs/>
        </w:rPr>
        <w:t xml:space="preserve">in </w:t>
      </w:r>
      <w:r w:rsidR="00DB44B8">
        <w:rPr>
          <w:rFonts w:cs="Arial"/>
          <w:bCs/>
        </w:rPr>
        <w:t>myEMS</w:t>
      </w:r>
      <w:r w:rsidR="0000681F">
        <w:rPr>
          <w:rFonts w:cs="Arial"/>
          <w:bCs/>
        </w:rPr>
        <w:t xml:space="preserve"> </w:t>
      </w:r>
      <w:r w:rsidR="00DB44B8">
        <w:rPr>
          <w:rFonts w:cs="Arial"/>
          <w:bCs/>
        </w:rPr>
        <w:t>(SAP)</w:t>
      </w:r>
      <w:r w:rsidR="00DB44B8" w:rsidRPr="00C24A14">
        <w:rPr>
          <w:rFonts w:cs="Arial"/>
          <w:bCs/>
        </w:rPr>
        <w:t xml:space="preserve"> FM module and consequently </w:t>
      </w:r>
      <w:r w:rsidR="00DB44B8" w:rsidRPr="009F5899">
        <w:rPr>
          <w:rFonts w:cs="Arial"/>
          <w:bCs/>
        </w:rPr>
        <w:t>in</w:t>
      </w:r>
      <w:r w:rsidR="00DB44B8">
        <w:rPr>
          <w:rFonts w:cs="Arial"/>
          <w:bCs/>
        </w:rPr>
        <w:t xml:space="preserve"> the</w:t>
      </w:r>
      <w:r w:rsidR="00DB44B8" w:rsidRPr="009F5899">
        <w:rPr>
          <w:rFonts w:cs="Arial"/>
          <w:bCs/>
        </w:rPr>
        <w:t xml:space="preserve"> BI</w:t>
      </w:r>
      <w:r w:rsidR="00DB44B8" w:rsidRPr="00C24A14">
        <w:rPr>
          <w:rFonts w:cs="Arial"/>
          <w:bCs/>
        </w:rPr>
        <w:t xml:space="preserve"> Surplus/Deficit report, the VNR recoveries will be presented as negative amounts (as they are credits and are reducing the departmental bottom line).</w:t>
      </w:r>
    </w:p>
    <w:p w14:paraId="4322C827" w14:textId="77777777" w:rsidR="00DB44B8" w:rsidRDefault="00DB44B8" w:rsidP="00DB44B8">
      <w:pPr>
        <w:rPr>
          <w:rFonts w:cs="Arial"/>
          <w:bCs/>
        </w:rPr>
      </w:pPr>
    </w:p>
    <w:p w14:paraId="28656566" w14:textId="40D78858" w:rsidR="00DB44B8" w:rsidRDefault="00DB44B8" w:rsidP="00DB44B8">
      <w:pPr>
        <w:rPr>
          <w:rFonts w:cs="Arial"/>
          <w:lang w:val="en-US"/>
        </w:rPr>
      </w:pPr>
      <w:r>
        <w:rPr>
          <w:rFonts w:cs="Arial"/>
          <w:bCs/>
        </w:rPr>
        <w:t>Currently, t</w:t>
      </w:r>
      <w:r w:rsidRPr="009E2084">
        <w:rPr>
          <w:rFonts w:cs="Arial"/>
          <w:bCs/>
        </w:rPr>
        <w:t>he department has net voting authority</w:t>
      </w:r>
      <w:r w:rsidR="001F72BC">
        <w:rPr>
          <w:rFonts w:cs="Arial"/>
          <w:bCs/>
        </w:rPr>
        <w:t xml:space="preserve"> only</w:t>
      </w:r>
      <w:r w:rsidRPr="009E2084">
        <w:rPr>
          <w:rFonts w:cs="Arial"/>
          <w:bCs/>
        </w:rPr>
        <w:t xml:space="preserve"> for </w:t>
      </w:r>
      <w:r>
        <w:rPr>
          <w:rFonts w:cs="Arial"/>
          <w:lang w:val="en-US"/>
        </w:rPr>
        <w:t xml:space="preserve">the </w:t>
      </w:r>
      <w:r w:rsidRPr="009F5899">
        <w:rPr>
          <w:rFonts w:cs="Arial"/>
          <w:lang w:val="en-US"/>
        </w:rPr>
        <w:t>Government Employees’ Compensation Act (GECA)</w:t>
      </w:r>
      <w:r>
        <w:rPr>
          <w:rFonts w:cs="Arial"/>
          <w:lang w:val="en-US"/>
        </w:rPr>
        <w:t>.</w:t>
      </w:r>
    </w:p>
    <w:p w14:paraId="380BA6E3" w14:textId="3FFF2F7C" w:rsidR="00E17246" w:rsidRDefault="00E17246" w:rsidP="00DB44B8">
      <w:pPr>
        <w:rPr>
          <w:rFonts w:cs="Arial"/>
          <w:lang w:val="en-US"/>
        </w:rPr>
      </w:pPr>
    </w:p>
    <w:p w14:paraId="74335B7E" w14:textId="2B02A296" w:rsidR="00CA31CE" w:rsidRPr="00CA31CE" w:rsidRDefault="001F72BC" w:rsidP="00F6090D">
      <w:pPr>
        <w:pStyle w:val="Heading2"/>
        <w:numPr>
          <w:ilvl w:val="1"/>
          <w:numId w:val="1"/>
        </w:numPr>
      </w:pPr>
      <w:bookmarkStart w:id="38" w:name="_Toc72402762"/>
      <w:r>
        <w:t>Measures in Response to</w:t>
      </w:r>
      <w:r w:rsidR="00CA31CE" w:rsidRPr="00CA31CE">
        <w:t xml:space="preserve"> COVID-19</w:t>
      </w:r>
      <w:r w:rsidR="000247F0">
        <w:t xml:space="preserve"> Forecasts</w:t>
      </w:r>
      <w:bookmarkEnd w:id="38"/>
    </w:p>
    <w:p w14:paraId="332FC1A1" w14:textId="4AC964E8" w:rsidR="001F72BC" w:rsidRDefault="001F72BC" w:rsidP="00F6090D">
      <w:pPr>
        <w:pStyle w:val="Heading3"/>
        <w:numPr>
          <w:ilvl w:val="2"/>
          <w:numId w:val="1"/>
        </w:numPr>
        <w:rPr>
          <w:lang w:val="en-US"/>
        </w:rPr>
      </w:pPr>
      <w:bookmarkStart w:id="39" w:name="_Toc72402763"/>
      <w:r w:rsidRPr="004136D0">
        <w:rPr>
          <w:lang w:val="en-US"/>
        </w:rPr>
        <w:t>Budgeting</w:t>
      </w:r>
      <w:bookmarkEnd w:id="39"/>
    </w:p>
    <w:p w14:paraId="432A395B" w14:textId="77777777" w:rsidR="00F576AC" w:rsidRPr="00F576AC" w:rsidRDefault="00F576AC" w:rsidP="00F576AC">
      <w:pPr>
        <w:pStyle w:val="ListParagraph"/>
        <w:ind w:left="862"/>
        <w:rPr>
          <w:lang w:val="en-US"/>
        </w:rPr>
      </w:pPr>
    </w:p>
    <w:p w14:paraId="4A23FB3B" w14:textId="728A5395" w:rsidR="001F72BC" w:rsidRPr="005850E0" w:rsidRDefault="0044602E" w:rsidP="001F72BC">
      <w:pPr>
        <w:rPr>
          <w:rFonts w:asciiTheme="minorHAnsi" w:hAnsiTheme="minorHAnsi" w:cstheme="minorHAnsi"/>
          <w:sz w:val="22"/>
          <w:szCs w:val="22"/>
        </w:rPr>
      </w:pPr>
      <w:r>
        <w:rPr>
          <w:rFonts w:asciiTheme="minorHAnsi" w:hAnsiTheme="minorHAnsi" w:cstheme="minorHAnsi"/>
          <w:sz w:val="22"/>
          <w:szCs w:val="22"/>
        </w:rPr>
        <w:t>R</w:t>
      </w:r>
      <w:r w:rsidR="00BB7687">
        <w:rPr>
          <w:rFonts w:asciiTheme="minorHAnsi" w:hAnsiTheme="minorHAnsi" w:cstheme="minorHAnsi"/>
          <w:sz w:val="22"/>
          <w:szCs w:val="22"/>
        </w:rPr>
        <w:t xml:space="preserve">egular </w:t>
      </w:r>
      <w:r w:rsidR="001F72BC">
        <w:rPr>
          <w:rFonts w:asciiTheme="minorHAnsi" w:hAnsiTheme="minorHAnsi" w:cstheme="minorHAnsi"/>
          <w:sz w:val="22"/>
          <w:szCs w:val="22"/>
        </w:rPr>
        <w:t xml:space="preserve">operating </w:t>
      </w:r>
      <w:r>
        <w:rPr>
          <w:rFonts w:asciiTheme="minorHAnsi" w:hAnsiTheme="minorHAnsi" w:cstheme="minorHAnsi"/>
          <w:sz w:val="22"/>
          <w:szCs w:val="22"/>
        </w:rPr>
        <w:t xml:space="preserve">or statutory </w:t>
      </w:r>
      <w:r w:rsidR="001F72BC">
        <w:rPr>
          <w:rFonts w:asciiTheme="minorHAnsi" w:hAnsiTheme="minorHAnsi" w:cstheme="minorHAnsi"/>
          <w:sz w:val="22"/>
          <w:szCs w:val="22"/>
        </w:rPr>
        <w:t xml:space="preserve">budget </w:t>
      </w:r>
      <w:r>
        <w:rPr>
          <w:rFonts w:asciiTheme="minorHAnsi" w:hAnsiTheme="minorHAnsi" w:cstheme="minorHAnsi"/>
          <w:sz w:val="22"/>
          <w:szCs w:val="22"/>
        </w:rPr>
        <w:t>for measures in response to COVID-19 are</w:t>
      </w:r>
      <w:r w:rsidR="001F72BC">
        <w:rPr>
          <w:rFonts w:asciiTheme="minorHAnsi" w:hAnsiTheme="minorHAnsi" w:cstheme="minorHAnsi"/>
          <w:sz w:val="22"/>
          <w:szCs w:val="22"/>
        </w:rPr>
        <w:t xml:space="preserve"> allocated to the branches and regions using the distribution and </w:t>
      </w:r>
      <w:r w:rsidR="001F72BC" w:rsidRPr="005850E0">
        <w:rPr>
          <w:rFonts w:asciiTheme="minorHAnsi" w:hAnsiTheme="minorHAnsi" w:cstheme="minorHAnsi"/>
          <w:sz w:val="22"/>
          <w:szCs w:val="22"/>
        </w:rPr>
        <w:t xml:space="preserve">appropriate </w:t>
      </w:r>
      <w:r w:rsidRPr="0060233B">
        <w:rPr>
          <w:rFonts w:eastAsiaTheme="majorEastAsia"/>
        </w:rPr>
        <w:t>financial coding</w:t>
      </w:r>
      <w:r w:rsidR="001F72BC" w:rsidRPr="005850E0">
        <w:rPr>
          <w:rFonts w:asciiTheme="minorHAnsi" w:hAnsiTheme="minorHAnsi" w:cstheme="minorHAnsi"/>
          <w:sz w:val="22"/>
          <w:szCs w:val="22"/>
        </w:rPr>
        <w:t xml:space="preserve"> </w:t>
      </w:r>
      <w:r w:rsidR="001F72BC">
        <w:rPr>
          <w:rFonts w:asciiTheme="minorHAnsi" w:hAnsiTheme="minorHAnsi" w:cstheme="minorHAnsi"/>
          <w:sz w:val="22"/>
          <w:szCs w:val="22"/>
        </w:rPr>
        <w:t xml:space="preserve">provided by the lead FMA.  </w:t>
      </w:r>
    </w:p>
    <w:p w14:paraId="6169D3AF" w14:textId="52A8741A" w:rsidR="001F72BC" w:rsidRDefault="001F72BC" w:rsidP="00F6090D">
      <w:pPr>
        <w:pStyle w:val="Heading3"/>
        <w:numPr>
          <w:ilvl w:val="2"/>
          <w:numId w:val="1"/>
        </w:numPr>
        <w:rPr>
          <w:lang w:val="en-US"/>
        </w:rPr>
      </w:pPr>
      <w:bookmarkStart w:id="40" w:name="_Toc72402764"/>
      <w:r w:rsidRPr="00F576AC">
        <w:rPr>
          <w:lang w:val="en-US"/>
        </w:rPr>
        <w:t>Forecasting</w:t>
      </w:r>
      <w:bookmarkEnd w:id="40"/>
    </w:p>
    <w:p w14:paraId="237AE53C" w14:textId="77777777" w:rsidR="00F576AC" w:rsidRPr="00F576AC" w:rsidRDefault="00F576AC" w:rsidP="00F576AC">
      <w:pPr>
        <w:rPr>
          <w:lang w:val="en-US"/>
        </w:rPr>
      </w:pPr>
    </w:p>
    <w:p w14:paraId="33EAC4D4" w14:textId="549B4C24" w:rsidR="001F72BC" w:rsidRDefault="007F18C4" w:rsidP="001F72BC">
      <w:pPr>
        <w:rPr>
          <w:u w:val="single"/>
        </w:rPr>
      </w:pPr>
      <w:r>
        <w:rPr>
          <w:rFonts w:asciiTheme="minorHAnsi" w:hAnsiTheme="minorHAnsi" w:cstheme="minorHAnsi"/>
          <w:bCs/>
          <w:sz w:val="22"/>
          <w:szCs w:val="22"/>
          <w:lang w:val="en-US"/>
        </w:rPr>
        <w:t xml:space="preserve">Similar to </w:t>
      </w:r>
      <w:r w:rsidR="001F72BC">
        <w:rPr>
          <w:rFonts w:asciiTheme="minorHAnsi" w:hAnsiTheme="minorHAnsi" w:cstheme="minorHAnsi"/>
          <w:bCs/>
          <w:sz w:val="22"/>
          <w:szCs w:val="22"/>
        </w:rPr>
        <w:t xml:space="preserve">all other ESDC programs, forecasts </w:t>
      </w:r>
      <w:r>
        <w:rPr>
          <w:rFonts w:asciiTheme="minorHAnsi" w:hAnsiTheme="minorHAnsi" w:cstheme="minorHAnsi"/>
          <w:bCs/>
          <w:sz w:val="22"/>
          <w:szCs w:val="22"/>
        </w:rPr>
        <w:t>are</w:t>
      </w:r>
      <w:r w:rsidR="001F72BC">
        <w:rPr>
          <w:rFonts w:asciiTheme="minorHAnsi" w:hAnsiTheme="minorHAnsi" w:cstheme="minorHAnsi"/>
          <w:bCs/>
          <w:sz w:val="22"/>
          <w:szCs w:val="22"/>
        </w:rPr>
        <w:t xml:space="preserve"> required at each forecasting period (P3, P6, P8 and P10) using</w:t>
      </w:r>
      <w:r w:rsidR="001F72BC" w:rsidRPr="00AB5DF3">
        <w:rPr>
          <w:rFonts w:asciiTheme="minorHAnsi" w:hAnsiTheme="minorHAnsi" w:cstheme="minorHAnsi"/>
          <w:bCs/>
          <w:sz w:val="22"/>
          <w:szCs w:val="22"/>
        </w:rPr>
        <w:t xml:space="preserve"> the </w:t>
      </w:r>
      <w:r>
        <w:rPr>
          <w:rFonts w:asciiTheme="minorHAnsi" w:hAnsiTheme="minorHAnsi" w:cstheme="minorHAnsi"/>
          <w:sz w:val="22"/>
          <w:szCs w:val="22"/>
        </w:rPr>
        <w:t>applicable</w:t>
      </w:r>
      <w:r w:rsidR="001F72BC" w:rsidRPr="00AB5DF3">
        <w:rPr>
          <w:rFonts w:asciiTheme="minorHAnsi" w:hAnsiTheme="minorHAnsi" w:cstheme="minorHAnsi"/>
          <w:sz w:val="22"/>
          <w:szCs w:val="22"/>
        </w:rPr>
        <w:t xml:space="preserve"> </w:t>
      </w:r>
      <w:r w:rsidR="0044602E" w:rsidRPr="0060233B">
        <w:rPr>
          <w:rFonts w:eastAsiaTheme="majorEastAsia"/>
        </w:rPr>
        <w:t>COVID-19 financial coding</w:t>
      </w:r>
      <w:r w:rsidR="001F72BC" w:rsidRPr="00AB5DF3">
        <w:rPr>
          <w:rFonts w:asciiTheme="minorHAnsi" w:hAnsiTheme="minorHAnsi" w:cstheme="minorHAnsi"/>
          <w:sz w:val="22"/>
          <w:szCs w:val="22"/>
          <w:u w:val="single"/>
        </w:rPr>
        <w:t>.</w:t>
      </w:r>
      <w:r w:rsidR="001F72BC">
        <w:t xml:space="preserve"> </w:t>
      </w:r>
    </w:p>
    <w:p w14:paraId="508DD434" w14:textId="77777777" w:rsidR="001F72BC" w:rsidRDefault="001F72BC" w:rsidP="001F72BC">
      <w:pPr>
        <w:rPr>
          <w:rFonts w:asciiTheme="minorHAnsi" w:hAnsiTheme="minorHAnsi" w:cstheme="minorHAnsi"/>
          <w:bCs/>
          <w:sz w:val="22"/>
          <w:szCs w:val="22"/>
        </w:rPr>
      </w:pPr>
    </w:p>
    <w:p w14:paraId="618A9B1D" w14:textId="5CEFDBD4" w:rsidR="00965E86" w:rsidRPr="0060233B" w:rsidRDefault="001F72BC" w:rsidP="00965E86">
      <w:pPr>
        <w:rPr>
          <w:b/>
          <w:u w:val="single"/>
        </w:rPr>
      </w:pPr>
      <w:r w:rsidRPr="0060233B">
        <w:rPr>
          <w:b/>
          <w:u w:val="single"/>
        </w:rPr>
        <w:t>Salary forecasts:</w:t>
      </w:r>
    </w:p>
    <w:p w14:paraId="23333BDB" w14:textId="77777777" w:rsidR="001F72BC" w:rsidRDefault="001F72BC" w:rsidP="001F72BC"/>
    <w:p w14:paraId="7F8C1599" w14:textId="77777777" w:rsidR="001F72BC" w:rsidRPr="00B735D0" w:rsidRDefault="001F72BC" w:rsidP="00F6090D">
      <w:pPr>
        <w:pStyle w:val="ListParagraph"/>
        <w:numPr>
          <w:ilvl w:val="0"/>
          <w:numId w:val="20"/>
        </w:numPr>
        <w:spacing w:line="256" w:lineRule="auto"/>
        <w:rPr>
          <w:rFonts w:asciiTheme="minorHAnsi" w:hAnsiTheme="minorHAnsi" w:cstheme="minorHAnsi"/>
          <w:sz w:val="22"/>
          <w:szCs w:val="22"/>
        </w:rPr>
      </w:pPr>
      <w:r w:rsidRPr="00B735D0">
        <w:rPr>
          <w:rFonts w:asciiTheme="minorHAnsi" w:hAnsiTheme="minorHAnsi" w:cstheme="minorHAnsi"/>
          <w:sz w:val="22"/>
          <w:szCs w:val="22"/>
        </w:rPr>
        <w:t xml:space="preserve">All </w:t>
      </w:r>
      <w:r w:rsidRPr="00B735D0">
        <w:rPr>
          <w:rFonts w:asciiTheme="minorHAnsi" w:hAnsiTheme="minorHAnsi" w:cstheme="minorHAnsi"/>
          <w:b/>
          <w:sz w:val="22"/>
          <w:szCs w:val="22"/>
        </w:rPr>
        <w:t>Salary</w:t>
      </w:r>
      <w:r w:rsidRPr="00B735D0">
        <w:rPr>
          <w:rFonts w:asciiTheme="minorHAnsi" w:hAnsiTheme="minorHAnsi" w:cstheme="minorHAnsi"/>
          <w:sz w:val="22"/>
          <w:szCs w:val="22"/>
        </w:rPr>
        <w:t xml:space="preserve"> forecasts should be forecasted against COVID-19 specific coding (Fund, FA and Internal Order) </w:t>
      </w:r>
      <w:r w:rsidRPr="00B735D0">
        <w:rPr>
          <w:rFonts w:asciiTheme="minorHAnsi" w:hAnsiTheme="minorHAnsi" w:cstheme="minorHAnsi"/>
          <w:sz w:val="22"/>
          <w:szCs w:val="22"/>
          <w:u w:val="single"/>
        </w:rPr>
        <w:t>when possible</w:t>
      </w:r>
      <w:r w:rsidRPr="00B735D0">
        <w:rPr>
          <w:rFonts w:asciiTheme="minorHAnsi" w:hAnsiTheme="minorHAnsi" w:cstheme="minorHAnsi"/>
          <w:sz w:val="22"/>
          <w:szCs w:val="22"/>
        </w:rPr>
        <w:t>. The process will differ depending on the foll</w:t>
      </w:r>
      <w:r>
        <w:rPr>
          <w:rFonts w:asciiTheme="minorHAnsi" w:hAnsiTheme="minorHAnsi" w:cstheme="minorHAnsi"/>
          <w:sz w:val="22"/>
          <w:szCs w:val="22"/>
        </w:rPr>
        <w:t>owing two (2</w:t>
      </w:r>
      <w:r w:rsidRPr="00B735D0">
        <w:rPr>
          <w:rFonts w:asciiTheme="minorHAnsi" w:hAnsiTheme="minorHAnsi" w:cstheme="minorHAnsi"/>
          <w:sz w:val="22"/>
          <w:szCs w:val="22"/>
        </w:rPr>
        <w:t>) situations:</w:t>
      </w:r>
    </w:p>
    <w:p w14:paraId="3C259501" w14:textId="77777777" w:rsidR="001F72BC" w:rsidRPr="00B735D0" w:rsidRDefault="001F72BC" w:rsidP="001F72BC">
      <w:pPr>
        <w:rPr>
          <w:rFonts w:asciiTheme="minorHAnsi" w:hAnsiTheme="minorHAnsi" w:cstheme="minorHAnsi"/>
          <w:sz w:val="22"/>
          <w:szCs w:val="22"/>
        </w:rPr>
      </w:pPr>
    </w:p>
    <w:p w14:paraId="08D21C1C" w14:textId="1B3EE989" w:rsidR="001F72BC" w:rsidRPr="00734C4E" w:rsidRDefault="00807628" w:rsidP="00F6090D">
      <w:pPr>
        <w:pStyle w:val="ListParagraph"/>
        <w:numPr>
          <w:ilvl w:val="0"/>
          <w:numId w:val="21"/>
        </w:numPr>
        <w:spacing w:line="256" w:lineRule="auto"/>
        <w:rPr>
          <w:rFonts w:asciiTheme="minorHAnsi" w:hAnsiTheme="minorHAnsi" w:cstheme="minorHAnsi"/>
          <w:sz w:val="22"/>
          <w:szCs w:val="22"/>
        </w:rPr>
      </w:pPr>
      <w:r>
        <w:rPr>
          <w:rFonts w:asciiTheme="minorHAnsi" w:hAnsiTheme="minorHAnsi" w:cstheme="minorHAnsi"/>
          <w:sz w:val="22"/>
          <w:szCs w:val="22"/>
        </w:rPr>
        <w:t>For e</w:t>
      </w:r>
      <w:r w:rsidR="001F72BC" w:rsidRPr="00B735D0">
        <w:rPr>
          <w:rFonts w:asciiTheme="minorHAnsi" w:hAnsiTheme="minorHAnsi" w:cstheme="minorHAnsi"/>
          <w:sz w:val="22"/>
          <w:szCs w:val="22"/>
        </w:rPr>
        <w:t xml:space="preserve">mployees who have been reassigned 100% to </w:t>
      </w:r>
      <w:r w:rsidR="001F72BC">
        <w:rPr>
          <w:rFonts w:asciiTheme="minorHAnsi" w:hAnsiTheme="minorHAnsi" w:cstheme="minorHAnsi"/>
          <w:sz w:val="22"/>
          <w:szCs w:val="22"/>
        </w:rPr>
        <w:t xml:space="preserve">one of the </w:t>
      </w:r>
      <w:r w:rsidR="001F72BC" w:rsidRPr="00B735D0">
        <w:rPr>
          <w:rFonts w:asciiTheme="minorHAnsi" w:hAnsiTheme="minorHAnsi" w:cstheme="minorHAnsi"/>
          <w:sz w:val="22"/>
          <w:szCs w:val="22"/>
        </w:rPr>
        <w:t xml:space="preserve">COVID-19 </w:t>
      </w:r>
      <w:r w:rsidR="001F72BC">
        <w:rPr>
          <w:rFonts w:asciiTheme="minorHAnsi" w:hAnsiTheme="minorHAnsi" w:cstheme="minorHAnsi"/>
          <w:sz w:val="22"/>
          <w:szCs w:val="22"/>
        </w:rPr>
        <w:t>measures</w:t>
      </w:r>
      <w:r>
        <w:rPr>
          <w:rFonts w:asciiTheme="minorHAnsi" w:hAnsiTheme="minorHAnsi" w:cstheme="minorHAnsi"/>
          <w:sz w:val="22"/>
          <w:szCs w:val="22"/>
        </w:rPr>
        <w:t>, a temporary reassignment</w:t>
      </w:r>
      <w:r w:rsidR="001F72BC">
        <w:rPr>
          <w:rFonts w:asciiTheme="minorHAnsi" w:hAnsiTheme="minorHAnsi" w:cstheme="minorHAnsi"/>
          <w:sz w:val="22"/>
          <w:szCs w:val="22"/>
        </w:rPr>
        <w:t xml:space="preserve"> must</w:t>
      </w:r>
      <w:r w:rsidR="001F72BC" w:rsidRPr="00B735D0">
        <w:rPr>
          <w:rFonts w:asciiTheme="minorHAnsi" w:hAnsiTheme="minorHAnsi" w:cstheme="minorHAnsi"/>
          <w:sz w:val="22"/>
          <w:szCs w:val="22"/>
        </w:rPr>
        <w:t xml:space="preserve"> be </w:t>
      </w:r>
      <w:r>
        <w:rPr>
          <w:rFonts w:asciiTheme="minorHAnsi" w:hAnsiTheme="minorHAnsi" w:cstheme="minorHAnsi"/>
          <w:sz w:val="22"/>
          <w:szCs w:val="22"/>
        </w:rPr>
        <w:t>recorded</w:t>
      </w:r>
      <w:r w:rsidR="001F72BC" w:rsidRPr="00B735D0">
        <w:rPr>
          <w:rFonts w:asciiTheme="minorHAnsi" w:hAnsiTheme="minorHAnsi" w:cstheme="minorHAnsi"/>
          <w:sz w:val="22"/>
          <w:szCs w:val="22"/>
        </w:rPr>
        <w:t xml:space="preserve"> in the Salary Forecasting Tool</w:t>
      </w:r>
      <w:r w:rsidR="001F72BC">
        <w:rPr>
          <w:rFonts w:asciiTheme="minorHAnsi" w:hAnsiTheme="minorHAnsi" w:cstheme="minorHAnsi"/>
          <w:sz w:val="22"/>
          <w:szCs w:val="22"/>
        </w:rPr>
        <w:t xml:space="preserve"> (SFT)</w:t>
      </w:r>
      <w:r>
        <w:rPr>
          <w:rFonts w:asciiTheme="minorHAnsi" w:hAnsiTheme="minorHAnsi" w:cstheme="minorHAnsi"/>
          <w:sz w:val="22"/>
          <w:szCs w:val="22"/>
        </w:rPr>
        <w:t xml:space="preserve"> using the applicable COVID-19 measure financial coding.</w:t>
      </w:r>
      <w:r w:rsidR="001F72BC" w:rsidRPr="00203704">
        <w:rPr>
          <w:rFonts w:asciiTheme="minorHAnsi" w:hAnsiTheme="minorHAnsi" w:cstheme="minorHAnsi"/>
          <w:bCs/>
          <w:sz w:val="22"/>
          <w:szCs w:val="22"/>
        </w:rPr>
        <w:t xml:space="preserve"> </w:t>
      </w:r>
      <w:r w:rsidR="001F72BC">
        <w:rPr>
          <w:rFonts w:asciiTheme="minorHAnsi" w:hAnsiTheme="minorHAnsi" w:cstheme="minorHAnsi"/>
          <w:bCs/>
          <w:sz w:val="22"/>
          <w:szCs w:val="22"/>
        </w:rPr>
        <w:t>The forecasts will be reported automatically under the right initiatives/program (Functional Area) and source of funding (Fund).</w:t>
      </w:r>
    </w:p>
    <w:p w14:paraId="7F8D225A" w14:textId="77777777" w:rsidR="001F72BC" w:rsidRPr="00734C4E" w:rsidRDefault="001F72BC" w:rsidP="001F72BC">
      <w:pPr>
        <w:pStyle w:val="ListParagraph"/>
        <w:spacing w:line="256" w:lineRule="auto"/>
        <w:rPr>
          <w:rFonts w:asciiTheme="minorHAnsi" w:hAnsiTheme="minorHAnsi" w:cstheme="minorHAnsi"/>
          <w:sz w:val="22"/>
          <w:szCs w:val="22"/>
        </w:rPr>
      </w:pPr>
    </w:p>
    <w:p w14:paraId="646BE223" w14:textId="5B4C5B27" w:rsidR="001F72BC" w:rsidRPr="0086617B" w:rsidRDefault="006D6FA5" w:rsidP="00F6090D">
      <w:pPr>
        <w:pStyle w:val="ListParagraph"/>
        <w:numPr>
          <w:ilvl w:val="0"/>
          <w:numId w:val="21"/>
        </w:numPr>
        <w:spacing w:line="256" w:lineRule="auto"/>
        <w:rPr>
          <w:rFonts w:asciiTheme="minorHAnsi" w:hAnsiTheme="minorHAnsi" w:cstheme="minorHAnsi"/>
          <w:sz w:val="22"/>
          <w:szCs w:val="22"/>
        </w:rPr>
      </w:pPr>
      <w:r>
        <w:rPr>
          <w:rFonts w:asciiTheme="minorHAnsi" w:hAnsiTheme="minorHAnsi" w:cstheme="minorHAnsi"/>
          <w:bCs/>
          <w:sz w:val="22"/>
          <w:szCs w:val="22"/>
        </w:rPr>
        <w:t>For e</w:t>
      </w:r>
      <w:r w:rsidR="001F72BC" w:rsidRPr="00734C4E">
        <w:rPr>
          <w:rFonts w:asciiTheme="minorHAnsi" w:hAnsiTheme="minorHAnsi" w:cstheme="minorHAnsi"/>
          <w:bCs/>
          <w:sz w:val="22"/>
          <w:szCs w:val="22"/>
        </w:rPr>
        <w:t xml:space="preserve">mployees NOT reassigned </w:t>
      </w:r>
      <w:r>
        <w:rPr>
          <w:rFonts w:asciiTheme="minorHAnsi" w:hAnsiTheme="minorHAnsi" w:cstheme="minorHAnsi"/>
          <w:bCs/>
          <w:sz w:val="22"/>
          <w:szCs w:val="22"/>
        </w:rPr>
        <w:t>to a COVID-19 measure financial coding</w:t>
      </w:r>
      <w:r w:rsidR="001F72BC" w:rsidRPr="00734C4E">
        <w:rPr>
          <w:rFonts w:asciiTheme="minorHAnsi" w:hAnsiTheme="minorHAnsi" w:cstheme="minorHAnsi"/>
          <w:bCs/>
          <w:sz w:val="22"/>
          <w:szCs w:val="22"/>
        </w:rPr>
        <w:t xml:space="preserve"> in SFT</w:t>
      </w:r>
      <w:r w:rsidR="001F72BC">
        <w:rPr>
          <w:rFonts w:asciiTheme="minorHAnsi" w:hAnsiTheme="minorHAnsi" w:cstheme="minorHAnsi"/>
          <w:bCs/>
          <w:sz w:val="22"/>
          <w:szCs w:val="22"/>
        </w:rPr>
        <w:t>,</w:t>
      </w:r>
      <w:r w:rsidR="001F72BC" w:rsidRPr="00734C4E">
        <w:rPr>
          <w:rFonts w:asciiTheme="minorHAnsi" w:hAnsiTheme="minorHAnsi" w:cstheme="minorHAnsi"/>
          <w:bCs/>
          <w:sz w:val="22"/>
          <w:szCs w:val="22"/>
        </w:rPr>
        <w:t xml:space="preserve"> such as </w:t>
      </w:r>
      <w:r w:rsidR="001F72BC" w:rsidRPr="00734C4E">
        <w:rPr>
          <w:rFonts w:asciiTheme="minorHAnsi" w:eastAsia="Calibri" w:hAnsiTheme="minorHAnsi" w:cstheme="minorHAnsi"/>
          <w:sz w:val="22"/>
          <w:szCs w:val="22"/>
        </w:rPr>
        <w:t>employees who report their time in CATS</w:t>
      </w:r>
      <w:r w:rsidR="001F72BC">
        <w:rPr>
          <w:rFonts w:asciiTheme="minorHAnsi" w:eastAsia="Calibri" w:hAnsiTheme="minorHAnsi" w:cstheme="minorHAnsi"/>
          <w:sz w:val="22"/>
          <w:szCs w:val="22"/>
        </w:rPr>
        <w:t>,</w:t>
      </w:r>
      <w:r w:rsidR="001F72BC" w:rsidRPr="00734C4E">
        <w:rPr>
          <w:rFonts w:asciiTheme="minorHAnsi" w:eastAsia="Calibri" w:hAnsiTheme="minorHAnsi" w:cstheme="minorHAnsi"/>
          <w:sz w:val="22"/>
          <w:szCs w:val="22"/>
        </w:rPr>
        <w:t xml:space="preserve"> or employees who are dedicating some time (or overtime) to COVID-19 specific initiatives but have not been formally reassigned to COVID-19 coding in SFT (due to the level of effort)</w:t>
      </w:r>
      <w:r>
        <w:rPr>
          <w:rFonts w:asciiTheme="minorHAnsi" w:eastAsia="Calibri" w:hAnsiTheme="minorHAnsi" w:cstheme="minorHAnsi"/>
          <w:sz w:val="22"/>
          <w:szCs w:val="22"/>
        </w:rPr>
        <w:t>;</w:t>
      </w:r>
      <w:r w:rsidR="001F72BC" w:rsidRPr="00734C4E">
        <w:rPr>
          <w:rFonts w:asciiTheme="minorHAnsi" w:eastAsia="Calibri" w:hAnsiTheme="minorHAnsi" w:cstheme="minorHAnsi"/>
          <w:sz w:val="22"/>
          <w:szCs w:val="22"/>
        </w:rPr>
        <w:t xml:space="preserve"> a</w:t>
      </w:r>
      <w:r w:rsidR="001F72BC" w:rsidRPr="00734C4E">
        <w:rPr>
          <w:rFonts w:asciiTheme="minorHAnsi" w:hAnsiTheme="minorHAnsi" w:cstheme="minorHAnsi"/>
          <w:bCs/>
          <w:sz w:val="22"/>
          <w:szCs w:val="22"/>
        </w:rPr>
        <w:t xml:space="preserve"> forecast adjustment will be required (FMBB adjustment) to realign the forecast from the existing employee coding in SFT to the correct initiative/program (Functional Area) and source of funding (Fund).</w:t>
      </w:r>
    </w:p>
    <w:p w14:paraId="0B6BB14E" w14:textId="77777777" w:rsidR="0086617B" w:rsidRPr="00EA2ABB" w:rsidRDefault="0086617B" w:rsidP="0086617B">
      <w:pPr>
        <w:pStyle w:val="ListParagraph"/>
        <w:spacing w:line="256" w:lineRule="auto"/>
        <w:rPr>
          <w:rFonts w:asciiTheme="minorHAnsi" w:hAnsiTheme="minorHAnsi" w:cstheme="minorHAnsi"/>
          <w:sz w:val="22"/>
          <w:szCs w:val="22"/>
        </w:rPr>
      </w:pPr>
    </w:p>
    <w:p w14:paraId="19CF33E8" w14:textId="5039D8F4" w:rsidR="001F72BC" w:rsidRPr="0086617B" w:rsidRDefault="001F72BC" w:rsidP="0086617B">
      <w:pPr>
        <w:ind w:firstLine="720"/>
        <w:rPr>
          <w:rFonts w:asciiTheme="minorHAnsi" w:hAnsiTheme="minorHAnsi" w:cstheme="minorHAnsi"/>
          <w:bCs/>
          <w:sz w:val="22"/>
          <w:szCs w:val="22"/>
        </w:rPr>
      </w:pPr>
      <w:r w:rsidRPr="0086617B">
        <w:rPr>
          <w:rFonts w:asciiTheme="minorHAnsi" w:hAnsiTheme="minorHAnsi" w:cstheme="minorHAnsi"/>
          <w:bCs/>
          <w:sz w:val="22"/>
          <w:szCs w:val="22"/>
        </w:rPr>
        <w:t>FMBB Adj (-) under the existing employees coding in SFT (Fund, FA)</w:t>
      </w:r>
    </w:p>
    <w:p w14:paraId="3D0700EE" w14:textId="77777777" w:rsidR="001F72BC" w:rsidRPr="0086617B" w:rsidRDefault="001F72BC" w:rsidP="0086617B">
      <w:pPr>
        <w:ind w:firstLine="720"/>
        <w:rPr>
          <w:rFonts w:asciiTheme="minorHAnsi" w:hAnsiTheme="minorHAnsi" w:cstheme="minorHAnsi"/>
          <w:bCs/>
          <w:sz w:val="22"/>
          <w:szCs w:val="22"/>
        </w:rPr>
      </w:pPr>
      <w:r w:rsidRPr="0086617B">
        <w:rPr>
          <w:rFonts w:asciiTheme="minorHAnsi" w:hAnsiTheme="minorHAnsi" w:cstheme="minorHAnsi"/>
          <w:bCs/>
          <w:sz w:val="22"/>
          <w:szCs w:val="22"/>
        </w:rPr>
        <w:t>FMBB Adj (+) under the new initiatives/program coding (Fund, FA)</w:t>
      </w:r>
    </w:p>
    <w:p w14:paraId="50BB8666" w14:textId="77777777" w:rsidR="001F72BC" w:rsidRDefault="001F72BC" w:rsidP="001F72BC">
      <w:pPr>
        <w:pStyle w:val="ListParagraph"/>
        <w:ind w:left="2160"/>
        <w:rPr>
          <w:rFonts w:asciiTheme="minorHAnsi" w:hAnsiTheme="minorHAnsi" w:cstheme="minorHAnsi"/>
          <w:bCs/>
          <w:sz w:val="22"/>
          <w:szCs w:val="22"/>
        </w:rPr>
      </w:pPr>
    </w:p>
    <w:p w14:paraId="451FCC06" w14:textId="78A32341" w:rsidR="001F72BC" w:rsidRPr="008D1D93" w:rsidRDefault="001F72BC" w:rsidP="001F72BC">
      <w:pPr>
        <w:rPr>
          <w:rFonts w:asciiTheme="minorHAnsi" w:hAnsiTheme="minorHAnsi" w:cstheme="minorHAnsi"/>
          <w:bCs/>
          <w:i/>
          <w:sz w:val="22"/>
          <w:szCs w:val="22"/>
        </w:rPr>
      </w:pPr>
      <w:r w:rsidRPr="00547F35">
        <w:rPr>
          <w:rFonts w:asciiTheme="minorHAnsi" w:hAnsiTheme="minorHAnsi" w:cstheme="minorHAnsi"/>
          <w:bCs/>
          <w:i/>
          <w:sz w:val="22"/>
          <w:szCs w:val="22"/>
        </w:rPr>
        <w:lastRenderedPageBreak/>
        <w:t>*The recommended naming convention to use for the forecast adjustment is: COVID-19</w:t>
      </w:r>
      <w:r w:rsidR="00547F35" w:rsidRPr="00547F35">
        <w:rPr>
          <w:rFonts w:asciiTheme="minorHAnsi" w:hAnsiTheme="minorHAnsi" w:cstheme="minorHAnsi"/>
          <w:bCs/>
          <w:i/>
          <w:sz w:val="22"/>
          <w:szCs w:val="22"/>
        </w:rPr>
        <w:t xml:space="preserve"> (under Header Text field)</w:t>
      </w:r>
      <w:r w:rsidRPr="00547F35">
        <w:rPr>
          <w:rFonts w:asciiTheme="minorHAnsi" w:hAnsiTheme="minorHAnsi" w:cstheme="minorHAnsi"/>
          <w:bCs/>
          <w:i/>
          <w:sz w:val="22"/>
          <w:szCs w:val="22"/>
        </w:rPr>
        <w:t xml:space="preserve"> </w:t>
      </w:r>
      <w:r w:rsidR="00547F35" w:rsidRPr="00547F35">
        <w:rPr>
          <w:rFonts w:asciiTheme="minorHAnsi" w:hAnsiTheme="minorHAnsi" w:cstheme="minorHAnsi"/>
          <w:bCs/>
          <w:i/>
          <w:sz w:val="22"/>
          <w:szCs w:val="22"/>
        </w:rPr>
        <w:t xml:space="preserve">and </w:t>
      </w:r>
      <w:r w:rsidRPr="00547F35">
        <w:rPr>
          <w:rFonts w:asciiTheme="minorHAnsi" w:hAnsiTheme="minorHAnsi" w:cstheme="minorHAnsi"/>
          <w:bCs/>
          <w:i/>
          <w:sz w:val="22"/>
          <w:szCs w:val="22"/>
        </w:rPr>
        <w:t>A</w:t>
      </w:r>
      <w:r w:rsidR="00547F35" w:rsidRPr="00547F35">
        <w:rPr>
          <w:rFonts w:asciiTheme="minorHAnsi" w:hAnsiTheme="minorHAnsi" w:cstheme="minorHAnsi"/>
          <w:bCs/>
          <w:i/>
          <w:sz w:val="22"/>
          <w:szCs w:val="22"/>
        </w:rPr>
        <w:t>dj.</w:t>
      </w:r>
      <w:r w:rsidRPr="00547F35">
        <w:rPr>
          <w:rFonts w:asciiTheme="minorHAnsi" w:hAnsiTheme="minorHAnsi" w:cstheme="minorHAnsi"/>
          <w:bCs/>
          <w:i/>
          <w:sz w:val="22"/>
          <w:szCs w:val="22"/>
        </w:rPr>
        <w:t xml:space="preserve"> to account for realignment to COVID (under </w:t>
      </w:r>
      <w:r w:rsidR="00547F35" w:rsidRPr="00547F35">
        <w:rPr>
          <w:rFonts w:asciiTheme="minorHAnsi" w:hAnsiTheme="minorHAnsi" w:cstheme="minorHAnsi"/>
          <w:bCs/>
          <w:i/>
          <w:sz w:val="22"/>
          <w:szCs w:val="22"/>
        </w:rPr>
        <w:t>T</w:t>
      </w:r>
      <w:r w:rsidRPr="00547F35">
        <w:rPr>
          <w:rFonts w:asciiTheme="minorHAnsi" w:hAnsiTheme="minorHAnsi" w:cstheme="minorHAnsi"/>
          <w:bCs/>
          <w:i/>
          <w:sz w:val="22"/>
          <w:szCs w:val="22"/>
        </w:rPr>
        <w:t>ext</w:t>
      </w:r>
      <w:r>
        <w:rPr>
          <w:rFonts w:asciiTheme="minorHAnsi" w:hAnsiTheme="minorHAnsi" w:cstheme="minorHAnsi"/>
          <w:bCs/>
          <w:i/>
          <w:sz w:val="22"/>
          <w:szCs w:val="22"/>
        </w:rPr>
        <w:t xml:space="preserve"> field).</w:t>
      </w:r>
    </w:p>
    <w:p w14:paraId="1FB6DF09" w14:textId="77777777" w:rsidR="00965E86" w:rsidRPr="00E92BB6" w:rsidRDefault="00965E86" w:rsidP="00965E86">
      <w:pPr>
        <w:rPr>
          <w:b/>
          <w:u w:val="single"/>
        </w:rPr>
      </w:pPr>
    </w:p>
    <w:p w14:paraId="6FE2DB44" w14:textId="0F71E6FB" w:rsidR="001F72BC" w:rsidRPr="00E92BB6" w:rsidRDefault="001F72BC" w:rsidP="00965E86">
      <w:pPr>
        <w:rPr>
          <w:b/>
          <w:u w:val="single"/>
        </w:rPr>
      </w:pPr>
      <w:r w:rsidRPr="00E92BB6">
        <w:rPr>
          <w:b/>
          <w:u w:val="single"/>
        </w:rPr>
        <w:t>Non-Salary forecasts:</w:t>
      </w:r>
    </w:p>
    <w:p w14:paraId="6D02BEC7" w14:textId="77777777" w:rsidR="001F72BC" w:rsidRDefault="001F72BC" w:rsidP="001F72BC">
      <w:pPr>
        <w:rPr>
          <w:rFonts w:asciiTheme="minorHAnsi" w:hAnsiTheme="minorHAnsi" w:cstheme="minorHAnsi"/>
          <w:bCs/>
          <w:sz w:val="22"/>
          <w:szCs w:val="22"/>
        </w:rPr>
      </w:pPr>
    </w:p>
    <w:p w14:paraId="1D5DDAE5" w14:textId="1B51D431" w:rsidR="001F72BC" w:rsidRPr="009E537A" w:rsidRDefault="001F72BC" w:rsidP="001F72BC">
      <w:pPr>
        <w:rPr>
          <w:rFonts w:asciiTheme="minorHAnsi" w:hAnsiTheme="minorHAnsi" w:cstheme="minorHAnsi"/>
          <w:bCs/>
          <w:sz w:val="22"/>
          <w:szCs w:val="22"/>
        </w:rPr>
      </w:pPr>
      <w:r>
        <w:rPr>
          <w:rFonts w:asciiTheme="minorHAnsi" w:hAnsiTheme="minorHAnsi" w:cstheme="minorHAnsi"/>
          <w:bCs/>
          <w:sz w:val="22"/>
          <w:szCs w:val="22"/>
        </w:rPr>
        <w:t>Non-Salary forecasts must be entered in the non-sa</w:t>
      </w:r>
      <w:r w:rsidR="009E537A">
        <w:rPr>
          <w:rFonts w:asciiTheme="minorHAnsi" w:hAnsiTheme="minorHAnsi" w:cstheme="minorHAnsi"/>
          <w:bCs/>
          <w:sz w:val="22"/>
          <w:szCs w:val="22"/>
        </w:rPr>
        <w:t xml:space="preserve">lary tool under the appropriate </w:t>
      </w:r>
      <w:r w:rsidR="006D6FA5" w:rsidRPr="0060233B">
        <w:rPr>
          <w:rFonts w:eastAsiaTheme="majorEastAsia"/>
        </w:rPr>
        <w:t>COVID-19 financial coding</w:t>
      </w:r>
      <w:r>
        <w:rPr>
          <w:rFonts w:asciiTheme="minorHAnsi" w:hAnsiTheme="minorHAnsi" w:cstheme="minorHAnsi"/>
          <w:sz w:val="22"/>
          <w:szCs w:val="22"/>
        </w:rPr>
        <w:t>*</w:t>
      </w:r>
      <w:r w:rsidR="009E537A">
        <w:rPr>
          <w:rFonts w:asciiTheme="minorHAnsi" w:hAnsiTheme="minorHAnsi" w:cstheme="minorHAnsi"/>
          <w:sz w:val="22"/>
          <w:szCs w:val="22"/>
        </w:rPr>
        <w:t>.</w:t>
      </w:r>
    </w:p>
    <w:p w14:paraId="34A34DBF" w14:textId="77777777" w:rsidR="001F72BC" w:rsidRDefault="001F72BC" w:rsidP="001F72BC">
      <w:pPr>
        <w:rPr>
          <w:rFonts w:asciiTheme="minorHAnsi" w:hAnsiTheme="minorHAnsi" w:cstheme="minorHAnsi"/>
          <w:bCs/>
          <w:sz w:val="22"/>
          <w:szCs w:val="22"/>
        </w:rPr>
      </w:pPr>
    </w:p>
    <w:p w14:paraId="77EA67F5" w14:textId="7A3BE45C" w:rsidR="001F72BC" w:rsidRDefault="001F72BC" w:rsidP="001F72BC">
      <w:pPr>
        <w:rPr>
          <w:rFonts w:asciiTheme="minorHAnsi" w:hAnsiTheme="minorHAnsi" w:cstheme="minorHAnsi"/>
          <w:bCs/>
          <w:i/>
          <w:sz w:val="18"/>
          <w:szCs w:val="18"/>
        </w:rPr>
      </w:pPr>
      <w:r w:rsidRPr="00923AC9">
        <w:rPr>
          <w:rFonts w:asciiTheme="minorHAnsi" w:hAnsiTheme="minorHAnsi" w:cstheme="minorHAnsi"/>
          <w:bCs/>
          <w:i/>
          <w:sz w:val="18"/>
          <w:szCs w:val="18"/>
        </w:rPr>
        <w:t>*The functional area com</w:t>
      </w:r>
      <w:r>
        <w:rPr>
          <w:rFonts w:asciiTheme="minorHAnsi" w:hAnsiTheme="minorHAnsi" w:cstheme="minorHAnsi"/>
          <w:bCs/>
          <w:i/>
          <w:sz w:val="18"/>
          <w:szCs w:val="18"/>
        </w:rPr>
        <w:t>ponent does not exist in the non-salary forecasting tool.</w:t>
      </w:r>
    </w:p>
    <w:p w14:paraId="66B498E7" w14:textId="72F46A95" w:rsidR="00965E86" w:rsidRDefault="00965E86" w:rsidP="001F72BC">
      <w:pPr>
        <w:rPr>
          <w:rFonts w:asciiTheme="minorHAnsi" w:hAnsiTheme="minorHAnsi" w:cstheme="minorHAnsi"/>
          <w:bCs/>
          <w:i/>
          <w:sz w:val="18"/>
          <w:szCs w:val="18"/>
        </w:rPr>
      </w:pPr>
    </w:p>
    <w:p w14:paraId="25A9DD74" w14:textId="77777777" w:rsidR="00965E86" w:rsidRPr="00923AC9" w:rsidRDefault="00965E86" w:rsidP="001F72BC">
      <w:pPr>
        <w:rPr>
          <w:rFonts w:asciiTheme="minorHAnsi" w:hAnsiTheme="minorHAnsi" w:cstheme="minorHAnsi"/>
          <w:bCs/>
          <w:i/>
          <w:sz w:val="18"/>
          <w:szCs w:val="18"/>
        </w:rPr>
      </w:pPr>
    </w:p>
    <w:p w14:paraId="6AD46377" w14:textId="59EF8148" w:rsidR="001F72BC" w:rsidRPr="00E92BB6" w:rsidRDefault="00BB7687" w:rsidP="00965E86">
      <w:pPr>
        <w:rPr>
          <w:b/>
          <w:u w:val="single"/>
        </w:rPr>
      </w:pPr>
      <w:r>
        <w:rPr>
          <w:b/>
          <w:u w:val="single"/>
        </w:rPr>
        <w:t>Benefits (transfer payments)</w:t>
      </w:r>
      <w:r w:rsidR="00AC42B8" w:rsidRPr="00E92BB6">
        <w:rPr>
          <w:b/>
          <w:u w:val="single"/>
        </w:rPr>
        <w:t>:</w:t>
      </w:r>
    </w:p>
    <w:p w14:paraId="2082699E" w14:textId="77777777" w:rsidR="0005587E" w:rsidRDefault="0005587E" w:rsidP="001F72BC">
      <w:pPr>
        <w:rPr>
          <w:rFonts w:asciiTheme="minorHAnsi" w:hAnsiTheme="minorHAnsi" w:cstheme="minorHAnsi"/>
          <w:bCs/>
          <w:sz w:val="22"/>
          <w:szCs w:val="22"/>
        </w:rPr>
      </w:pPr>
    </w:p>
    <w:p w14:paraId="70F8BAE6" w14:textId="6C840A0C" w:rsidR="001F72BC" w:rsidRPr="00C711A7" w:rsidRDefault="001F72BC" w:rsidP="001F72BC">
      <w:pPr>
        <w:rPr>
          <w:rFonts w:asciiTheme="minorHAnsi" w:hAnsiTheme="minorHAnsi" w:cstheme="minorHAnsi"/>
          <w:bCs/>
          <w:sz w:val="22"/>
          <w:szCs w:val="22"/>
        </w:rPr>
      </w:pPr>
      <w:r w:rsidRPr="0005587E">
        <w:rPr>
          <w:rFonts w:asciiTheme="minorHAnsi" w:hAnsiTheme="minorHAnsi" w:cstheme="minorHAnsi"/>
          <w:bCs/>
          <w:sz w:val="22"/>
          <w:szCs w:val="22"/>
        </w:rPr>
        <w:t>No forecast is required for statutory funding (benefits paid to citizens or organisations).</w:t>
      </w:r>
      <w:r w:rsidRPr="00C711A7">
        <w:rPr>
          <w:rFonts w:asciiTheme="minorHAnsi" w:hAnsiTheme="minorHAnsi" w:cstheme="minorHAnsi"/>
          <w:bCs/>
          <w:sz w:val="22"/>
          <w:szCs w:val="22"/>
        </w:rPr>
        <w:t xml:space="preserve"> </w:t>
      </w:r>
    </w:p>
    <w:p w14:paraId="7149E67C" w14:textId="77777777" w:rsidR="00CA31CE" w:rsidRDefault="00CA31CE" w:rsidP="00CA31CE">
      <w:pPr>
        <w:rPr>
          <w:rFonts w:eastAsiaTheme="minorHAnsi"/>
          <w:b/>
          <w:bCs/>
          <w:u w:val="single"/>
        </w:rPr>
      </w:pPr>
    </w:p>
    <w:p w14:paraId="54EFBCBD" w14:textId="77777777" w:rsidR="00DB44B8" w:rsidRPr="00C90486" w:rsidRDefault="00DB44B8" w:rsidP="00F6090D">
      <w:pPr>
        <w:pStyle w:val="Heading2"/>
        <w:numPr>
          <w:ilvl w:val="1"/>
          <w:numId w:val="1"/>
        </w:numPr>
      </w:pPr>
      <w:bookmarkStart w:id="41" w:name="_Toc72402765"/>
      <w:r>
        <w:t>Grants and Contributions</w:t>
      </w:r>
      <w:r w:rsidRPr="00C90486">
        <w:t xml:space="preserve"> Forecast</w:t>
      </w:r>
      <w:r>
        <w:t>s</w:t>
      </w:r>
      <w:bookmarkEnd w:id="41"/>
    </w:p>
    <w:p w14:paraId="0C2891D4" w14:textId="77777777" w:rsidR="00DB44B8" w:rsidRPr="00C90486" w:rsidRDefault="00DB44B8" w:rsidP="00DB44B8">
      <w:pPr>
        <w:rPr>
          <w:highlight w:val="yellow"/>
        </w:rPr>
      </w:pPr>
    </w:p>
    <w:p w14:paraId="0B6F2C77" w14:textId="3685C48C" w:rsidR="00DB44B8" w:rsidRDefault="00DB44B8" w:rsidP="00DB44B8">
      <w:r w:rsidRPr="00C90486">
        <w:t>ESDC has many grants and contributions (G</w:t>
      </w:r>
      <w:r>
        <w:t>s</w:t>
      </w:r>
      <w:r w:rsidRPr="00C90486">
        <w:t>&amp;C</w:t>
      </w:r>
      <w:r>
        <w:t>s</w:t>
      </w:r>
      <w:r w:rsidRPr="00C90486">
        <w:t xml:space="preserve">) programs </w:t>
      </w:r>
      <w:r w:rsidR="004D6075" w:rsidRPr="00C90486">
        <w:t>that</w:t>
      </w:r>
      <w:r w:rsidRPr="00C90486">
        <w:t xml:space="preserve"> are funded th</w:t>
      </w:r>
      <w:r>
        <w:t>rough two sources of funds</w:t>
      </w:r>
      <w:r w:rsidRPr="00C90486">
        <w:t xml:space="preserve">: CRF and EI Part II. It is essential to provide an accurate representation of expenditures, commitments and </w:t>
      </w:r>
      <w:r w:rsidR="004D6075" w:rsidRPr="00C90486">
        <w:t>plans</w:t>
      </w:r>
      <w:r>
        <w:t xml:space="preserve"> against a specific G&amp;C</w:t>
      </w:r>
      <w:r w:rsidRPr="00C90486">
        <w:t xml:space="preserve"> budget. Consequently, all necessary</w:t>
      </w:r>
      <w:r w:rsidRPr="00C90486">
        <w:rPr>
          <w:bCs/>
          <w:lang w:val="en-US"/>
        </w:rPr>
        <w:t xml:space="preserve"> corrections (i.e. </w:t>
      </w:r>
      <w:r w:rsidRPr="00F00681">
        <w:rPr>
          <w:bCs/>
          <w:lang w:val="en-US"/>
        </w:rPr>
        <w:t>JV, de-commitments) must be</w:t>
      </w:r>
      <w:r w:rsidRPr="00F00681">
        <w:t xml:space="preserve"> actioned in a timely manner. Forecasts </w:t>
      </w:r>
      <w:r w:rsidR="001F72BC">
        <w:t>must</w:t>
      </w:r>
      <w:r w:rsidRPr="00F00681">
        <w:t xml:space="preserve"> be entered in the non-salary forecasting tool (Forecast</w:t>
      </w:r>
      <w:r w:rsidRPr="00387A40">
        <w:t xml:space="preserve"> </w:t>
      </w:r>
      <w:r w:rsidRPr="00AF3FE5">
        <w:t>Type Program Funds) at</w:t>
      </w:r>
      <w:r w:rsidRPr="00387A40">
        <w:t xml:space="preserve"> the lowest FC (i.e. FC in which expenditures and commitments will be posted), and for each </w:t>
      </w:r>
      <w:r>
        <w:t>G&amp;C</w:t>
      </w:r>
      <w:r w:rsidRPr="00387A40">
        <w:t xml:space="preserve">. Note that regional forecasts and explanations of variances </w:t>
      </w:r>
      <w:r w:rsidR="004D6075" w:rsidRPr="00387A40">
        <w:t>must</w:t>
      </w:r>
      <w:r>
        <w:t xml:space="preserve"> </w:t>
      </w:r>
      <w:r w:rsidRPr="00387A40">
        <w:t>be submitted by province.</w:t>
      </w:r>
    </w:p>
    <w:p w14:paraId="4309786B" w14:textId="77777777" w:rsidR="00DB44B8" w:rsidRPr="00C90486" w:rsidRDefault="00DB44B8" w:rsidP="00DB44B8"/>
    <w:p w14:paraId="5D5D7AA2" w14:textId="73EE9A7B" w:rsidR="00DB44B8" w:rsidRDefault="00DB44B8" w:rsidP="00DB44B8">
      <w:r w:rsidRPr="00C90486">
        <w:t>Forecast</w:t>
      </w:r>
      <w:r>
        <w:t>s</w:t>
      </w:r>
      <w:r w:rsidRPr="00C90486">
        <w:t xml:space="preserve"> </w:t>
      </w:r>
      <w:r w:rsidR="001F72BC">
        <w:t>are</w:t>
      </w:r>
      <w:r w:rsidRPr="00C90486">
        <w:t xml:space="preserve"> retracted </w:t>
      </w:r>
      <w:r w:rsidRPr="00BF486A">
        <w:t>from the non-salary forecasting tool</w:t>
      </w:r>
      <w:r w:rsidRPr="00C90486">
        <w:t xml:space="preserve"> back to the</w:t>
      </w:r>
      <w:r>
        <w:t xml:space="preserve"> myEMS</w:t>
      </w:r>
      <w:r w:rsidR="00BB7687">
        <w:t xml:space="preserve"> </w:t>
      </w:r>
      <w:r>
        <w:t>(SAP) FM module</w:t>
      </w:r>
      <w:r w:rsidRPr="00C90486">
        <w:t xml:space="preserve">, as per the timelines </w:t>
      </w:r>
      <w:r w:rsidRPr="00AF3FE5">
        <w:t>identified in Annex A (approximately one week before the end of the forecasting period), freezing</w:t>
      </w:r>
      <w:r w:rsidRPr="00C90486">
        <w:t xml:space="preserve"> the forecast information in a separate budget version</w:t>
      </w:r>
      <w:r>
        <w:t xml:space="preserve">.  </w:t>
      </w:r>
    </w:p>
    <w:p w14:paraId="663689EB" w14:textId="77777777" w:rsidR="00DB44B8" w:rsidRDefault="00DB44B8" w:rsidP="00DB44B8"/>
    <w:p w14:paraId="5555D9E1" w14:textId="44D20DCB" w:rsidR="00DB44B8" w:rsidRDefault="00DB44B8" w:rsidP="00DB44B8">
      <w:r>
        <w:t xml:space="preserve">Regional Gs&amp;Cs forecasts with explanation of </w:t>
      </w:r>
      <w:r w:rsidR="004D6075">
        <w:t>variances</w:t>
      </w:r>
      <w:r>
        <w:t xml:space="preserve"> are to be submitted </w:t>
      </w:r>
      <w:r w:rsidRPr="00387A40">
        <w:t>to the Programs Operations Branch (POB) FMA via the forecasting mailbox</w:t>
      </w:r>
      <w:r>
        <w:t xml:space="preserve"> </w:t>
      </w:r>
      <w:r w:rsidRPr="00387A40">
        <w:t>(draft version acceptable)</w:t>
      </w:r>
      <w:r>
        <w:t xml:space="preserve"> as per the timelines identified in Annex A (approximately 9 days before the end of the forecasting period). </w:t>
      </w:r>
      <w:r w:rsidRPr="00387A40">
        <w:t>Note that any subsequ</w:t>
      </w:r>
      <w:r>
        <w:t>ent changes after the submission</w:t>
      </w:r>
      <w:r w:rsidRPr="00387A40">
        <w:t xml:space="preserve"> date must be communicated to the POB FMA and will need to be recorded as an adjustment in FMBB if approved. The POB FMA will be reviewing provincial forecasts to determine the overall forecast for each program accordingly. Results will then be presented to </w:t>
      </w:r>
      <w:r>
        <w:t xml:space="preserve">the </w:t>
      </w:r>
      <w:r w:rsidRPr="00387A40">
        <w:t>POB ADM, for approval, prior to the end of the forecasting period.</w:t>
      </w:r>
    </w:p>
    <w:p w14:paraId="30AE4D0E" w14:textId="77777777" w:rsidR="000247F0" w:rsidRDefault="000247F0" w:rsidP="00DB44B8"/>
    <w:p w14:paraId="3123DFEA" w14:textId="77777777" w:rsidR="00DB44B8" w:rsidRPr="006D0AD0" w:rsidRDefault="00DB44B8" w:rsidP="00F6090D">
      <w:pPr>
        <w:pStyle w:val="Heading2"/>
        <w:numPr>
          <w:ilvl w:val="1"/>
          <w:numId w:val="1"/>
        </w:numPr>
        <w:rPr>
          <w:szCs w:val="28"/>
        </w:rPr>
      </w:pPr>
      <w:bookmarkStart w:id="42" w:name="_Toc72402766"/>
      <w:r w:rsidRPr="006D0AD0">
        <w:rPr>
          <w:szCs w:val="28"/>
        </w:rPr>
        <w:t xml:space="preserve">Forecast </w:t>
      </w:r>
      <w:r>
        <w:rPr>
          <w:szCs w:val="28"/>
        </w:rPr>
        <w:t>A</w:t>
      </w:r>
      <w:r w:rsidRPr="006D0AD0">
        <w:rPr>
          <w:szCs w:val="28"/>
        </w:rPr>
        <w:t>djustments</w:t>
      </w:r>
      <w:bookmarkEnd w:id="42"/>
    </w:p>
    <w:p w14:paraId="4851F497" w14:textId="77777777" w:rsidR="00DB44B8" w:rsidRPr="006D0AD0" w:rsidRDefault="00DB44B8" w:rsidP="00DB44B8"/>
    <w:p w14:paraId="0B2123DE" w14:textId="6DDE3EB8" w:rsidR="00DB44B8" w:rsidRPr="00F00681" w:rsidRDefault="00DB44B8" w:rsidP="00DB44B8">
      <w:r>
        <w:t xml:space="preserve">During the forecasting exercise, </w:t>
      </w:r>
      <w:r w:rsidR="001F72BC">
        <w:t xml:space="preserve">it is recommended to do </w:t>
      </w:r>
      <w:r w:rsidRPr="00F00681">
        <w:t>modification</w:t>
      </w:r>
      <w:r>
        <w:t>s</w:t>
      </w:r>
      <w:r w:rsidRPr="00F00681">
        <w:t xml:space="preserve"> to forecast</w:t>
      </w:r>
      <w:r>
        <w:t>s</w:t>
      </w:r>
      <w:r w:rsidRPr="00F00681">
        <w:t xml:space="preserve"> directly in the </w:t>
      </w:r>
      <w:r>
        <w:t>appropriate</w:t>
      </w:r>
      <w:r w:rsidRPr="00F00681">
        <w:t xml:space="preserve"> forecasting tool (SFT or the non-salary forecasting tool) </w:t>
      </w:r>
      <w:r w:rsidRPr="00F00681">
        <w:lastRenderedPageBreak/>
        <w:t xml:space="preserve">and at the lowest level possible, to ensure the integrity of the information in our official system of record.  </w:t>
      </w:r>
    </w:p>
    <w:p w14:paraId="1169BB6A" w14:textId="77777777" w:rsidR="00DB44B8" w:rsidRPr="00F00681" w:rsidRDefault="00DB44B8" w:rsidP="00DB44B8"/>
    <w:p w14:paraId="20479B17" w14:textId="77777777" w:rsidR="00DB44B8" w:rsidRPr="00815401" w:rsidRDefault="00DB44B8" w:rsidP="00DB44B8">
      <w:pPr>
        <w:rPr>
          <w:b/>
          <w:u w:val="single"/>
        </w:rPr>
      </w:pPr>
      <w:r w:rsidRPr="00815401">
        <w:rPr>
          <w:b/>
          <w:u w:val="single"/>
        </w:rPr>
        <w:t>The option of entering a forecast adjustment directly in FMBB should only be used in the following cases:</w:t>
      </w:r>
    </w:p>
    <w:p w14:paraId="76158311" w14:textId="496803E8" w:rsidR="00DB44B8" w:rsidRPr="00F00681" w:rsidRDefault="00DB44B8" w:rsidP="00F6090D">
      <w:pPr>
        <w:pStyle w:val="ListParagraph"/>
        <w:numPr>
          <w:ilvl w:val="0"/>
          <w:numId w:val="7"/>
        </w:numPr>
        <w:spacing w:before="120"/>
        <w:ind w:left="714" w:hanging="357"/>
        <w:contextualSpacing w:val="0"/>
      </w:pPr>
      <w:r w:rsidRPr="00F00681">
        <w:t xml:space="preserve">If an adjustment is required after the retraction date of forecast data from the forecasting tools (SFT and the non-salary forecasting tool) back to the FM module; </w:t>
      </w:r>
    </w:p>
    <w:p w14:paraId="3252087B" w14:textId="366AA8FC" w:rsidR="00DB44B8" w:rsidRDefault="00DB44B8" w:rsidP="00F6090D">
      <w:pPr>
        <w:pStyle w:val="ListParagraph"/>
        <w:numPr>
          <w:ilvl w:val="0"/>
          <w:numId w:val="7"/>
        </w:numPr>
        <w:spacing w:before="120"/>
        <w:ind w:left="714" w:hanging="357"/>
        <w:contextualSpacing w:val="0"/>
      </w:pPr>
      <w:r w:rsidRPr="00F00681">
        <w:t>If a negative personnel forecast adjustments (such as attrition,</w:t>
      </w:r>
      <w:r>
        <w:t xml:space="preserve"> slippage</w:t>
      </w:r>
      <w:r w:rsidRPr="005E431A">
        <w:t xml:space="preserve">, forecasted leave without pay, </w:t>
      </w:r>
      <w:r w:rsidRPr="00F1236F">
        <w:t>internal to branch/region planned staffing,</w:t>
      </w:r>
      <w:r>
        <w:t xml:space="preserve"> </w:t>
      </w:r>
      <w:r w:rsidRPr="005E431A">
        <w:t>etc.) is required and cannot be accounted for directly in SFT</w:t>
      </w:r>
      <w:r>
        <w:t>;</w:t>
      </w:r>
      <w:r w:rsidR="00E003A2">
        <w:t xml:space="preserve"> </w:t>
      </w:r>
    </w:p>
    <w:p w14:paraId="101C2057" w14:textId="34E18CE3" w:rsidR="00DB44B8" w:rsidRDefault="00DB44B8" w:rsidP="00F6090D">
      <w:pPr>
        <w:pStyle w:val="ListParagraph"/>
        <w:numPr>
          <w:ilvl w:val="0"/>
          <w:numId w:val="7"/>
        </w:numPr>
        <w:spacing w:before="120"/>
        <w:ind w:left="714" w:hanging="357"/>
        <w:contextualSpacing w:val="0"/>
      </w:pPr>
      <w:r w:rsidRPr="007333EB">
        <w:t xml:space="preserve">To forecast for </w:t>
      </w:r>
      <w:r w:rsidRPr="003D7E1E">
        <w:t>Low-dollar Service Delivery Partnerships (Fund A449)</w:t>
      </w:r>
      <w:r>
        <w:t xml:space="preserve"> and to reduce the Regular Operating </w:t>
      </w:r>
      <w:r w:rsidR="00922FCD">
        <w:t>forecasts accordingly</w:t>
      </w:r>
      <w:r>
        <w:t xml:space="preserve"> (Fund B001)</w:t>
      </w:r>
      <w:r w:rsidR="00C3456B">
        <w:t xml:space="preserve">; </w:t>
      </w:r>
    </w:p>
    <w:p w14:paraId="57BCF175" w14:textId="452A2C68" w:rsidR="00C1392D" w:rsidRPr="005E431A" w:rsidRDefault="00C1392D" w:rsidP="00F6090D">
      <w:pPr>
        <w:pStyle w:val="ListParagraph"/>
        <w:numPr>
          <w:ilvl w:val="0"/>
          <w:numId w:val="7"/>
        </w:numPr>
        <w:spacing w:before="120"/>
        <w:ind w:left="714" w:hanging="357"/>
        <w:contextualSpacing w:val="0"/>
      </w:pPr>
      <w:r w:rsidRPr="007333EB">
        <w:t xml:space="preserve">To forecast for </w:t>
      </w:r>
      <w:r>
        <w:t>measures in response to COVID-19 and to reduce the Regular Operating forecasts accordingly (Fund B001).</w:t>
      </w:r>
    </w:p>
    <w:p w14:paraId="2211724A" w14:textId="77777777" w:rsidR="00DB44B8" w:rsidRDefault="00DB44B8" w:rsidP="00DB44B8"/>
    <w:p w14:paraId="125A3BB4" w14:textId="371385BE" w:rsidR="00DB44B8" w:rsidRDefault="00DB44B8" w:rsidP="00DB44B8">
      <w:r>
        <w:t xml:space="preserve">These types of adjustments are </w:t>
      </w:r>
      <w:r w:rsidRPr="006D0AD0">
        <w:t>entered in FMBB</w:t>
      </w:r>
      <w:r>
        <w:t>, by FMAs,</w:t>
      </w:r>
      <w:r w:rsidRPr="006D0AD0">
        <w:t xml:space="preserve"> in a separate budget version </w:t>
      </w:r>
      <w:r>
        <w:t>(</w:t>
      </w:r>
      <w:r w:rsidRPr="006D0AD0">
        <w:t>for forecasting purposes</w:t>
      </w:r>
      <w:r>
        <w:t xml:space="preserve">) with a </w:t>
      </w:r>
      <w:r w:rsidRPr="006D0AD0">
        <w:t xml:space="preserve">specific document </w:t>
      </w:r>
      <w:r>
        <w:t>type</w:t>
      </w:r>
      <w:r w:rsidRPr="001B16DE">
        <w:t xml:space="preserve"> </w:t>
      </w:r>
      <w:r w:rsidRPr="00F1236F">
        <w:t xml:space="preserve">and budget type (FADJ for regular adjustments and FAPS for </w:t>
      </w:r>
      <w:r>
        <w:t>adjustments</w:t>
      </w:r>
      <w:r w:rsidRPr="00F1236F">
        <w:t xml:space="preserve"> related to planned staffing).</w:t>
      </w:r>
      <w:r w:rsidRPr="001B16DE">
        <w:t xml:space="preserve"> The adju</w:t>
      </w:r>
      <w:r>
        <w:t xml:space="preserve">stments can be made at the branch/regional level </w:t>
      </w:r>
      <w:r w:rsidRPr="001B16DE">
        <w:t>but it is imperative tha</w:t>
      </w:r>
      <w:r>
        <w:t>t they are made at the Fund and CI level.</w:t>
      </w:r>
    </w:p>
    <w:p w14:paraId="38A36AFC" w14:textId="77777777" w:rsidR="0086617B" w:rsidRDefault="0086617B" w:rsidP="00436A19"/>
    <w:p w14:paraId="239DD15B" w14:textId="3CA59DCC" w:rsidR="000730E8" w:rsidRDefault="007E5B28" w:rsidP="00436A19">
      <w:r w:rsidRPr="00436A19">
        <w:t xml:space="preserve">To enable the analysis of forecasting adjustments at the departmental level, a standard naming convention has been established for Forecasting Adjustments entered in FMBB: </w:t>
      </w:r>
    </w:p>
    <w:p w14:paraId="55E192C2" w14:textId="77777777" w:rsidR="00D04E7C" w:rsidRDefault="00D04E7C" w:rsidP="00436A19"/>
    <w:p w14:paraId="7E0FE96B" w14:textId="7DF669AB" w:rsidR="006948C3" w:rsidRDefault="006948C3" w:rsidP="00436A19"/>
    <w:p w14:paraId="7F344763" w14:textId="4E895808" w:rsidR="006948C3" w:rsidRPr="006948C3" w:rsidRDefault="00D61F5D" w:rsidP="0060233B">
      <w:r w:rsidRPr="00D61F5D">
        <w:rPr>
          <w:noProof/>
        </w:rPr>
        <w:lastRenderedPageBreak/>
        <w:drawing>
          <wp:inline distT="0" distB="0" distL="0" distR="0" wp14:anchorId="68654A26" wp14:editId="172739E7">
            <wp:extent cx="6762466" cy="29966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774346" cy="3001899"/>
                    </a:xfrm>
                    <a:prstGeom prst="rect">
                      <a:avLst/>
                    </a:prstGeom>
                    <a:noFill/>
                    <a:ln>
                      <a:noFill/>
                    </a:ln>
                  </pic:spPr>
                </pic:pic>
              </a:graphicData>
            </a:graphic>
          </wp:inline>
        </w:drawing>
      </w:r>
    </w:p>
    <w:p w14:paraId="11BEDD8D" w14:textId="77777777" w:rsidR="006948C3" w:rsidRDefault="006948C3" w:rsidP="00DB44B8"/>
    <w:p w14:paraId="2140ECFD" w14:textId="77777777" w:rsidR="006948C3" w:rsidRPr="006948C3" w:rsidRDefault="006948C3" w:rsidP="006948C3">
      <w:r w:rsidRPr="006948C3">
        <w:rPr>
          <w:lang w:val="en-US"/>
        </w:rPr>
        <w:t>Adjustments for reasons not listed above should be identified with a clear and intuitive Header text and Text, to assist in the review and analysis of forecasting adjustments.</w:t>
      </w:r>
    </w:p>
    <w:p w14:paraId="2AB1326C" w14:textId="77777777" w:rsidR="00DB44B8" w:rsidRDefault="00DB44B8" w:rsidP="00DB44B8"/>
    <w:p w14:paraId="6AE81E64" w14:textId="708795FA" w:rsidR="00DB44B8" w:rsidRPr="00815401" w:rsidRDefault="00DB44B8" w:rsidP="00DB44B8">
      <w:pPr>
        <w:rPr>
          <w:u w:val="single"/>
        </w:rPr>
      </w:pPr>
      <w:r w:rsidRPr="00815401">
        <w:rPr>
          <w:rFonts w:cs="Calibri"/>
          <w:u w:val="single"/>
        </w:rPr>
        <w:t>P</w:t>
      </w:r>
      <w:r w:rsidRPr="00815401">
        <w:rPr>
          <w:u w:val="single"/>
        </w:rPr>
        <w:t xml:space="preserve">lanned staffing identified as </w:t>
      </w:r>
      <w:r w:rsidRPr="00815401">
        <w:rPr>
          <w:b/>
          <w:bCs/>
          <w:u w:val="single"/>
        </w:rPr>
        <w:t>internal to branch/region</w:t>
      </w:r>
      <w:r w:rsidRPr="00815401">
        <w:rPr>
          <w:u w:val="single"/>
        </w:rPr>
        <w:t xml:space="preserve"> in SFT should have a counterpart in the FMBB adjustments to cancel the dollar value of this type of planned staffing since it should have a nil effect on forecasts at the branch/region level</w:t>
      </w:r>
      <w:r w:rsidR="00436A19">
        <w:rPr>
          <w:u w:val="single"/>
        </w:rPr>
        <w:t xml:space="preserve"> (see Annex B)</w:t>
      </w:r>
      <w:r w:rsidRPr="00815401">
        <w:rPr>
          <w:u w:val="single"/>
        </w:rPr>
        <w:t>.</w:t>
      </w:r>
    </w:p>
    <w:p w14:paraId="65E2D544" w14:textId="77777777" w:rsidR="00DB44B8" w:rsidRDefault="00DB44B8" w:rsidP="00DB44B8"/>
    <w:p w14:paraId="4A1C841E" w14:textId="100282E1" w:rsidR="00DB44B8" w:rsidRPr="005B2182" w:rsidRDefault="00DB44B8" w:rsidP="00DB44B8">
      <w:r w:rsidRPr="002172B7">
        <w:t xml:space="preserve">The </w:t>
      </w:r>
      <w:r>
        <w:t>impact</w:t>
      </w:r>
      <w:r w:rsidRPr="002172B7">
        <w:t xml:space="preserve"> of FMBB adjustments on overall forecast amount</w:t>
      </w:r>
      <w:r>
        <w:t>s</w:t>
      </w:r>
      <w:r w:rsidRPr="002172B7">
        <w:t xml:space="preserve"> can be viewed, as soon as they are posted, using the FM report </w:t>
      </w:r>
      <w:r w:rsidRPr="005B2182">
        <w:t xml:space="preserve">ZKFM_Z300, as opposed to BI reports which are updated </w:t>
      </w:r>
      <w:r w:rsidR="0086617B" w:rsidRPr="005B2182">
        <w:t>overnight</w:t>
      </w:r>
      <w:r w:rsidRPr="005B2182">
        <w:t xml:space="preserve"> and available the next day.</w:t>
      </w:r>
    </w:p>
    <w:p w14:paraId="43055AC0" w14:textId="77777777" w:rsidR="00DB44B8" w:rsidRPr="005B2182" w:rsidRDefault="00DB44B8" w:rsidP="00DB44B8"/>
    <w:p w14:paraId="3F774826" w14:textId="051E5212" w:rsidR="00DB44B8" w:rsidRPr="005B2182" w:rsidRDefault="00DB44B8" w:rsidP="00DB44B8">
      <w:r w:rsidRPr="005B2182">
        <w:t xml:space="preserve">Below are links to the </w:t>
      </w:r>
      <w:r w:rsidR="006D6FA5">
        <w:t xml:space="preserve">myEMS (SAP) </w:t>
      </w:r>
      <w:r w:rsidRPr="004D4625">
        <w:t>detailed procedures</w:t>
      </w:r>
      <w:r w:rsidRPr="005B2182">
        <w:t xml:space="preserve"> for the possible actions related to forecast adjustments. In addition, Annex B contains technical information for the input of forecast adjustments in FMBB.</w:t>
      </w:r>
    </w:p>
    <w:p w14:paraId="5E17AFD2" w14:textId="77777777" w:rsidR="00DB44B8" w:rsidRPr="005B2182" w:rsidRDefault="00DB44B8" w:rsidP="00DB44B8">
      <w:pPr>
        <w:rPr>
          <w:lang w:val="en-US"/>
        </w:rPr>
      </w:pPr>
    </w:p>
    <w:p w14:paraId="4DC0F935" w14:textId="77777777" w:rsidR="00DB44B8" w:rsidRPr="005B2182" w:rsidRDefault="00660AE1" w:rsidP="00DB44B8">
      <w:pPr>
        <w:rPr>
          <w:bCs/>
          <w:lang w:val="en-US"/>
        </w:rPr>
      </w:pPr>
      <w:hyperlink r:id="rId38" w:history="1">
        <w:r w:rsidR="00DB44B8" w:rsidRPr="005B2182">
          <w:rPr>
            <w:rStyle w:val="Hyperlink"/>
            <w:bCs/>
            <w:lang w:val="en-US"/>
          </w:rPr>
          <w:t>Forecast Adjustments Supplements</w:t>
        </w:r>
      </w:hyperlink>
    </w:p>
    <w:p w14:paraId="7F2551FF" w14:textId="77777777" w:rsidR="00DB44B8" w:rsidRDefault="00660AE1" w:rsidP="00DB44B8">
      <w:pPr>
        <w:rPr>
          <w:rStyle w:val="Hyperlink"/>
          <w:bCs/>
          <w:lang w:val="en-US"/>
        </w:rPr>
      </w:pPr>
      <w:hyperlink r:id="rId39" w:history="1">
        <w:r w:rsidR="00DB44B8" w:rsidRPr="005B2182">
          <w:rPr>
            <w:rStyle w:val="Hyperlink"/>
            <w:bCs/>
            <w:lang w:val="en-US"/>
          </w:rPr>
          <w:t>Forecast Adjustments Returns</w:t>
        </w:r>
      </w:hyperlink>
    </w:p>
    <w:p w14:paraId="55C7AB7B" w14:textId="7DA67C9A" w:rsidR="00DB44B8" w:rsidRDefault="00DB44B8" w:rsidP="00DB44B8">
      <w:pPr>
        <w:rPr>
          <w:bCs/>
          <w:lang w:val="en-US"/>
        </w:rPr>
      </w:pPr>
    </w:p>
    <w:p w14:paraId="77070878" w14:textId="4968CE8F" w:rsidR="0086617B" w:rsidRDefault="0086617B" w:rsidP="00DB44B8">
      <w:pPr>
        <w:rPr>
          <w:bCs/>
          <w:lang w:val="en-US"/>
        </w:rPr>
      </w:pPr>
    </w:p>
    <w:p w14:paraId="54C92894" w14:textId="0C04A07D" w:rsidR="0086617B" w:rsidRDefault="0086617B" w:rsidP="00DB44B8">
      <w:pPr>
        <w:rPr>
          <w:bCs/>
          <w:lang w:val="en-US"/>
        </w:rPr>
      </w:pPr>
    </w:p>
    <w:p w14:paraId="288DA1FF" w14:textId="6955D2AC" w:rsidR="0086617B" w:rsidRDefault="0086617B" w:rsidP="00DB44B8">
      <w:pPr>
        <w:rPr>
          <w:bCs/>
          <w:lang w:val="en-US"/>
        </w:rPr>
      </w:pPr>
    </w:p>
    <w:p w14:paraId="1C7FF0D8" w14:textId="7985611C" w:rsidR="0086617B" w:rsidRDefault="0086617B" w:rsidP="00DB44B8">
      <w:pPr>
        <w:rPr>
          <w:bCs/>
          <w:lang w:val="en-US"/>
        </w:rPr>
      </w:pPr>
    </w:p>
    <w:p w14:paraId="0CEB7512" w14:textId="77777777" w:rsidR="0086617B" w:rsidRPr="00F16C48" w:rsidRDefault="0086617B" w:rsidP="00DB44B8">
      <w:pPr>
        <w:rPr>
          <w:bCs/>
          <w:lang w:val="en-US"/>
        </w:rPr>
      </w:pPr>
    </w:p>
    <w:p w14:paraId="680A73A9" w14:textId="77777777" w:rsidR="00DB44B8" w:rsidRPr="00FC5E64" w:rsidRDefault="00DB44B8" w:rsidP="00F6090D">
      <w:pPr>
        <w:pStyle w:val="Heading2"/>
        <w:numPr>
          <w:ilvl w:val="1"/>
          <w:numId w:val="1"/>
        </w:numPr>
      </w:pPr>
      <w:bookmarkStart w:id="43" w:name="_Toc72402767"/>
      <w:r w:rsidRPr="00FC5E64">
        <w:lastRenderedPageBreak/>
        <w:t>Variance Explanation</w:t>
      </w:r>
      <w:r>
        <w:t>s</w:t>
      </w:r>
      <w:r w:rsidRPr="00FC5E64">
        <w:t xml:space="preserve"> and </w:t>
      </w:r>
      <w:r>
        <w:t>ADM</w:t>
      </w:r>
      <w:r w:rsidRPr="00FC5E64">
        <w:t xml:space="preserve"> </w:t>
      </w:r>
      <w:r>
        <w:t xml:space="preserve">Forecast </w:t>
      </w:r>
      <w:r w:rsidRPr="00FC5E64">
        <w:t>Approval</w:t>
      </w:r>
      <w:bookmarkEnd w:id="43"/>
    </w:p>
    <w:p w14:paraId="7403FC66" w14:textId="77777777" w:rsidR="00DB44B8" w:rsidRPr="00FC5E64" w:rsidRDefault="00DB44B8" w:rsidP="00DB44B8"/>
    <w:p w14:paraId="57F6C55F" w14:textId="23398AAA" w:rsidR="00DB44B8" w:rsidRPr="008417D0" w:rsidRDefault="00DB44B8" w:rsidP="00DB44B8">
      <w:r w:rsidRPr="00FC5E64">
        <w:t xml:space="preserve">The </w:t>
      </w:r>
      <w:r>
        <w:t xml:space="preserve">BI </w:t>
      </w:r>
      <w:r w:rsidRPr="00FC5E64">
        <w:t>Surplus/Deficit</w:t>
      </w:r>
      <w:r>
        <w:t xml:space="preserve"> </w:t>
      </w:r>
      <w:r w:rsidRPr="00FC5E64">
        <w:t xml:space="preserve">report </w:t>
      </w:r>
      <w:r>
        <w:t>(FM23)</w:t>
      </w:r>
      <w:r w:rsidRPr="00CD4B30">
        <w:t xml:space="preserve"> </w:t>
      </w:r>
      <w:r>
        <w:t>is</w:t>
      </w:r>
      <w:r w:rsidRPr="00CD4B30">
        <w:t xml:space="preserve"> used to provide </w:t>
      </w:r>
      <w:r>
        <w:t xml:space="preserve">the variance </w:t>
      </w:r>
      <w:r w:rsidRPr="00CD4B30">
        <w:t>explanation between the budget and the forecast. FMA</w:t>
      </w:r>
      <w:r>
        <w:t>s must</w:t>
      </w:r>
      <w:r w:rsidRPr="00CD4B30">
        <w:t xml:space="preserve"> extract the branch/region financial situation using the BI </w:t>
      </w:r>
      <w:r>
        <w:t xml:space="preserve">Surplus/Deficit </w:t>
      </w:r>
      <w:r w:rsidRPr="00CD4B30">
        <w:t>report and manually add a section at the bottom of the report providing detailed explanations</w:t>
      </w:r>
      <w:r w:rsidRPr="00FC5E64">
        <w:t xml:space="preserve"> of </w:t>
      </w:r>
      <w:r w:rsidRPr="008417D0">
        <w:t>the variance using the following 2 categories:</w:t>
      </w:r>
    </w:p>
    <w:p w14:paraId="30FEB224" w14:textId="71895766" w:rsidR="00DB44B8" w:rsidRPr="008417D0" w:rsidRDefault="00DB44B8" w:rsidP="00F6090D">
      <w:pPr>
        <w:pStyle w:val="ListParagraph"/>
        <w:numPr>
          <w:ilvl w:val="0"/>
          <w:numId w:val="7"/>
        </w:numPr>
        <w:spacing w:before="120"/>
        <w:ind w:left="714" w:hanging="357"/>
        <w:contextualSpacing w:val="0"/>
      </w:pPr>
      <w:r w:rsidRPr="008417D0">
        <w:t>Internal Transfers</w:t>
      </w:r>
      <w:r>
        <w:t xml:space="preserve"> </w:t>
      </w:r>
      <w:r w:rsidR="002B26A0">
        <w:t>including</w:t>
      </w:r>
      <w:r>
        <w:t xml:space="preserve"> OBAs, </w:t>
      </w:r>
      <w:r w:rsidRPr="00C06223">
        <w:t>Transfer</w:t>
      </w:r>
      <w:r>
        <w:t>s</w:t>
      </w:r>
      <w:r w:rsidRPr="00C06223">
        <w:t xml:space="preserve"> between Branches, Tran</w:t>
      </w:r>
      <w:r w:rsidR="00310597">
        <w:t>s</w:t>
      </w:r>
      <w:r w:rsidRPr="00C06223">
        <w:t>fer</w:t>
      </w:r>
      <w:r>
        <w:t>s</w:t>
      </w:r>
      <w:r w:rsidRPr="00C06223">
        <w:t xml:space="preserve"> between Fund</w:t>
      </w:r>
      <w:r>
        <w:t>s</w:t>
      </w:r>
      <w:r w:rsidRPr="00C06223">
        <w:t>/Business Line</w:t>
      </w:r>
      <w:r>
        <w:t>s</w:t>
      </w:r>
      <w:r w:rsidR="00B13449">
        <w:t>,</w:t>
      </w:r>
      <w:r>
        <w:t xml:space="preserve"> Transfers with Corporate Reserve</w:t>
      </w:r>
      <w:r w:rsidRPr="00C06223">
        <w:t xml:space="preserve"> </w:t>
      </w:r>
      <w:r>
        <w:t xml:space="preserve">and other </w:t>
      </w:r>
      <w:r w:rsidRPr="00C06223">
        <w:t>adjust</w:t>
      </w:r>
      <w:r>
        <w:t>ments (budget a</w:t>
      </w:r>
      <w:r w:rsidR="001554FB">
        <w:t>d</w:t>
      </w:r>
      <w:r>
        <w:t>justments). T</w:t>
      </w:r>
      <w:r w:rsidRPr="008417D0">
        <w:t xml:space="preserve">he </w:t>
      </w:r>
      <w:r w:rsidR="00B13449">
        <w:t xml:space="preserve">section’s </w:t>
      </w:r>
      <w:r w:rsidRPr="008417D0">
        <w:t>subtotal also need</w:t>
      </w:r>
      <w:r>
        <w:t>s</w:t>
      </w:r>
      <w:r w:rsidRPr="008417D0">
        <w:t xml:space="preserve"> to be manually reported in the Forecast Approval report. The Net Variance reported </w:t>
      </w:r>
      <w:r w:rsidRPr="00CD4B30">
        <w:t xml:space="preserve">from BI </w:t>
      </w:r>
      <w:r w:rsidR="002B26A0">
        <w:t>added to</w:t>
      </w:r>
      <w:r w:rsidRPr="00CD4B30">
        <w:t xml:space="preserve"> this</w:t>
      </w:r>
      <w:r w:rsidRPr="008417D0">
        <w:t xml:space="preserve"> subtotal equals the branch/regional results that will be presented </w:t>
      </w:r>
      <w:r>
        <w:t xml:space="preserve">in the DFR and ultimately, to </w:t>
      </w:r>
      <w:r w:rsidRPr="008417D0">
        <w:t>PMB (surplus/deficit of the branch/region).</w:t>
      </w:r>
    </w:p>
    <w:p w14:paraId="3604E6BF" w14:textId="17E22525" w:rsidR="00DB44B8" w:rsidRPr="008417D0" w:rsidRDefault="00DB44B8" w:rsidP="00F6090D">
      <w:pPr>
        <w:pStyle w:val="ListParagraph"/>
        <w:numPr>
          <w:ilvl w:val="0"/>
          <w:numId w:val="7"/>
        </w:numPr>
        <w:spacing w:before="120"/>
        <w:ind w:left="714" w:hanging="357"/>
        <w:contextualSpacing w:val="0"/>
      </w:pPr>
      <w:r>
        <w:t>Deficit (pressures)</w:t>
      </w:r>
      <w:r w:rsidRPr="008417D0">
        <w:t xml:space="preserve"> and Surplus</w:t>
      </w:r>
      <w:r>
        <w:t xml:space="preserve"> (repatriable and not repatriable)</w:t>
      </w:r>
      <w:r w:rsidRPr="008417D0">
        <w:t xml:space="preserve">: </w:t>
      </w:r>
      <w:r>
        <w:t>a control total at the bottom of the report ensures that all pressures and surplus are explained.</w:t>
      </w:r>
    </w:p>
    <w:p w14:paraId="7514F4CA" w14:textId="77777777" w:rsidR="00DB44B8" w:rsidRPr="00FC5E64" w:rsidRDefault="00DB44B8" w:rsidP="00DB44B8"/>
    <w:p w14:paraId="3FFFED8F" w14:textId="639728E3" w:rsidR="00DB44B8" w:rsidRDefault="00DB44B8" w:rsidP="00DB44B8">
      <w:r w:rsidRPr="00FF594E">
        <w:t xml:space="preserve">In addition, </w:t>
      </w:r>
      <w:r>
        <w:t>the Forecast Approval report, which summarizes the branch/region financial situation</w:t>
      </w:r>
      <w:r w:rsidR="00565531">
        <w:t>,</w:t>
      </w:r>
      <w:r>
        <w:t xml:space="preserve"> must also be produced and approved by the ADM.</w:t>
      </w:r>
    </w:p>
    <w:p w14:paraId="5B5FD886" w14:textId="13DB63A0" w:rsidR="008D27B5" w:rsidRDefault="008D27B5" w:rsidP="00DB44B8"/>
    <w:p w14:paraId="6289B469" w14:textId="3F1D5736" w:rsidR="008D27B5" w:rsidRDefault="008D27B5" w:rsidP="00DB44B8">
      <w:r w:rsidRPr="008D27B5">
        <w:t xml:space="preserve">Digital signature is highly recommended and is the preferred option. Please click </w:t>
      </w:r>
      <w:hyperlink r:id="rId40" w:history="1">
        <w:r w:rsidRPr="008D27B5">
          <w:rPr>
            <w:rStyle w:val="Hyperlink"/>
          </w:rPr>
          <w:t>here</w:t>
        </w:r>
      </w:hyperlink>
      <w:r w:rsidRPr="008D27B5">
        <w:t xml:space="preserve"> for detailed</w:t>
      </w:r>
      <w:r>
        <w:t xml:space="preserve"> instructions on how to approve </w:t>
      </w:r>
      <w:r w:rsidRPr="008D27B5">
        <w:t>a document using a digital signature.</w:t>
      </w:r>
    </w:p>
    <w:p w14:paraId="3C0891EE" w14:textId="77777777" w:rsidR="008D27B5" w:rsidRDefault="008D27B5" w:rsidP="00DB44B8"/>
    <w:p w14:paraId="74083B22" w14:textId="37FEC46D" w:rsidR="00436A19" w:rsidRPr="00FF594E" w:rsidRDefault="00436A19" w:rsidP="00DB44B8">
      <w:r>
        <w:t>The updated versions of the Variance Explanation template as well as the Forecast Approval form are posted on the CRM SharePoint at each forecasting period.</w:t>
      </w:r>
    </w:p>
    <w:p w14:paraId="58494A4F" w14:textId="77777777" w:rsidR="00DB44B8" w:rsidRPr="00FF594E" w:rsidRDefault="00DB44B8" w:rsidP="00DB44B8"/>
    <w:p w14:paraId="0EB49DDB" w14:textId="59B7ADBE" w:rsidR="00DB44B8" w:rsidRPr="00FF594E" w:rsidRDefault="00DB44B8" w:rsidP="00DB44B8">
      <w:pPr>
        <w:rPr>
          <w:rFonts w:cs="Arial"/>
          <w:bCs/>
        </w:rPr>
      </w:pPr>
      <w:r w:rsidRPr="00FF594E">
        <w:t xml:space="preserve">Once completed and signed by both the </w:t>
      </w:r>
      <w:r>
        <w:t>ADM</w:t>
      </w:r>
      <w:r w:rsidRPr="00FF594E">
        <w:t xml:space="preserve"> and </w:t>
      </w:r>
      <w:r>
        <w:t xml:space="preserve">the </w:t>
      </w:r>
      <w:r w:rsidRPr="00FF594E">
        <w:t>FMA</w:t>
      </w:r>
      <w:r>
        <w:t xml:space="preserve"> (including printed names)</w:t>
      </w:r>
      <w:r w:rsidRPr="00FF594E">
        <w:t xml:space="preserve">, a copy of both reports </w:t>
      </w:r>
      <w:r>
        <w:t xml:space="preserve">must be </w:t>
      </w:r>
      <w:r w:rsidRPr="00FF594E">
        <w:t>submitted to CRM</w:t>
      </w:r>
      <w:r>
        <w:t>,</w:t>
      </w:r>
      <w:r w:rsidRPr="00FF594E">
        <w:t xml:space="preserve"> </w:t>
      </w:r>
      <w:r w:rsidRPr="00FF594E">
        <w:rPr>
          <w:rFonts w:cs="Arial"/>
          <w:bCs/>
        </w:rPr>
        <w:t xml:space="preserve">as per the </w:t>
      </w:r>
      <w:r>
        <w:rPr>
          <w:rFonts w:cs="Arial"/>
          <w:bCs/>
        </w:rPr>
        <w:t xml:space="preserve">timelines outlined in the </w:t>
      </w:r>
      <w:r w:rsidRPr="00FF594E">
        <w:rPr>
          <w:rFonts w:cs="Arial"/>
          <w:bCs/>
        </w:rPr>
        <w:t xml:space="preserve">Departmental Forecasting Calendar (Annex A), via the forecasting mailbox: </w:t>
      </w:r>
      <w:hyperlink r:id="rId41" w:history="1">
        <w:r w:rsidRPr="00FF594E">
          <w:rPr>
            <w:rStyle w:val="Hyperlink"/>
            <w:rFonts w:cs="Arial"/>
            <w:bCs/>
          </w:rPr>
          <w:t>NC-Forecasting-Mailbox-CRM_Boîtes-aux-lettres-Prévisions-GRM-GD</w:t>
        </w:r>
      </w:hyperlink>
      <w:r w:rsidRPr="00FF594E">
        <w:rPr>
          <w:rFonts w:cs="Arial"/>
          <w:bCs/>
        </w:rPr>
        <w:t>.</w:t>
      </w:r>
    </w:p>
    <w:p w14:paraId="42189647" w14:textId="77777777" w:rsidR="00DB44B8" w:rsidRPr="00FF594E" w:rsidRDefault="00DB44B8" w:rsidP="00DB44B8">
      <w:pPr>
        <w:rPr>
          <w:rFonts w:cs="Arial"/>
          <w:bCs/>
        </w:rPr>
      </w:pPr>
    </w:p>
    <w:p w14:paraId="4449F2B7" w14:textId="77777777" w:rsidR="00DB44B8" w:rsidRDefault="00DB44B8" w:rsidP="005A2022">
      <w:pPr>
        <w:sectPr w:rsidR="00DB44B8" w:rsidSect="00AF357C">
          <w:headerReference w:type="default" r:id="rId42"/>
          <w:footerReference w:type="even" r:id="rId43"/>
          <w:footerReference w:type="default" r:id="rId44"/>
          <w:headerReference w:type="first" r:id="rId45"/>
          <w:pgSz w:w="12240" w:h="15840"/>
          <w:pgMar w:top="1800" w:right="1800" w:bottom="1440" w:left="1440" w:header="737" w:footer="720" w:gutter="0"/>
          <w:cols w:space="720"/>
          <w:titlePg/>
          <w:docGrid w:linePitch="360"/>
        </w:sectPr>
      </w:pPr>
    </w:p>
    <w:p w14:paraId="63F136E9" w14:textId="77777777" w:rsidR="00863117" w:rsidRDefault="00863117" w:rsidP="005A2022"/>
    <w:p w14:paraId="37D48015" w14:textId="30BD29F1" w:rsidR="00863117" w:rsidRDefault="00863117" w:rsidP="00863117">
      <w:pPr>
        <w:pStyle w:val="Heading1"/>
        <w:ind w:left="432" w:hanging="432"/>
        <w:rPr>
          <w:lang w:val="en-US"/>
        </w:rPr>
      </w:pPr>
      <w:bookmarkStart w:id="44" w:name="_Toc72402768"/>
      <w:r w:rsidRPr="00F00681">
        <w:rPr>
          <w:lang w:val="en-US"/>
        </w:rPr>
        <w:t xml:space="preserve">ANNEX A – </w:t>
      </w:r>
      <w:r w:rsidR="00ED793D">
        <w:rPr>
          <w:lang w:val="en-US"/>
        </w:rPr>
        <w:t xml:space="preserve">2021-22 </w:t>
      </w:r>
      <w:r w:rsidRPr="00F00681">
        <w:rPr>
          <w:lang w:val="en-US"/>
        </w:rPr>
        <w:t>Departmental Forecasting Calendar</w:t>
      </w:r>
      <w:bookmarkEnd w:id="44"/>
    </w:p>
    <w:p w14:paraId="5657F17A" w14:textId="77777777" w:rsidR="002B357F" w:rsidRPr="002B357F" w:rsidRDefault="002B357F" w:rsidP="002B357F">
      <w:pPr>
        <w:rPr>
          <w:lang w:val="en-US"/>
        </w:rPr>
      </w:pPr>
    </w:p>
    <w:p w14:paraId="46AE92E4" w14:textId="771AA77D" w:rsidR="007A3A2E" w:rsidRPr="00ED0364" w:rsidRDefault="007A3A2E" w:rsidP="00863117">
      <w:pPr>
        <w:spacing w:after="200" w:line="276" w:lineRule="auto"/>
        <w:sectPr w:rsidR="007A3A2E" w:rsidRPr="00ED0364" w:rsidSect="00922FCD">
          <w:pgSz w:w="15840" w:h="12240" w:orient="landscape"/>
          <w:pgMar w:top="1134" w:right="1134" w:bottom="1134" w:left="1134" w:header="720" w:footer="720" w:gutter="0"/>
          <w:cols w:space="720"/>
          <w:docGrid w:linePitch="360"/>
        </w:sectPr>
      </w:pPr>
      <w:r w:rsidRPr="007A3A2E">
        <w:rPr>
          <w:noProof/>
        </w:rPr>
        <w:drawing>
          <wp:inline distT="0" distB="0" distL="0" distR="0" wp14:anchorId="444DFCB3" wp14:editId="40760660">
            <wp:extent cx="8618220" cy="3451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618220" cy="3451260"/>
                    </a:xfrm>
                    <a:prstGeom prst="rect">
                      <a:avLst/>
                    </a:prstGeom>
                    <a:noFill/>
                    <a:ln>
                      <a:noFill/>
                    </a:ln>
                  </pic:spPr>
                </pic:pic>
              </a:graphicData>
            </a:graphic>
          </wp:inline>
        </w:drawing>
      </w:r>
    </w:p>
    <w:p w14:paraId="1004E8B0" w14:textId="37DF7D00" w:rsidR="00D7117A" w:rsidRDefault="00D7117A" w:rsidP="00D7117A">
      <w:pPr>
        <w:pStyle w:val="Heading1"/>
        <w:ind w:left="432" w:hanging="432"/>
      </w:pPr>
      <w:bookmarkStart w:id="45" w:name="_Toc72402769"/>
      <w:r w:rsidRPr="00F00681">
        <w:lastRenderedPageBreak/>
        <w:t>ANNEX B – FMBB Budget Entry</w:t>
      </w:r>
      <w:bookmarkEnd w:id="45"/>
    </w:p>
    <w:p w14:paraId="275F6DFF" w14:textId="77777777" w:rsidR="00D7117A" w:rsidRPr="000B4B91" w:rsidRDefault="00D7117A" w:rsidP="00D7117A">
      <w:pPr>
        <w:rPr>
          <w:sz w:val="18"/>
        </w:rPr>
      </w:pPr>
    </w:p>
    <w:p w14:paraId="130BA31C" w14:textId="6A9F3528" w:rsidR="00D7117A" w:rsidRPr="003467AD" w:rsidRDefault="00D7117A" w:rsidP="00D7117A">
      <w:pPr>
        <w:rPr>
          <w:rFonts w:eastAsiaTheme="minorHAnsi"/>
          <w:b/>
          <w:sz w:val="28"/>
          <w:lang w:eastAsia="en-US"/>
        </w:rPr>
      </w:pPr>
      <w:r w:rsidRPr="003467AD">
        <w:rPr>
          <w:rFonts w:eastAsiaTheme="minorHAnsi"/>
          <w:b/>
          <w:sz w:val="28"/>
          <w:lang w:eastAsia="en-US"/>
        </w:rPr>
        <w:t xml:space="preserve">Approved </w:t>
      </w:r>
      <w:r w:rsidR="007A3A2E">
        <w:rPr>
          <w:rFonts w:eastAsiaTheme="minorHAnsi"/>
          <w:b/>
          <w:sz w:val="28"/>
          <w:lang w:eastAsia="en-US"/>
        </w:rPr>
        <w:t>Potential Funding for Planning Purposes</w:t>
      </w:r>
      <w:r w:rsidRPr="003467AD">
        <w:rPr>
          <w:rFonts w:eastAsiaTheme="minorHAnsi"/>
          <w:b/>
          <w:sz w:val="28"/>
          <w:lang w:eastAsia="en-US"/>
        </w:rPr>
        <w:t xml:space="preserve"> Budget</w:t>
      </w:r>
      <w:r w:rsidR="00ED793D">
        <w:rPr>
          <w:rFonts w:eastAsiaTheme="minorHAnsi"/>
          <w:b/>
          <w:sz w:val="28"/>
          <w:lang w:eastAsia="en-US"/>
        </w:rPr>
        <w:t xml:space="preserve"> (APFPP)</w:t>
      </w:r>
    </w:p>
    <w:p w14:paraId="407D29FC" w14:textId="77777777" w:rsidR="00D7117A" w:rsidRPr="000B4B91" w:rsidRDefault="00D7117A" w:rsidP="00D7117A">
      <w:pPr>
        <w:rPr>
          <w:lang w:val="en-US"/>
        </w:rPr>
      </w:pPr>
    </w:p>
    <w:p w14:paraId="1CC086F6" w14:textId="78C71F23" w:rsidR="00D7117A" w:rsidRDefault="00D7117A" w:rsidP="00D7117A">
      <w:r w:rsidRPr="000573B9">
        <w:rPr>
          <w:rFonts w:eastAsiaTheme="minorHAnsi" w:cs="Arial"/>
          <w:lang w:val="en-US" w:eastAsia="en-US"/>
        </w:rPr>
        <w:t>To adjust</w:t>
      </w:r>
      <w:r w:rsidRPr="000573B9">
        <w:rPr>
          <w:rFonts w:eastAsiaTheme="minorHAnsi" w:cs="Arial"/>
          <w:lang w:eastAsia="en-US"/>
        </w:rPr>
        <w:t xml:space="preserve"> the notional budget for </w:t>
      </w:r>
      <w:r w:rsidR="00ED793D">
        <w:rPr>
          <w:rFonts w:eastAsiaTheme="minorHAnsi" w:cs="Arial"/>
          <w:lang w:eastAsia="en-US"/>
        </w:rPr>
        <w:t>APFPP</w:t>
      </w:r>
      <w:r w:rsidRPr="000573B9">
        <w:rPr>
          <w:rFonts w:eastAsiaTheme="minorHAnsi" w:cs="Arial"/>
          <w:lang w:eastAsia="en-US"/>
        </w:rPr>
        <w:t xml:space="preserve"> items in budget version Bxx. This is entered by CRM and distributed by FMAs within the </w:t>
      </w:r>
      <w:r w:rsidRPr="000573B9">
        <w:t>month, prior to the start of the forecasting period</w:t>
      </w:r>
      <w:r w:rsidR="009D2507">
        <w:t>.</w:t>
      </w:r>
    </w:p>
    <w:p w14:paraId="210639C0" w14:textId="77777777" w:rsidR="00D7117A" w:rsidRDefault="00D7117A" w:rsidP="00D7117A"/>
    <w:p w14:paraId="06E23EF0" w14:textId="77777777" w:rsidR="00D7117A" w:rsidRDefault="00D7117A" w:rsidP="00D7117A">
      <w:pPr>
        <w:rPr>
          <w:rFonts w:eastAsiaTheme="minorHAnsi" w:cs="Arial"/>
          <w:lang w:eastAsia="en-US"/>
        </w:rPr>
      </w:pPr>
      <w:r>
        <w:t>The following codes are to be used in FMBB for the entries:</w:t>
      </w:r>
    </w:p>
    <w:p w14:paraId="30953BE7" w14:textId="77777777" w:rsidR="00D7117A" w:rsidRPr="000B4B91" w:rsidRDefault="00D7117A" w:rsidP="00D7117A">
      <w:pPr>
        <w:rPr>
          <w:rFonts w:eastAsiaTheme="minorHAnsi" w:cs="Arial"/>
          <w:sz w:val="18"/>
          <w:lang w:eastAsia="en-US"/>
        </w:rPr>
      </w:pPr>
    </w:p>
    <w:tbl>
      <w:tblPr>
        <w:tblStyle w:val="TableGrid1"/>
        <w:tblW w:w="0" w:type="auto"/>
        <w:tblLook w:val="04A0" w:firstRow="1" w:lastRow="0" w:firstColumn="1" w:lastColumn="0" w:noHBand="0" w:noVBand="1"/>
      </w:tblPr>
      <w:tblGrid>
        <w:gridCol w:w="792"/>
        <w:gridCol w:w="1836"/>
        <w:gridCol w:w="2236"/>
        <w:gridCol w:w="2170"/>
        <w:gridCol w:w="1956"/>
      </w:tblGrid>
      <w:tr w:rsidR="00D7117A" w:rsidRPr="00F01E5B" w14:paraId="00698005" w14:textId="77777777" w:rsidTr="00922FCD">
        <w:trPr>
          <w:trHeight w:val="635"/>
        </w:trPr>
        <w:tc>
          <w:tcPr>
            <w:tcW w:w="817" w:type="dxa"/>
            <w:vAlign w:val="center"/>
          </w:tcPr>
          <w:p w14:paraId="6827E807" w14:textId="77777777" w:rsidR="00D7117A" w:rsidRPr="00F01E5B" w:rsidRDefault="00D7117A" w:rsidP="00922FCD">
            <w:pPr>
              <w:spacing w:after="200" w:line="276" w:lineRule="auto"/>
              <w:jc w:val="center"/>
              <w:rPr>
                <w:rFonts w:eastAsiaTheme="minorHAnsi" w:cs="Arial"/>
                <w:b/>
                <w:lang w:eastAsia="en-US"/>
              </w:rPr>
            </w:pPr>
            <w:r>
              <w:rPr>
                <w:rFonts w:eastAsiaTheme="minorHAnsi" w:cs="Arial"/>
                <w:b/>
                <w:lang w:eastAsia="en-US"/>
              </w:rPr>
              <w:t>By</w:t>
            </w:r>
          </w:p>
        </w:tc>
        <w:tc>
          <w:tcPr>
            <w:tcW w:w="1985" w:type="dxa"/>
            <w:vAlign w:val="center"/>
          </w:tcPr>
          <w:p w14:paraId="5DFD4FF3" w14:textId="77777777" w:rsidR="00D7117A" w:rsidRPr="00F01E5B" w:rsidRDefault="00D7117A" w:rsidP="00922FCD">
            <w:pPr>
              <w:spacing w:after="200" w:line="276" w:lineRule="auto"/>
              <w:jc w:val="center"/>
              <w:rPr>
                <w:rFonts w:eastAsiaTheme="minorHAnsi" w:cs="Arial"/>
                <w:b/>
                <w:lang w:eastAsia="en-US"/>
              </w:rPr>
            </w:pPr>
            <w:r w:rsidRPr="00F01E5B">
              <w:rPr>
                <w:rFonts w:eastAsiaTheme="minorHAnsi" w:cs="Arial"/>
                <w:b/>
                <w:lang w:eastAsia="en-US"/>
              </w:rPr>
              <w:t>Process</w:t>
            </w:r>
          </w:p>
        </w:tc>
        <w:tc>
          <w:tcPr>
            <w:tcW w:w="2551" w:type="dxa"/>
            <w:vAlign w:val="center"/>
          </w:tcPr>
          <w:p w14:paraId="59F0FD56" w14:textId="77777777" w:rsidR="00D7117A" w:rsidRPr="00F01E5B" w:rsidRDefault="00D7117A" w:rsidP="00922FCD">
            <w:pPr>
              <w:spacing w:after="200" w:line="276" w:lineRule="auto"/>
              <w:jc w:val="center"/>
              <w:rPr>
                <w:rFonts w:eastAsiaTheme="minorHAnsi" w:cs="Arial"/>
                <w:b/>
                <w:lang w:eastAsia="en-US"/>
              </w:rPr>
            </w:pPr>
            <w:r w:rsidRPr="00F01E5B">
              <w:rPr>
                <w:rFonts w:eastAsiaTheme="minorHAnsi" w:cs="Arial"/>
                <w:b/>
                <w:lang w:eastAsia="en-US"/>
              </w:rPr>
              <w:t>Document Type</w:t>
            </w:r>
          </w:p>
        </w:tc>
        <w:tc>
          <w:tcPr>
            <w:tcW w:w="2552" w:type="dxa"/>
            <w:vAlign w:val="center"/>
          </w:tcPr>
          <w:p w14:paraId="0D33A0D7" w14:textId="77777777" w:rsidR="00D7117A" w:rsidRPr="00F01E5B" w:rsidRDefault="00D7117A" w:rsidP="00922FCD">
            <w:pPr>
              <w:spacing w:after="200" w:line="276" w:lineRule="auto"/>
              <w:jc w:val="center"/>
              <w:rPr>
                <w:rFonts w:eastAsiaTheme="minorHAnsi" w:cs="Arial"/>
                <w:b/>
                <w:lang w:eastAsia="en-US"/>
              </w:rPr>
            </w:pPr>
            <w:r w:rsidRPr="00F01E5B">
              <w:rPr>
                <w:rFonts w:eastAsiaTheme="minorHAnsi" w:cs="Arial"/>
                <w:b/>
                <w:lang w:eastAsia="en-US"/>
              </w:rPr>
              <w:t>Version</w:t>
            </w:r>
          </w:p>
        </w:tc>
        <w:tc>
          <w:tcPr>
            <w:tcW w:w="2283" w:type="dxa"/>
            <w:vAlign w:val="center"/>
          </w:tcPr>
          <w:p w14:paraId="10AE0E5B" w14:textId="77777777" w:rsidR="00D7117A" w:rsidRPr="00F01E5B" w:rsidRDefault="00D7117A" w:rsidP="00922FCD">
            <w:pPr>
              <w:spacing w:after="200" w:line="276" w:lineRule="auto"/>
              <w:jc w:val="center"/>
              <w:rPr>
                <w:rFonts w:eastAsiaTheme="minorHAnsi" w:cs="Arial"/>
                <w:b/>
                <w:lang w:eastAsia="en-US"/>
              </w:rPr>
            </w:pPr>
            <w:r w:rsidRPr="00F01E5B">
              <w:rPr>
                <w:rFonts w:eastAsiaTheme="minorHAnsi" w:cs="Arial"/>
                <w:b/>
                <w:lang w:eastAsia="en-US"/>
              </w:rPr>
              <w:t>Budget Type</w:t>
            </w:r>
          </w:p>
        </w:tc>
      </w:tr>
      <w:tr w:rsidR="00D7117A" w:rsidRPr="00F01E5B" w14:paraId="67CD2095" w14:textId="77777777" w:rsidTr="00922FCD">
        <w:trPr>
          <w:trHeight w:val="635"/>
        </w:trPr>
        <w:tc>
          <w:tcPr>
            <w:tcW w:w="817" w:type="dxa"/>
          </w:tcPr>
          <w:p w14:paraId="6A60F3D0" w14:textId="77777777" w:rsidR="00D7117A" w:rsidRPr="00F01E5B" w:rsidRDefault="00D7117A" w:rsidP="00922FCD">
            <w:pPr>
              <w:spacing w:line="276" w:lineRule="auto"/>
              <w:rPr>
                <w:rFonts w:eastAsiaTheme="minorHAnsi" w:cs="Arial"/>
                <w:lang w:eastAsia="en-US"/>
              </w:rPr>
            </w:pPr>
            <w:r>
              <w:rPr>
                <w:rFonts w:eastAsiaTheme="minorHAnsi" w:cs="Arial"/>
                <w:lang w:eastAsia="en-US"/>
              </w:rPr>
              <w:t>CRM</w:t>
            </w:r>
          </w:p>
        </w:tc>
        <w:tc>
          <w:tcPr>
            <w:tcW w:w="1985" w:type="dxa"/>
          </w:tcPr>
          <w:p w14:paraId="24767504" w14:textId="77777777" w:rsidR="00D7117A" w:rsidRPr="00F01E5B" w:rsidRDefault="00D7117A" w:rsidP="00922FCD">
            <w:pPr>
              <w:spacing w:line="276" w:lineRule="auto"/>
              <w:rPr>
                <w:rFonts w:eastAsiaTheme="minorHAnsi" w:cs="Arial"/>
                <w:lang w:eastAsia="en-US"/>
              </w:rPr>
            </w:pPr>
            <w:r>
              <w:rPr>
                <w:rFonts w:eastAsiaTheme="minorHAnsi" w:cs="Arial"/>
                <w:lang w:eastAsia="en-US"/>
              </w:rPr>
              <w:t>Supplement</w:t>
            </w:r>
          </w:p>
        </w:tc>
        <w:tc>
          <w:tcPr>
            <w:tcW w:w="2551" w:type="dxa"/>
          </w:tcPr>
          <w:p w14:paraId="6F73E561" w14:textId="77777777" w:rsidR="00D7117A" w:rsidRPr="00F01E5B" w:rsidRDefault="00D7117A" w:rsidP="00922FCD">
            <w:pPr>
              <w:spacing w:after="200" w:line="276" w:lineRule="auto"/>
              <w:rPr>
                <w:rFonts w:eastAsiaTheme="minorHAnsi" w:cs="Arial"/>
                <w:lang w:eastAsia="en-US"/>
              </w:rPr>
            </w:pPr>
            <w:r w:rsidRPr="00F01E5B">
              <w:rPr>
                <w:rFonts w:eastAsiaTheme="minorHAnsi" w:cs="Arial"/>
                <w:lang w:eastAsia="en-US"/>
              </w:rPr>
              <w:t xml:space="preserve">FB1 </w:t>
            </w:r>
            <w:r>
              <w:rPr>
                <w:rFonts w:eastAsiaTheme="minorHAnsi" w:cs="Arial"/>
                <w:lang w:eastAsia="en-US"/>
              </w:rPr>
              <w:t>(</w:t>
            </w:r>
            <w:r w:rsidRPr="00F01E5B">
              <w:rPr>
                <w:rFonts w:eastAsiaTheme="minorHAnsi" w:cs="Arial"/>
                <w:lang w:eastAsia="en-US"/>
              </w:rPr>
              <w:t>Forecast</w:t>
            </w:r>
            <w:r>
              <w:rPr>
                <w:rFonts w:eastAsiaTheme="minorHAnsi" w:cs="Arial"/>
                <w:lang w:eastAsia="en-US"/>
              </w:rPr>
              <w:t xml:space="preserve"> </w:t>
            </w:r>
            <w:r w:rsidRPr="00F01E5B">
              <w:rPr>
                <w:rFonts w:eastAsiaTheme="minorHAnsi" w:cs="Arial"/>
                <w:lang w:eastAsia="en-US"/>
              </w:rPr>
              <w:t>Bgt</w:t>
            </w:r>
            <w:r>
              <w:rPr>
                <w:rFonts w:eastAsiaTheme="minorHAnsi" w:cs="Arial"/>
                <w:lang w:eastAsia="en-US"/>
              </w:rPr>
              <w:t>)</w:t>
            </w:r>
          </w:p>
        </w:tc>
        <w:tc>
          <w:tcPr>
            <w:tcW w:w="2552" w:type="dxa"/>
          </w:tcPr>
          <w:p w14:paraId="4C33ACA7" w14:textId="77777777" w:rsidR="00D7117A" w:rsidRPr="00F01E5B" w:rsidRDefault="00D7117A" w:rsidP="00922FCD">
            <w:pPr>
              <w:spacing w:after="200" w:line="276" w:lineRule="auto"/>
              <w:rPr>
                <w:rFonts w:eastAsiaTheme="minorHAnsi" w:cs="Arial"/>
                <w:lang w:eastAsia="en-US"/>
              </w:rPr>
            </w:pPr>
            <w:r w:rsidRPr="00F01E5B">
              <w:rPr>
                <w:rFonts w:eastAsiaTheme="minorHAnsi" w:cs="Arial"/>
                <w:lang w:eastAsia="en-US"/>
              </w:rPr>
              <w:t>B02 / B05 / B07 / B09</w:t>
            </w:r>
          </w:p>
        </w:tc>
        <w:tc>
          <w:tcPr>
            <w:tcW w:w="2283" w:type="dxa"/>
          </w:tcPr>
          <w:p w14:paraId="75736A97" w14:textId="77777777" w:rsidR="00D7117A" w:rsidRPr="00F01E5B" w:rsidRDefault="00D7117A" w:rsidP="00922FCD">
            <w:pPr>
              <w:spacing w:after="200" w:line="276" w:lineRule="auto"/>
              <w:rPr>
                <w:rFonts w:eastAsiaTheme="minorHAnsi" w:cs="Arial"/>
                <w:lang w:eastAsia="en-US"/>
              </w:rPr>
            </w:pPr>
            <w:r w:rsidRPr="00F01E5B">
              <w:rPr>
                <w:rFonts w:eastAsiaTheme="minorHAnsi" w:cs="Arial"/>
                <w:lang w:eastAsia="en-US"/>
              </w:rPr>
              <w:t>FADJ</w:t>
            </w:r>
          </w:p>
        </w:tc>
      </w:tr>
      <w:tr w:rsidR="00D7117A" w:rsidRPr="00F01E5B" w14:paraId="5942656D" w14:textId="77777777" w:rsidTr="00922FCD">
        <w:trPr>
          <w:trHeight w:val="635"/>
        </w:trPr>
        <w:tc>
          <w:tcPr>
            <w:tcW w:w="817" w:type="dxa"/>
          </w:tcPr>
          <w:p w14:paraId="4367EC8A" w14:textId="77777777" w:rsidR="00D7117A" w:rsidRPr="00F01E5B" w:rsidRDefault="00D7117A" w:rsidP="00922FCD">
            <w:pPr>
              <w:spacing w:line="276" w:lineRule="auto"/>
              <w:rPr>
                <w:rFonts w:eastAsiaTheme="minorHAnsi" w:cs="Arial"/>
                <w:lang w:eastAsia="en-US"/>
              </w:rPr>
            </w:pPr>
            <w:r>
              <w:rPr>
                <w:rFonts w:eastAsiaTheme="minorHAnsi" w:cs="Arial"/>
                <w:lang w:eastAsia="en-US"/>
              </w:rPr>
              <w:t>FMA</w:t>
            </w:r>
          </w:p>
        </w:tc>
        <w:tc>
          <w:tcPr>
            <w:tcW w:w="1985" w:type="dxa"/>
          </w:tcPr>
          <w:p w14:paraId="04EA4001" w14:textId="77777777" w:rsidR="00D7117A" w:rsidRPr="00F01E5B" w:rsidRDefault="00D7117A" w:rsidP="00922FCD">
            <w:pPr>
              <w:spacing w:line="276" w:lineRule="auto"/>
              <w:rPr>
                <w:rFonts w:eastAsiaTheme="minorHAnsi" w:cs="Arial"/>
                <w:lang w:eastAsia="en-US"/>
              </w:rPr>
            </w:pPr>
            <w:r>
              <w:rPr>
                <w:rFonts w:eastAsiaTheme="minorHAnsi" w:cs="Arial"/>
                <w:lang w:eastAsia="en-US"/>
              </w:rPr>
              <w:t>Supplement</w:t>
            </w:r>
          </w:p>
        </w:tc>
        <w:tc>
          <w:tcPr>
            <w:tcW w:w="2551" w:type="dxa"/>
          </w:tcPr>
          <w:p w14:paraId="29A61FFC" w14:textId="77777777" w:rsidR="00D7117A" w:rsidRPr="00F01E5B" w:rsidRDefault="00D7117A" w:rsidP="00922FCD">
            <w:pPr>
              <w:spacing w:line="276" w:lineRule="auto"/>
              <w:rPr>
                <w:rFonts w:eastAsiaTheme="minorHAnsi" w:cs="Arial"/>
                <w:lang w:eastAsia="en-US"/>
              </w:rPr>
            </w:pPr>
            <w:r w:rsidRPr="00F01E5B">
              <w:rPr>
                <w:rFonts w:eastAsiaTheme="minorHAnsi" w:cs="Arial"/>
                <w:lang w:eastAsia="en-US"/>
              </w:rPr>
              <w:t xml:space="preserve">FB2 </w:t>
            </w:r>
            <w:r>
              <w:rPr>
                <w:rFonts w:eastAsiaTheme="minorHAnsi" w:cs="Arial"/>
                <w:lang w:eastAsia="en-US"/>
              </w:rPr>
              <w:t>(F</w:t>
            </w:r>
            <w:r w:rsidRPr="00F01E5B">
              <w:rPr>
                <w:rFonts w:eastAsiaTheme="minorHAnsi" w:cs="Arial"/>
                <w:lang w:eastAsia="en-US"/>
              </w:rPr>
              <w:t xml:space="preserve">rcst Supl </w:t>
            </w:r>
            <w:r>
              <w:rPr>
                <w:rFonts w:eastAsiaTheme="minorHAnsi" w:cs="Arial"/>
                <w:lang w:eastAsia="en-US"/>
              </w:rPr>
              <w:t>T</w:t>
            </w:r>
            <w:r w:rsidRPr="00F01E5B">
              <w:rPr>
                <w:rFonts w:eastAsiaTheme="minorHAnsi" w:cs="Arial"/>
                <w:lang w:eastAsia="en-US"/>
              </w:rPr>
              <w:t>rsfr</w:t>
            </w:r>
            <w:r>
              <w:rPr>
                <w:rFonts w:eastAsiaTheme="minorHAnsi" w:cs="Arial"/>
                <w:lang w:eastAsia="en-US"/>
              </w:rPr>
              <w:t>)</w:t>
            </w:r>
          </w:p>
        </w:tc>
        <w:tc>
          <w:tcPr>
            <w:tcW w:w="2552" w:type="dxa"/>
          </w:tcPr>
          <w:p w14:paraId="6525D42C" w14:textId="77777777" w:rsidR="00D7117A" w:rsidRPr="00F01E5B" w:rsidRDefault="00D7117A" w:rsidP="00922FCD">
            <w:pPr>
              <w:spacing w:after="200" w:line="276" w:lineRule="auto"/>
              <w:rPr>
                <w:rFonts w:eastAsiaTheme="minorHAnsi" w:cs="Arial"/>
                <w:lang w:eastAsia="en-US"/>
              </w:rPr>
            </w:pPr>
            <w:r w:rsidRPr="00F01E5B">
              <w:rPr>
                <w:rFonts w:eastAsiaTheme="minorHAnsi" w:cs="Arial"/>
                <w:lang w:eastAsia="en-US"/>
              </w:rPr>
              <w:t>B02 / B05 / B07 / B09</w:t>
            </w:r>
          </w:p>
        </w:tc>
        <w:tc>
          <w:tcPr>
            <w:tcW w:w="2283" w:type="dxa"/>
          </w:tcPr>
          <w:p w14:paraId="77497CB7" w14:textId="77777777" w:rsidR="00D7117A" w:rsidRPr="00F01E5B" w:rsidRDefault="00D7117A" w:rsidP="00922FCD">
            <w:pPr>
              <w:spacing w:after="200" w:line="276" w:lineRule="auto"/>
              <w:rPr>
                <w:rFonts w:eastAsiaTheme="minorHAnsi" w:cs="Arial"/>
                <w:lang w:eastAsia="en-US"/>
              </w:rPr>
            </w:pPr>
            <w:r w:rsidRPr="00F01E5B">
              <w:rPr>
                <w:rFonts w:eastAsiaTheme="minorHAnsi" w:cs="Arial"/>
                <w:lang w:eastAsia="en-US"/>
              </w:rPr>
              <w:t>FADJ</w:t>
            </w:r>
          </w:p>
        </w:tc>
      </w:tr>
    </w:tbl>
    <w:p w14:paraId="6339E4A1" w14:textId="77777777" w:rsidR="00D7117A" w:rsidRPr="000B4B91" w:rsidRDefault="00D7117A" w:rsidP="00D7117A">
      <w:pPr>
        <w:spacing w:after="200" w:line="276" w:lineRule="auto"/>
        <w:rPr>
          <w:rFonts w:eastAsiaTheme="minorHAnsi" w:cs="Arial"/>
          <w:sz w:val="18"/>
          <w:lang w:eastAsia="en-US"/>
        </w:rPr>
      </w:pPr>
    </w:p>
    <w:p w14:paraId="3F04F31E" w14:textId="77777777" w:rsidR="00D7117A" w:rsidRPr="003467AD" w:rsidRDefault="00D7117A" w:rsidP="00D7117A">
      <w:pPr>
        <w:rPr>
          <w:rFonts w:eastAsiaTheme="minorHAnsi"/>
          <w:b/>
          <w:sz w:val="28"/>
          <w:lang w:eastAsia="en-US"/>
        </w:rPr>
      </w:pPr>
      <w:r w:rsidRPr="003467AD">
        <w:rPr>
          <w:rFonts w:eastAsiaTheme="minorHAnsi"/>
          <w:b/>
          <w:sz w:val="28"/>
          <w:lang w:eastAsia="en-US"/>
        </w:rPr>
        <w:t>Forecast Adjustment</w:t>
      </w:r>
    </w:p>
    <w:p w14:paraId="3BEF9EB0" w14:textId="77777777" w:rsidR="00D7117A" w:rsidRPr="005F0606" w:rsidRDefault="00D7117A" w:rsidP="00D7117A">
      <w:pPr>
        <w:rPr>
          <w:lang w:val="en-US"/>
        </w:rPr>
      </w:pPr>
    </w:p>
    <w:p w14:paraId="72A7A924" w14:textId="77777777" w:rsidR="00D7117A" w:rsidRPr="00025D1A" w:rsidRDefault="00D7117A" w:rsidP="00D7117A">
      <w:pPr>
        <w:rPr>
          <w:rFonts w:eastAsiaTheme="minorHAnsi" w:cs="Arial"/>
          <w:lang w:eastAsia="en-US"/>
        </w:rPr>
      </w:pPr>
      <w:r>
        <w:rPr>
          <w:rFonts w:eastAsiaTheme="minorHAnsi" w:cs="Arial"/>
          <w:lang w:eastAsia="en-US"/>
        </w:rPr>
        <w:t xml:space="preserve">To adjust the </w:t>
      </w:r>
      <w:r w:rsidRPr="00F01E5B">
        <w:rPr>
          <w:rFonts w:eastAsiaTheme="minorHAnsi" w:cs="Arial"/>
          <w:lang w:eastAsia="en-US"/>
        </w:rPr>
        <w:t>forecast</w:t>
      </w:r>
      <w:r>
        <w:rPr>
          <w:rFonts w:eastAsiaTheme="minorHAnsi" w:cs="Arial"/>
          <w:lang w:eastAsia="en-US"/>
        </w:rPr>
        <w:t xml:space="preserve"> in FMBB in forecast version FXX</w:t>
      </w:r>
      <w:r w:rsidRPr="00F01E5B">
        <w:rPr>
          <w:rFonts w:eastAsiaTheme="minorHAnsi" w:cs="Arial"/>
          <w:lang w:eastAsia="en-US"/>
        </w:rPr>
        <w:t xml:space="preserve">. </w:t>
      </w:r>
      <w:r>
        <w:rPr>
          <w:rFonts w:eastAsiaTheme="minorHAnsi" w:cs="Arial"/>
          <w:lang w:eastAsia="en-US"/>
        </w:rPr>
        <w:t>This is</w:t>
      </w:r>
      <w:r w:rsidRPr="00F01E5B">
        <w:rPr>
          <w:rFonts w:eastAsiaTheme="minorHAnsi" w:cs="Arial"/>
          <w:lang w:eastAsia="en-US"/>
        </w:rPr>
        <w:t xml:space="preserve"> entered by the FMAs, </w:t>
      </w:r>
      <w:r>
        <w:rPr>
          <w:rFonts w:eastAsiaTheme="minorHAnsi" w:cs="Arial"/>
          <w:lang w:eastAsia="en-US"/>
        </w:rPr>
        <w:t>directly at the appropriate level (</w:t>
      </w:r>
      <w:r w:rsidRPr="00025D1A">
        <w:rPr>
          <w:rFonts w:eastAsiaTheme="minorHAnsi" w:cs="Arial"/>
          <w:lang w:eastAsia="en-US"/>
        </w:rPr>
        <w:t>no distribution). This step may occur before or after the forecasts are retracted from SFT and</w:t>
      </w:r>
      <w:r>
        <w:rPr>
          <w:rFonts w:eastAsiaTheme="minorHAnsi" w:cs="Arial"/>
          <w:lang w:eastAsia="en-US"/>
        </w:rPr>
        <w:t xml:space="preserve"> from</w:t>
      </w:r>
      <w:r w:rsidRPr="00025D1A">
        <w:rPr>
          <w:rFonts w:eastAsiaTheme="minorHAnsi" w:cs="Arial"/>
          <w:lang w:eastAsia="en-US"/>
        </w:rPr>
        <w:t xml:space="preserve"> the non-salary forecasting tool to FMBB.</w:t>
      </w:r>
    </w:p>
    <w:p w14:paraId="2510B6CD" w14:textId="77777777" w:rsidR="00D7117A" w:rsidRPr="00025D1A" w:rsidRDefault="00D7117A" w:rsidP="00D7117A">
      <w:pPr>
        <w:rPr>
          <w:rFonts w:eastAsiaTheme="minorHAnsi" w:cs="Arial"/>
          <w:sz w:val="18"/>
          <w:lang w:eastAsia="en-US"/>
        </w:rPr>
      </w:pPr>
    </w:p>
    <w:tbl>
      <w:tblPr>
        <w:tblStyle w:val="TableGrid1"/>
        <w:tblW w:w="0" w:type="auto"/>
        <w:tblLook w:val="04A0" w:firstRow="1" w:lastRow="0" w:firstColumn="1" w:lastColumn="0" w:noHBand="0" w:noVBand="1"/>
      </w:tblPr>
      <w:tblGrid>
        <w:gridCol w:w="783"/>
        <w:gridCol w:w="1836"/>
        <w:gridCol w:w="2235"/>
        <w:gridCol w:w="2169"/>
        <w:gridCol w:w="1967"/>
      </w:tblGrid>
      <w:tr w:rsidR="00D7117A" w:rsidRPr="00F01E5B" w14:paraId="2D8C6407" w14:textId="77777777" w:rsidTr="00922FCD">
        <w:trPr>
          <w:trHeight w:val="635"/>
        </w:trPr>
        <w:tc>
          <w:tcPr>
            <w:tcW w:w="817" w:type="dxa"/>
            <w:vAlign w:val="center"/>
          </w:tcPr>
          <w:p w14:paraId="0D419F88" w14:textId="77777777" w:rsidR="00D7117A" w:rsidRPr="00025D1A" w:rsidRDefault="00D7117A" w:rsidP="00922FCD">
            <w:pPr>
              <w:spacing w:after="200" w:line="276" w:lineRule="auto"/>
              <w:jc w:val="center"/>
              <w:rPr>
                <w:rFonts w:eastAsiaTheme="minorHAnsi" w:cs="Arial"/>
                <w:b/>
                <w:lang w:eastAsia="en-US"/>
              </w:rPr>
            </w:pPr>
            <w:r w:rsidRPr="00025D1A">
              <w:rPr>
                <w:rFonts w:eastAsiaTheme="minorHAnsi" w:cs="Arial"/>
                <w:b/>
                <w:lang w:eastAsia="en-US"/>
              </w:rPr>
              <w:t>By</w:t>
            </w:r>
          </w:p>
        </w:tc>
        <w:tc>
          <w:tcPr>
            <w:tcW w:w="1985" w:type="dxa"/>
            <w:vAlign w:val="center"/>
          </w:tcPr>
          <w:p w14:paraId="2991DBB4" w14:textId="77777777" w:rsidR="00D7117A" w:rsidRPr="00025D1A" w:rsidRDefault="00D7117A" w:rsidP="00922FCD">
            <w:pPr>
              <w:spacing w:after="200" w:line="276" w:lineRule="auto"/>
              <w:jc w:val="center"/>
              <w:rPr>
                <w:rFonts w:eastAsiaTheme="minorHAnsi" w:cs="Arial"/>
                <w:b/>
                <w:lang w:eastAsia="en-US"/>
              </w:rPr>
            </w:pPr>
            <w:r w:rsidRPr="00025D1A">
              <w:rPr>
                <w:rFonts w:eastAsiaTheme="minorHAnsi" w:cs="Arial"/>
                <w:b/>
                <w:lang w:eastAsia="en-US"/>
              </w:rPr>
              <w:t>Process</w:t>
            </w:r>
          </w:p>
        </w:tc>
        <w:tc>
          <w:tcPr>
            <w:tcW w:w="2551" w:type="dxa"/>
            <w:vAlign w:val="center"/>
          </w:tcPr>
          <w:p w14:paraId="5BA6642D" w14:textId="77777777" w:rsidR="00D7117A" w:rsidRPr="00025D1A" w:rsidRDefault="00D7117A" w:rsidP="00922FCD">
            <w:pPr>
              <w:spacing w:after="200" w:line="276" w:lineRule="auto"/>
              <w:jc w:val="center"/>
              <w:rPr>
                <w:rFonts w:eastAsiaTheme="minorHAnsi" w:cs="Arial"/>
                <w:b/>
                <w:lang w:eastAsia="en-US"/>
              </w:rPr>
            </w:pPr>
            <w:r w:rsidRPr="00025D1A">
              <w:rPr>
                <w:rFonts w:eastAsiaTheme="minorHAnsi" w:cs="Arial"/>
                <w:b/>
                <w:lang w:eastAsia="en-US"/>
              </w:rPr>
              <w:t>Document Type</w:t>
            </w:r>
          </w:p>
        </w:tc>
        <w:tc>
          <w:tcPr>
            <w:tcW w:w="2552" w:type="dxa"/>
            <w:vAlign w:val="center"/>
          </w:tcPr>
          <w:p w14:paraId="195DFFBF" w14:textId="77777777" w:rsidR="00D7117A" w:rsidRPr="00025D1A" w:rsidRDefault="00D7117A" w:rsidP="00922FCD">
            <w:pPr>
              <w:spacing w:after="200" w:line="276" w:lineRule="auto"/>
              <w:jc w:val="center"/>
              <w:rPr>
                <w:rFonts w:eastAsiaTheme="minorHAnsi" w:cs="Arial"/>
                <w:b/>
                <w:lang w:eastAsia="en-US"/>
              </w:rPr>
            </w:pPr>
            <w:r w:rsidRPr="00025D1A">
              <w:rPr>
                <w:rFonts w:eastAsiaTheme="minorHAnsi" w:cs="Arial"/>
                <w:b/>
                <w:lang w:eastAsia="en-US"/>
              </w:rPr>
              <w:t>Version</w:t>
            </w:r>
          </w:p>
        </w:tc>
        <w:tc>
          <w:tcPr>
            <w:tcW w:w="2283" w:type="dxa"/>
            <w:vAlign w:val="center"/>
          </w:tcPr>
          <w:p w14:paraId="4628FD5B" w14:textId="77777777" w:rsidR="00D7117A" w:rsidRPr="00F01E5B" w:rsidRDefault="00D7117A" w:rsidP="00922FCD">
            <w:pPr>
              <w:spacing w:after="200" w:line="276" w:lineRule="auto"/>
              <w:jc w:val="center"/>
              <w:rPr>
                <w:rFonts w:eastAsiaTheme="minorHAnsi" w:cs="Arial"/>
                <w:b/>
                <w:lang w:eastAsia="en-US"/>
              </w:rPr>
            </w:pPr>
            <w:r w:rsidRPr="00025D1A">
              <w:rPr>
                <w:rFonts w:eastAsiaTheme="minorHAnsi" w:cs="Arial"/>
                <w:b/>
                <w:lang w:eastAsia="en-US"/>
              </w:rPr>
              <w:t>Budget Type</w:t>
            </w:r>
          </w:p>
        </w:tc>
      </w:tr>
      <w:tr w:rsidR="00D7117A" w:rsidRPr="00F01E5B" w14:paraId="515A6EA3" w14:textId="77777777" w:rsidTr="00922FCD">
        <w:trPr>
          <w:trHeight w:val="635"/>
        </w:trPr>
        <w:tc>
          <w:tcPr>
            <w:tcW w:w="817" w:type="dxa"/>
          </w:tcPr>
          <w:p w14:paraId="7DE61D75" w14:textId="77777777" w:rsidR="00D7117A" w:rsidRPr="00F01E5B" w:rsidRDefault="00D7117A" w:rsidP="00922FCD">
            <w:pPr>
              <w:spacing w:line="276" w:lineRule="auto"/>
              <w:rPr>
                <w:rFonts w:eastAsiaTheme="minorHAnsi" w:cs="Arial"/>
                <w:lang w:eastAsia="en-US"/>
              </w:rPr>
            </w:pPr>
            <w:r>
              <w:rPr>
                <w:rFonts w:eastAsiaTheme="minorHAnsi" w:cs="Arial"/>
                <w:lang w:eastAsia="en-US"/>
              </w:rPr>
              <w:t>FMA</w:t>
            </w:r>
          </w:p>
        </w:tc>
        <w:tc>
          <w:tcPr>
            <w:tcW w:w="1985" w:type="dxa"/>
          </w:tcPr>
          <w:p w14:paraId="00050533" w14:textId="77777777" w:rsidR="00D7117A" w:rsidRDefault="00D7117A" w:rsidP="00922FCD">
            <w:pPr>
              <w:spacing w:line="276" w:lineRule="auto"/>
              <w:rPr>
                <w:rFonts w:eastAsiaTheme="minorHAnsi" w:cs="Arial"/>
                <w:lang w:eastAsia="en-US"/>
              </w:rPr>
            </w:pPr>
            <w:r w:rsidRPr="00F01E5B">
              <w:rPr>
                <w:rFonts w:eastAsiaTheme="minorHAnsi" w:cs="Arial"/>
                <w:lang w:eastAsia="en-US"/>
              </w:rPr>
              <w:t xml:space="preserve">Supplement </w:t>
            </w:r>
          </w:p>
          <w:p w14:paraId="5BA51406" w14:textId="77777777" w:rsidR="00D7117A" w:rsidRPr="00F01E5B" w:rsidRDefault="00D7117A" w:rsidP="00922FCD">
            <w:pPr>
              <w:spacing w:line="276" w:lineRule="auto"/>
              <w:rPr>
                <w:rFonts w:eastAsiaTheme="minorHAnsi" w:cs="Arial"/>
                <w:lang w:eastAsia="en-US"/>
              </w:rPr>
            </w:pPr>
            <w:r>
              <w:rPr>
                <w:rFonts w:eastAsiaTheme="minorHAnsi" w:cs="Arial"/>
                <w:lang w:eastAsia="en-US"/>
              </w:rPr>
              <w:t>(to increase forecast)</w:t>
            </w:r>
          </w:p>
        </w:tc>
        <w:tc>
          <w:tcPr>
            <w:tcW w:w="2551" w:type="dxa"/>
          </w:tcPr>
          <w:p w14:paraId="66FE013F" w14:textId="77777777" w:rsidR="00D7117A" w:rsidRPr="00F01E5B" w:rsidRDefault="00D7117A" w:rsidP="00922FCD">
            <w:pPr>
              <w:spacing w:after="200" w:line="276" w:lineRule="auto"/>
              <w:rPr>
                <w:rFonts w:eastAsiaTheme="minorHAnsi" w:cs="Arial"/>
                <w:lang w:eastAsia="en-US"/>
              </w:rPr>
            </w:pPr>
            <w:r w:rsidRPr="00F01E5B">
              <w:rPr>
                <w:rFonts w:cs="Arial"/>
              </w:rPr>
              <w:t xml:space="preserve">FF1 </w:t>
            </w:r>
            <w:r>
              <w:rPr>
                <w:rFonts w:cs="Arial"/>
              </w:rPr>
              <w:t>(</w:t>
            </w:r>
            <w:r w:rsidRPr="00F01E5B">
              <w:rPr>
                <w:rFonts w:cs="Arial"/>
              </w:rPr>
              <w:t>Forecast</w:t>
            </w:r>
            <w:r>
              <w:rPr>
                <w:rFonts w:cs="Arial"/>
              </w:rPr>
              <w:t>)</w:t>
            </w:r>
          </w:p>
        </w:tc>
        <w:tc>
          <w:tcPr>
            <w:tcW w:w="2552" w:type="dxa"/>
          </w:tcPr>
          <w:p w14:paraId="3982B823" w14:textId="77777777" w:rsidR="00D7117A" w:rsidRPr="00F01E5B" w:rsidRDefault="00D7117A" w:rsidP="00922FCD">
            <w:pPr>
              <w:spacing w:after="200" w:line="276" w:lineRule="auto"/>
              <w:rPr>
                <w:rFonts w:eastAsiaTheme="minorHAnsi" w:cs="Arial"/>
                <w:lang w:eastAsia="en-US"/>
              </w:rPr>
            </w:pPr>
            <w:r w:rsidRPr="00F01E5B">
              <w:rPr>
                <w:rFonts w:eastAsiaTheme="minorHAnsi" w:cs="Arial"/>
                <w:color w:val="000000"/>
              </w:rPr>
              <w:t xml:space="preserve">F03 / F06 / F08 / F10 </w:t>
            </w:r>
          </w:p>
        </w:tc>
        <w:tc>
          <w:tcPr>
            <w:tcW w:w="2283" w:type="dxa"/>
          </w:tcPr>
          <w:p w14:paraId="66DEDFEB" w14:textId="77777777" w:rsidR="00D7117A" w:rsidRDefault="00D7117A" w:rsidP="00922FCD">
            <w:pPr>
              <w:spacing w:line="276" w:lineRule="auto"/>
              <w:rPr>
                <w:rFonts w:eastAsiaTheme="minorHAnsi" w:cs="Arial"/>
                <w:lang w:eastAsia="en-US"/>
              </w:rPr>
            </w:pPr>
            <w:r w:rsidRPr="00F01E5B">
              <w:rPr>
                <w:rFonts w:eastAsiaTheme="minorHAnsi" w:cs="Arial"/>
                <w:lang w:eastAsia="en-US"/>
              </w:rPr>
              <w:t>FADJ</w:t>
            </w:r>
            <w:r>
              <w:rPr>
                <w:rFonts w:eastAsiaTheme="minorHAnsi" w:cs="Arial"/>
                <w:lang w:eastAsia="en-US"/>
              </w:rPr>
              <w:t>; and</w:t>
            </w:r>
          </w:p>
          <w:p w14:paraId="0F4125F9" w14:textId="77777777" w:rsidR="00D7117A" w:rsidRPr="00F01E5B" w:rsidRDefault="00D7117A" w:rsidP="00922FCD">
            <w:pPr>
              <w:spacing w:after="200" w:line="276" w:lineRule="auto"/>
              <w:rPr>
                <w:rFonts w:eastAsiaTheme="minorHAnsi" w:cs="Arial"/>
                <w:lang w:eastAsia="en-US"/>
              </w:rPr>
            </w:pPr>
            <w:r>
              <w:rPr>
                <w:rFonts w:eastAsiaTheme="minorHAnsi" w:cs="Arial"/>
                <w:lang w:eastAsia="en-US"/>
              </w:rPr>
              <w:t xml:space="preserve">FAPS for Planned Staffing </w:t>
            </w:r>
          </w:p>
        </w:tc>
      </w:tr>
      <w:tr w:rsidR="00D7117A" w:rsidRPr="00F01E5B" w14:paraId="04338FB8" w14:textId="77777777" w:rsidTr="00922FCD">
        <w:trPr>
          <w:trHeight w:val="635"/>
        </w:trPr>
        <w:tc>
          <w:tcPr>
            <w:tcW w:w="817" w:type="dxa"/>
          </w:tcPr>
          <w:p w14:paraId="1553515D" w14:textId="77777777" w:rsidR="00D7117A" w:rsidRDefault="00D7117A" w:rsidP="00922FCD">
            <w:pPr>
              <w:spacing w:line="276" w:lineRule="auto"/>
              <w:rPr>
                <w:rFonts w:eastAsiaTheme="minorHAnsi" w:cs="Arial"/>
                <w:lang w:eastAsia="en-US"/>
              </w:rPr>
            </w:pPr>
            <w:r>
              <w:rPr>
                <w:rFonts w:eastAsiaTheme="minorHAnsi" w:cs="Arial"/>
                <w:lang w:eastAsia="en-US"/>
              </w:rPr>
              <w:t>FMA</w:t>
            </w:r>
          </w:p>
        </w:tc>
        <w:tc>
          <w:tcPr>
            <w:tcW w:w="1985" w:type="dxa"/>
          </w:tcPr>
          <w:p w14:paraId="386510B6" w14:textId="77777777" w:rsidR="00D7117A" w:rsidRDefault="00D7117A" w:rsidP="00922FCD">
            <w:pPr>
              <w:spacing w:line="276" w:lineRule="auto"/>
              <w:rPr>
                <w:rFonts w:eastAsiaTheme="minorHAnsi" w:cs="Arial"/>
                <w:lang w:eastAsia="en-US"/>
              </w:rPr>
            </w:pPr>
            <w:r w:rsidRPr="00F01E5B">
              <w:rPr>
                <w:rFonts w:eastAsiaTheme="minorHAnsi" w:cs="Arial"/>
                <w:lang w:eastAsia="en-US"/>
              </w:rPr>
              <w:t>Return</w:t>
            </w:r>
            <w:r>
              <w:rPr>
                <w:rFonts w:eastAsiaTheme="minorHAnsi" w:cs="Arial"/>
                <w:lang w:eastAsia="en-US"/>
              </w:rPr>
              <w:t xml:space="preserve"> </w:t>
            </w:r>
          </w:p>
          <w:p w14:paraId="183EEB3D" w14:textId="77777777" w:rsidR="00D7117A" w:rsidRPr="00F01E5B" w:rsidRDefault="00D7117A" w:rsidP="00922FCD">
            <w:pPr>
              <w:spacing w:line="276" w:lineRule="auto"/>
              <w:rPr>
                <w:rFonts w:eastAsiaTheme="minorHAnsi" w:cs="Arial"/>
                <w:lang w:eastAsia="en-US"/>
              </w:rPr>
            </w:pPr>
            <w:r>
              <w:rPr>
                <w:rFonts w:eastAsiaTheme="minorHAnsi" w:cs="Arial"/>
                <w:lang w:eastAsia="en-US"/>
              </w:rPr>
              <w:t>(to decrease forecast)</w:t>
            </w:r>
          </w:p>
        </w:tc>
        <w:tc>
          <w:tcPr>
            <w:tcW w:w="2551" w:type="dxa"/>
          </w:tcPr>
          <w:p w14:paraId="40D343D3" w14:textId="77777777" w:rsidR="00D7117A" w:rsidRPr="00F01E5B" w:rsidRDefault="00D7117A" w:rsidP="00922FCD">
            <w:pPr>
              <w:spacing w:after="200" w:line="276" w:lineRule="auto"/>
              <w:rPr>
                <w:rFonts w:cs="Arial"/>
              </w:rPr>
            </w:pPr>
            <w:r w:rsidRPr="00F01E5B">
              <w:rPr>
                <w:rFonts w:cs="Arial"/>
              </w:rPr>
              <w:t xml:space="preserve">FF1 </w:t>
            </w:r>
            <w:r>
              <w:rPr>
                <w:rFonts w:cs="Arial"/>
              </w:rPr>
              <w:t>(</w:t>
            </w:r>
            <w:r w:rsidRPr="00F01E5B">
              <w:rPr>
                <w:rFonts w:cs="Arial"/>
              </w:rPr>
              <w:t>Forecast</w:t>
            </w:r>
            <w:r>
              <w:rPr>
                <w:rFonts w:cs="Arial"/>
              </w:rPr>
              <w:t>)</w:t>
            </w:r>
          </w:p>
        </w:tc>
        <w:tc>
          <w:tcPr>
            <w:tcW w:w="2552" w:type="dxa"/>
          </w:tcPr>
          <w:p w14:paraId="03DDC621" w14:textId="77777777" w:rsidR="00D7117A" w:rsidRPr="00F01E5B" w:rsidRDefault="00D7117A" w:rsidP="00922FCD">
            <w:pPr>
              <w:spacing w:after="200" w:line="276" w:lineRule="auto"/>
              <w:rPr>
                <w:rFonts w:eastAsiaTheme="minorHAnsi" w:cs="Arial"/>
                <w:color w:val="000000"/>
              </w:rPr>
            </w:pPr>
            <w:r w:rsidRPr="00F01E5B">
              <w:rPr>
                <w:rFonts w:eastAsiaTheme="minorHAnsi" w:cs="Arial"/>
                <w:color w:val="000000"/>
              </w:rPr>
              <w:t xml:space="preserve">F03 / F06 / F08 / F10 </w:t>
            </w:r>
          </w:p>
        </w:tc>
        <w:tc>
          <w:tcPr>
            <w:tcW w:w="2283" w:type="dxa"/>
          </w:tcPr>
          <w:p w14:paraId="6E06969C" w14:textId="77777777" w:rsidR="00D7117A" w:rsidRDefault="00D7117A" w:rsidP="00922FCD">
            <w:pPr>
              <w:spacing w:line="276" w:lineRule="auto"/>
              <w:rPr>
                <w:rFonts w:eastAsiaTheme="minorHAnsi" w:cs="Arial"/>
                <w:lang w:eastAsia="en-US"/>
              </w:rPr>
            </w:pPr>
            <w:r w:rsidRPr="00F01E5B">
              <w:rPr>
                <w:rFonts w:eastAsiaTheme="minorHAnsi" w:cs="Arial"/>
                <w:lang w:eastAsia="en-US"/>
              </w:rPr>
              <w:t>FADJ</w:t>
            </w:r>
            <w:r>
              <w:rPr>
                <w:rFonts w:eastAsiaTheme="minorHAnsi" w:cs="Arial"/>
                <w:lang w:eastAsia="en-US"/>
              </w:rPr>
              <w:t>; and</w:t>
            </w:r>
          </w:p>
          <w:p w14:paraId="0DCCC879" w14:textId="77777777" w:rsidR="00D7117A" w:rsidRPr="00F01E5B" w:rsidRDefault="00D7117A" w:rsidP="00922FCD">
            <w:pPr>
              <w:spacing w:after="200" w:line="276" w:lineRule="auto"/>
              <w:rPr>
                <w:rFonts w:eastAsiaTheme="minorHAnsi" w:cs="Arial"/>
                <w:lang w:eastAsia="en-US"/>
              </w:rPr>
            </w:pPr>
            <w:r>
              <w:rPr>
                <w:rFonts w:eastAsiaTheme="minorHAnsi" w:cs="Arial"/>
                <w:lang w:eastAsia="en-US"/>
              </w:rPr>
              <w:t xml:space="preserve">FAPS for Planned Staffing </w:t>
            </w:r>
          </w:p>
        </w:tc>
      </w:tr>
    </w:tbl>
    <w:p w14:paraId="491D3D71" w14:textId="77777777" w:rsidR="00D7117A" w:rsidRPr="000B4B91" w:rsidRDefault="00D7117A" w:rsidP="00D7117A">
      <w:pPr>
        <w:rPr>
          <w:sz w:val="18"/>
          <w:lang w:val="en-US"/>
        </w:rPr>
      </w:pPr>
    </w:p>
    <w:p w14:paraId="01CAE95A" w14:textId="77777777" w:rsidR="00D7117A" w:rsidRDefault="00D7117A" w:rsidP="00D7117A">
      <w:pPr>
        <w:rPr>
          <w:rFonts w:eastAsiaTheme="minorHAnsi" w:cs="Arial"/>
          <w:lang w:eastAsia="en-US"/>
        </w:rPr>
      </w:pPr>
      <w:r w:rsidRPr="00180F14">
        <w:rPr>
          <w:b/>
          <w:lang w:val="en-US"/>
        </w:rPr>
        <w:t>Important</w:t>
      </w:r>
      <w:r w:rsidRPr="00180F14">
        <w:rPr>
          <w:rFonts w:eastAsiaTheme="minorHAnsi" w:cs="Arial"/>
          <w:b/>
          <w:lang w:eastAsia="en-US"/>
        </w:rPr>
        <w:t xml:space="preserve"> </w:t>
      </w:r>
      <w:r w:rsidRPr="00F01E5B">
        <w:rPr>
          <w:rFonts w:eastAsiaTheme="minorHAnsi" w:cs="Arial"/>
          <w:b/>
          <w:lang w:eastAsia="en-US"/>
        </w:rPr>
        <w:t>Note</w:t>
      </w:r>
      <w:r w:rsidRPr="00F01E5B">
        <w:rPr>
          <w:rFonts w:eastAsiaTheme="minorHAnsi" w:cs="Arial"/>
          <w:lang w:eastAsia="en-US"/>
        </w:rPr>
        <w:t xml:space="preserve">: </w:t>
      </w:r>
    </w:p>
    <w:p w14:paraId="6066D83E" w14:textId="77777777" w:rsidR="00D7117A" w:rsidRPr="000B4B91" w:rsidRDefault="00D7117A" w:rsidP="00D7117A">
      <w:pPr>
        <w:rPr>
          <w:rFonts w:eastAsiaTheme="minorHAnsi" w:cs="Arial"/>
          <w:sz w:val="18"/>
          <w:lang w:eastAsia="en-US"/>
        </w:rPr>
      </w:pPr>
    </w:p>
    <w:p w14:paraId="6482A55B" w14:textId="3DB5E174" w:rsidR="00D7117A" w:rsidRDefault="00D7117A" w:rsidP="00D7117A">
      <w:pPr>
        <w:rPr>
          <w:rFonts w:eastAsiaTheme="minorHAnsi" w:cs="Arial"/>
          <w:lang w:eastAsia="en-US"/>
        </w:rPr>
      </w:pPr>
      <w:r w:rsidRPr="00F01E5B">
        <w:rPr>
          <w:rFonts w:eastAsiaTheme="minorHAnsi" w:cs="Arial"/>
          <w:lang w:eastAsia="en-US"/>
        </w:rPr>
        <w:t>The basic design principal for the FADJ</w:t>
      </w:r>
      <w:r>
        <w:rPr>
          <w:rFonts w:eastAsiaTheme="minorHAnsi" w:cs="Arial"/>
          <w:lang w:eastAsia="en-US"/>
        </w:rPr>
        <w:t>/FAPS</w:t>
      </w:r>
      <w:r w:rsidRPr="00F01E5B">
        <w:rPr>
          <w:rFonts w:eastAsiaTheme="minorHAnsi" w:cs="Arial"/>
          <w:lang w:eastAsia="en-US"/>
        </w:rPr>
        <w:t xml:space="preserve"> input is that </w:t>
      </w:r>
      <w:r>
        <w:rPr>
          <w:rFonts w:eastAsiaTheme="minorHAnsi" w:cs="Arial"/>
          <w:lang w:eastAsia="en-US"/>
        </w:rPr>
        <w:t xml:space="preserve">the Supplement process is used to enter an increase to budget or forecast and the Return process is used to enter a decrease to forecast (what would be a negative adjustment to forecast).  </w:t>
      </w:r>
      <w:r w:rsidR="00382965">
        <w:rPr>
          <w:rFonts w:eastAsiaTheme="minorHAnsi" w:cs="Arial"/>
          <w:lang w:eastAsia="en-US"/>
        </w:rPr>
        <w:lastRenderedPageBreak/>
        <w:t>However,</w:t>
      </w:r>
      <w:r>
        <w:rPr>
          <w:rFonts w:eastAsiaTheme="minorHAnsi" w:cs="Arial"/>
          <w:lang w:eastAsia="en-US"/>
        </w:rPr>
        <w:t xml:space="preserve"> note that Returns are to be entered in absolute values (i.e. positive amounts).</w:t>
      </w:r>
    </w:p>
    <w:p w14:paraId="311AF298" w14:textId="77777777" w:rsidR="006F1F8F" w:rsidRDefault="006F1F8F" w:rsidP="00D7117A">
      <w:pPr>
        <w:rPr>
          <w:rFonts w:eastAsiaTheme="minorHAnsi" w:cs="Arial"/>
          <w:lang w:eastAsia="en-US"/>
        </w:rPr>
      </w:pPr>
    </w:p>
    <w:p w14:paraId="030E74F2" w14:textId="77777777" w:rsidR="00D7117A" w:rsidRPr="00B72266" w:rsidRDefault="00D7117A" w:rsidP="00D7117A">
      <w:r w:rsidRPr="00F01E5B">
        <w:rPr>
          <w:rFonts w:eastAsiaTheme="minorHAnsi" w:cs="Arial"/>
          <w:lang w:eastAsia="en-US"/>
        </w:rPr>
        <w:t>Subsequently,</w:t>
      </w:r>
      <w:r>
        <w:rPr>
          <w:rFonts w:eastAsiaTheme="minorHAnsi" w:cs="Arial"/>
          <w:lang w:eastAsia="en-US"/>
        </w:rPr>
        <w:t xml:space="preserve"> the distribution of a FADJ/FAPS is either a distribution of a Supplement or a distribution of a Return, where the sender is a negative amount and the receiver is a positive amount.  Note that transfer process cannot be used and the distribution of a </w:t>
      </w:r>
      <w:r w:rsidRPr="00F01E5B">
        <w:rPr>
          <w:rFonts w:eastAsiaTheme="minorHAnsi" w:cs="Arial"/>
          <w:lang w:eastAsia="en-US"/>
        </w:rPr>
        <w:t>“net amount” (Supplement – Return) is not possible.</w:t>
      </w:r>
      <w:r>
        <w:rPr>
          <w:rFonts w:eastAsiaTheme="minorHAnsi" w:cs="Arial"/>
          <w:lang w:eastAsia="en-US"/>
        </w:rPr>
        <w:t xml:space="preserve">  </w:t>
      </w:r>
    </w:p>
    <w:p w14:paraId="5CA91612" w14:textId="77777777" w:rsidR="00D7117A" w:rsidRDefault="00D7117A" w:rsidP="00D7117A">
      <w:pPr>
        <w:pStyle w:val="ListParagraph"/>
        <w:ind w:left="0"/>
        <w:rPr>
          <w:lang w:val="en-US"/>
        </w:rPr>
      </w:pPr>
    </w:p>
    <w:p w14:paraId="5DC0862F" w14:textId="7144120E" w:rsidR="00D7117A" w:rsidRDefault="00D7117A" w:rsidP="00D7117A">
      <w:pPr>
        <w:spacing w:before="120" w:after="120"/>
        <w:rPr>
          <w:rFonts w:eastAsia="Arial Unicode MS" w:cs="Arial"/>
          <w:lang w:val="en-US" w:eastAsia="en-US"/>
        </w:rPr>
      </w:pPr>
      <w:r w:rsidRPr="00025D1A">
        <w:rPr>
          <w:rFonts w:eastAsia="Arial Unicode MS" w:cs="Arial"/>
          <w:lang w:val="en-US" w:eastAsia="en-US"/>
        </w:rPr>
        <w:t>Note that FMBB adjustments</w:t>
      </w:r>
      <w:r>
        <w:rPr>
          <w:rFonts w:eastAsia="Arial Unicode MS" w:cs="Arial"/>
          <w:lang w:val="en-US" w:eastAsia="en-US"/>
        </w:rPr>
        <w:t xml:space="preserve"> relating to Planned staffing </w:t>
      </w:r>
      <w:r w:rsidRPr="00025D1A">
        <w:rPr>
          <w:rFonts w:eastAsia="Arial Unicode MS" w:cs="Arial"/>
          <w:lang w:val="en-US" w:eastAsia="en-US"/>
        </w:rPr>
        <w:t>must be properly identified using the appropriate Planned Staffing Type code (i.e. INT BR/DG; INT DEP/MIN; INT PS/FS; EXT PS/FP; PRI/CIDP)</w:t>
      </w:r>
      <w:r>
        <w:rPr>
          <w:rFonts w:eastAsia="Arial Unicode MS" w:cs="Arial"/>
          <w:lang w:val="en-US" w:eastAsia="en-US"/>
        </w:rPr>
        <w:t xml:space="preserve"> as they impact how planned staffing is reported to senior management</w:t>
      </w:r>
      <w:r w:rsidRPr="00025D1A">
        <w:rPr>
          <w:rFonts w:eastAsia="Arial Unicode MS" w:cs="Arial"/>
          <w:lang w:val="en-US" w:eastAsia="en-US"/>
        </w:rPr>
        <w:t>.</w:t>
      </w:r>
    </w:p>
    <w:p w14:paraId="5FF7A2AC" w14:textId="38188CC3" w:rsidR="00AA3B3D" w:rsidRDefault="00AA3B3D" w:rsidP="00D7117A">
      <w:pPr>
        <w:spacing w:before="120" w:after="120"/>
        <w:rPr>
          <w:rFonts w:eastAsia="Arial Unicode MS" w:cs="Arial"/>
          <w:lang w:val="en-US" w:eastAsia="en-US"/>
        </w:rPr>
      </w:pPr>
    </w:p>
    <w:p w14:paraId="20DCF546" w14:textId="4D2DB0D7" w:rsidR="00AA3B3D" w:rsidRPr="00953E3C" w:rsidRDefault="00AA3B3D" w:rsidP="00D7117A">
      <w:pPr>
        <w:spacing w:before="120" w:after="120"/>
        <w:rPr>
          <w:rFonts w:eastAsia="Arial Unicode MS" w:cs="Arial"/>
          <w:b/>
          <w:lang w:val="en-US" w:eastAsia="en-US"/>
        </w:rPr>
      </w:pPr>
      <w:r w:rsidRPr="00953E3C">
        <w:rPr>
          <w:rFonts w:eastAsia="Arial Unicode MS" w:cs="Arial"/>
          <w:b/>
          <w:lang w:val="en-US" w:eastAsia="en-US"/>
        </w:rPr>
        <w:t>Planned Staffing Type Code</w:t>
      </w:r>
      <w:r w:rsidR="00B13449" w:rsidRPr="00953E3C">
        <w:rPr>
          <w:rFonts w:eastAsia="Arial Unicode MS" w:cs="Arial"/>
          <w:b/>
          <w:lang w:val="en-US" w:eastAsia="en-US"/>
        </w:rPr>
        <w:t>s</w:t>
      </w:r>
      <w:r w:rsidRPr="00953E3C">
        <w:rPr>
          <w:rFonts w:eastAsia="Arial Unicode MS" w:cs="Arial"/>
          <w:b/>
          <w:lang w:val="en-US" w:eastAsia="en-US"/>
        </w:rPr>
        <w:t>:</w:t>
      </w:r>
    </w:p>
    <w:tbl>
      <w:tblPr>
        <w:tblW w:w="11482" w:type="dxa"/>
        <w:tblInd w:w="-719" w:type="dxa"/>
        <w:tblCellMar>
          <w:left w:w="0" w:type="dxa"/>
          <w:right w:w="0" w:type="dxa"/>
        </w:tblCellMar>
        <w:tblLook w:val="04A0" w:firstRow="1" w:lastRow="0" w:firstColumn="1" w:lastColumn="0" w:noHBand="0" w:noVBand="1"/>
      </w:tblPr>
      <w:tblGrid>
        <w:gridCol w:w="1418"/>
        <w:gridCol w:w="1559"/>
        <w:gridCol w:w="2127"/>
        <w:gridCol w:w="2409"/>
        <w:gridCol w:w="3969"/>
      </w:tblGrid>
      <w:tr w:rsidR="00AA3B3D" w:rsidRPr="00AA3B3D" w14:paraId="3B71FE9B" w14:textId="77777777" w:rsidTr="007933B1">
        <w:trPr>
          <w:trHeight w:val="486"/>
        </w:trPr>
        <w:tc>
          <w:tcPr>
            <w:tcW w:w="1418" w:type="dxa"/>
            <w:tcBorders>
              <w:top w:val="single" w:sz="8" w:space="0" w:color="FFFFFF"/>
              <w:left w:val="single" w:sz="8" w:space="0" w:color="FFFFFF"/>
              <w:bottom w:val="single" w:sz="24" w:space="0" w:color="FFFFFF"/>
              <w:right w:val="single" w:sz="8" w:space="0" w:color="FFFFFF"/>
            </w:tcBorders>
            <w:shd w:val="clear" w:color="auto" w:fill="00ADBA"/>
            <w:tcMar>
              <w:top w:w="15" w:type="dxa"/>
              <w:left w:w="79" w:type="dxa"/>
              <w:bottom w:w="0" w:type="dxa"/>
              <w:right w:w="79" w:type="dxa"/>
            </w:tcMar>
            <w:vAlign w:val="center"/>
            <w:hideMark/>
          </w:tcPr>
          <w:p w14:paraId="565048BA" w14:textId="77777777" w:rsidR="00AA3B3D" w:rsidRPr="00AA3B3D" w:rsidRDefault="00AA3B3D" w:rsidP="00AA3B3D">
            <w:pPr>
              <w:spacing w:line="256" w:lineRule="auto"/>
              <w:jc w:val="center"/>
              <w:rPr>
                <w:rFonts w:cs="Arial"/>
                <w:sz w:val="36"/>
                <w:szCs w:val="36"/>
              </w:rPr>
            </w:pPr>
            <w:r w:rsidRPr="00AA3B3D">
              <w:rPr>
                <w:rFonts w:cs="Arial"/>
                <w:b/>
                <w:bCs/>
                <w:color w:val="FFFFFF" w:themeColor="light1"/>
                <w:kern w:val="24"/>
                <w:sz w:val="20"/>
                <w:szCs w:val="20"/>
              </w:rPr>
              <w:t>Acronym</w:t>
            </w:r>
          </w:p>
        </w:tc>
        <w:tc>
          <w:tcPr>
            <w:tcW w:w="1559" w:type="dxa"/>
            <w:tcBorders>
              <w:top w:val="single" w:sz="8" w:space="0" w:color="FFFFFF"/>
              <w:left w:val="single" w:sz="8" w:space="0" w:color="FFFFFF"/>
              <w:bottom w:val="single" w:sz="24" w:space="0" w:color="FFFFFF"/>
              <w:right w:val="single" w:sz="8" w:space="0" w:color="FFFFFF"/>
            </w:tcBorders>
            <w:shd w:val="clear" w:color="auto" w:fill="00ADBA"/>
            <w:tcMar>
              <w:top w:w="15" w:type="dxa"/>
              <w:left w:w="79" w:type="dxa"/>
              <w:bottom w:w="0" w:type="dxa"/>
              <w:right w:w="79" w:type="dxa"/>
            </w:tcMar>
            <w:vAlign w:val="center"/>
            <w:hideMark/>
          </w:tcPr>
          <w:p w14:paraId="6102EB99" w14:textId="77777777" w:rsidR="00AA3B3D" w:rsidRPr="00AA3B3D" w:rsidRDefault="00AA3B3D" w:rsidP="00AA3B3D">
            <w:pPr>
              <w:spacing w:line="256" w:lineRule="auto"/>
              <w:jc w:val="center"/>
              <w:rPr>
                <w:rFonts w:cs="Arial"/>
                <w:sz w:val="36"/>
                <w:szCs w:val="36"/>
              </w:rPr>
            </w:pPr>
            <w:r w:rsidRPr="00AA3B3D">
              <w:rPr>
                <w:rFonts w:cs="Arial"/>
                <w:b/>
                <w:bCs/>
                <w:color w:val="FFFFFF" w:themeColor="light1"/>
                <w:kern w:val="24"/>
                <w:sz w:val="20"/>
                <w:szCs w:val="20"/>
              </w:rPr>
              <w:t>Description</w:t>
            </w:r>
          </w:p>
        </w:tc>
        <w:tc>
          <w:tcPr>
            <w:tcW w:w="2127" w:type="dxa"/>
            <w:tcBorders>
              <w:top w:val="single" w:sz="8" w:space="0" w:color="FFFFFF"/>
              <w:left w:val="single" w:sz="8" w:space="0" w:color="FFFFFF"/>
              <w:bottom w:val="single" w:sz="24" w:space="0" w:color="FFFFFF"/>
              <w:right w:val="single" w:sz="8" w:space="0" w:color="FFFFFF"/>
            </w:tcBorders>
            <w:shd w:val="clear" w:color="auto" w:fill="00ADBA"/>
            <w:tcMar>
              <w:top w:w="15" w:type="dxa"/>
              <w:left w:w="79" w:type="dxa"/>
              <w:bottom w:w="0" w:type="dxa"/>
              <w:right w:w="79" w:type="dxa"/>
            </w:tcMar>
            <w:vAlign w:val="center"/>
            <w:hideMark/>
          </w:tcPr>
          <w:p w14:paraId="4815393A" w14:textId="656E93DF" w:rsidR="00AA3B3D" w:rsidRPr="00AA3B3D" w:rsidRDefault="00AA3B3D" w:rsidP="00B13449">
            <w:pPr>
              <w:spacing w:line="256" w:lineRule="auto"/>
              <w:rPr>
                <w:rFonts w:cs="Arial"/>
                <w:sz w:val="36"/>
                <w:szCs w:val="36"/>
              </w:rPr>
            </w:pPr>
            <w:r w:rsidRPr="00AA3B3D">
              <w:rPr>
                <w:rFonts w:cs="Arial"/>
                <w:b/>
                <w:bCs/>
                <w:color w:val="FFFFFF" w:themeColor="light1"/>
                <w:kern w:val="24"/>
                <w:sz w:val="20"/>
                <w:szCs w:val="20"/>
              </w:rPr>
              <w:t>When to use</w:t>
            </w:r>
          </w:p>
        </w:tc>
        <w:tc>
          <w:tcPr>
            <w:tcW w:w="2409" w:type="dxa"/>
            <w:tcBorders>
              <w:top w:val="single" w:sz="8" w:space="0" w:color="FFFFFF"/>
              <w:left w:val="single" w:sz="8" w:space="0" w:color="FFFFFF"/>
              <w:bottom w:val="single" w:sz="24" w:space="0" w:color="FFFFFF"/>
              <w:right w:val="single" w:sz="8" w:space="0" w:color="FFFFFF"/>
            </w:tcBorders>
            <w:shd w:val="clear" w:color="auto" w:fill="00ADBA"/>
            <w:tcMar>
              <w:top w:w="15" w:type="dxa"/>
              <w:left w:w="79" w:type="dxa"/>
              <w:bottom w:w="0" w:type="dxa"/>
              <w:right w:w="79" w:type="dxa"/>
            </w:tcMar>
            <w:vAlign w:val="center"/>
            <w:hideMark/>
          </w:tcPr>
          <w:p w14:paraId="71414E71" w14:textId="77777777" w:rsidR="00AA3B3D" w:rsidRPr="00AA3B3D" w:rsidRDefault="00AA3B3D" w:rsidP="00AA3B3D">
            <w:pPr>
              <w:spacing w:line="256" w:lineRule="auto"/>
              <w:rPr>
                <w:rFonts w:cs="Arial"/>
                <w:sz w:val="36"/>
                <w:szCs w:val="36"/>
              </w:rPr>
            </w:pPr>
            <w:r w:rsidRPr="00AA3B3D">
              <w:rPr>
                <w:rFonts w:cs="Arial"/>
                <w:b/>
                <w:bCs/>
                <w:color w:val="FFFFFF" w:themeColor="light1"/>
                <w:kern w:val="24"/>
                <w:sz w:val="20"/>
                <w:szCs w:val="20"/>
              </w:rPr>
              <w:t>Impact on Forecasts</w:t>
            </w:r>
          </w:p>
        </w:tc>
        <w:tc>
          <w:tcPr>
            <w:tcW w:w="3969" w:type="dxa"/>
            <w:tcBorders>
              <w:top w:val="single" w:sz="8" w:space="0" w:color="FFFFFF"/>
              <w:left w:val="single" w:sz="8" w:space="0" w:color="FFFFFF"/>
              <w:bottom w:val="single" w:sz="24" w:space="0" w:color="FFFFFF"/>
              <w:right w:val="single" w:sz="8" w:space="0" w:color="FFFFFF"/>
            </w:tcBorders>
            <w:shd w:val="clear" w:color="auto" w:fill="00ADBA"/>
            <w:tcMar>
              <w:top w:w="15" w:type="dxa"/>
              <w:left w:w="79" w:type="dxa"/>
              <w:bottom w:w="0" w:type="dxa"/>
              <w:right w:w="79" w:type="dxa"/>
            </w:tcMar>
            <w:vAlign w:val="center"/>
            <w:hideMark/>
          </w:tcPr>
          <w:p w14:paraId="716B4639" w14:textId="77777777" w:rsidR="00AA3B3D" w:rsidRPr="00AA3B3D" w:rsidRDefault="00AA3B3D" w:rsidP="00AA3B3D">
            <w:pPr>
              <w:spacing w:line="256" w:lineRule="auto"/>
              <w:rPr>
                <w:rFonts w:cs="Arial"/>
                <w:sz w:val="36"/>
                <w:szCs w:val="36"/>
              </w:rPr>
            </w:pPr>
            <w:r w:rsidRPr="00AA3B3D">
              <w:rPr>
                <w:rFonts w:cs="Arial"/>
                <w:b/>
                <w:bCs/>
                <w:color w:val="FFFFFF" w:themeColor="background1"/>
                <w:kern w:val="24"/>
                <w:sz w:val="20"/>
                <w:szCs w:val="20"/>
              </w:rPr>
              <w:t>Required Forecast Adjustments*</w:t>
            </w:r>
          </w:p>
        </w:tc>
      </w:tr>
      <w:tr w:rsidR="00AA3B3D" w:rsidRPr="0056246B" w14:paraId="6F5595FA" w14:textId="77777777" w:rsidTr="007933B1">
        <w:trPr>
          <w:trHeight w:val="1482"/>
        </w:trPr>
        <w:tc>
          <w:tcPr>
            <w:tcW w:w="1418" w:type="dxa"/>
            <w:tcBorders>
              <w:top w:val="single" w:sz="24" w:space="0" w:color="FFFFFF"/>
              <w:left w:val="single" w:sz="8" w:space="0" w:color="FFFFFF"/>
              <w:bottom w:val="single" w:sz="8" w:space="0" w:color="FFFFFF"/>
              <w:right w:val="single" w:sz="8" w:space="0" w:color="FFFFFF"/>
            </w:tcBorders>
            <w:shd w:val="clear" w:color="auto" w:fill="00ADBA"/>
            <w:tcMar>
              <w:top w:w="15" w:type="dxa"/>
              <w:left w:w="79" w:type="dxa"/>
              <w:bottom w:w="0" w:type="dxa"/>
              <w:right w:w="79" w:type="dxa"/>
            </w:tcMar>
            <w:hideMark/>
          </w:tcPr>
          <w:p w14:paraId="1F414A91" w14:textId="77777777" w:rsidR="00AA3B3D" w:rsidRPr="0056246B" w:rsidRDefault="00AA3B3D" w:rsidP="00AA3B3D">
            <w:pPr>
              <w:spacing w:line="256" w:lineRule="auto"/>
              <w:rPr>
                <w:rFonts w:cs="Arial"/>
                <w:sz w:val="21"/>
                <w:szCs w:val="21"/>
              </w:rPr>
            </w:pPr>
            <w:r w:rsidRPr="0056246B">
              <w:rPr>
                <w:rFonts w:cs="Arial"/>
                <w:b/>
                <w:bCs/>
                <w:color w:val="FFFFFF" w:themeColor="light1"/>
                <w:kern w:val="24"/>
                <w:sz w:val="21"/>
                <w:szCs w:val="21"/>
              </w:rPr>
              <w:t>INT BR/DG</w:t>
            </w:r>
          </w:p>
        </w:tc>
        <w:tc>
          <w:tcPr>
            <w:tcW w:w="1559" w:type="dxa"/>
            <w:tcBorders>
              <w:top w:val="single" w:sz="24" w:space="0" w:color="FFFFFF"/>
              <w:left w:val="single" w:sz="8" w:space="0" w:color="FFFFFF"/>
              <w:bottom w:val="single" w:sz="8" w:space="0" w:color="FFFFFF"/>
              <w:right w:val="single" w:sz="8" w:space="0" w:color="FFFFFF"/>
            </w:tcBorders>
            <w:shd w:val="clear" w:color="auto" w:fill="CBE3E7"/>
            <w:tcMar>
              <w:top w:w="15" w:type="dxa"/>
              <w:left w:w="79" w:type="dxa"/>
              <w:bottom w:w="0" w:type="dxa"/>
              <w:right w:w="79" w:type="dxa"/>
            </w:tcMar>
            <w:hideMark/>
          </w:tcPr>
          <w:p w14:paraId="26D65061" w14:textId="77777777" w:rsidR="00AA3B3D" w:rsidRPr="0056246B" w:rsidRDefault="00AA3B3D" w:rsidP="00AA3B3D">
            <w:pPr>
              <w:spacing w:line="256" w:lineRule="auto"/>
              <w:rPr>
                <w:rFonts w:cs="Arial"/>
                <w:sz w:val="21"/>
                <w:szCs w:val="21"/>
              </w:rPr>
            </w:pPr>
            <w:r w:rsidRPr="0056246B">
              <w:rPr>
                <w:rFonts w:cs="Arial"/>
                <w:color w:val="000000" w:themeColor="dark1"/>
                <w:kern w:val="24"/>
                <w:sz w:val="21"/>
                <w:szCs w:val="21"/>
              </w:rPr>
              <w:t>Internal to the branch/ region</w:t>
            </w:r>
          </w:p>
        </w:tc>
        <w:tc>
          <w:tcPr>
            <w:tcW w:w="2127" w:type="dxa"/>
            <w:tcBorders>
              <w:top w:val="single" w:sz="24" w:space="0" w:color="FFFFFF"/>
              <w:left w:val="single" w:sz="8" w:space="0" w:color="FFFFFF"/>
              <w:bottom w:val="single" w:sz="8" w:space="0" w:color="FFFFFF"/>
              <w:right w:val="single" w:sz="8" w:space="0" w:color="FFFFFF"/>
            </w:tcBorders>
            <w:shd w:val="clear" w:color="auto" w:fill="CBE3E7"/>
            <w:tcMar>
              <w:top w:w="15" w:type="dxa"/>
              <w:left w:w="79" w:type="dxa"/>
              <w:bottom w:w="0" w:type="dxa"/>
              <w:right w:w="79" w:type="dxa"/>
            </w:tcMar>
            <w:hideMark/>
          </w:tcPr>
          <w:p w14:paraId="06D65975" w14:textId="77777777" w:rsidR="00AA3B3D" w:rsidRPr="0056246B" w:rsidRDefault="00AA3B3D" w:rsidP="00AA3B3D">
            <w:pPr>
              <w:spacing w:line="256" w:lineRule="auto"/>
              <w:rPr>
                <w:rFonts w:cs="Arial"/>
                <w:sz w:val="21"/>
                <w:szCs w:val="21"/>
              </w:rPr>
            </w:pPr>
            <w:r w:rsidRPr="0056246B">
              <w:rPr>
                <w:rFonts w:cs="Arial"/>
                <w:color w:val="000000" w:themeColor="dark1"/>
                <w:kern w:val="24"/>
                <w:sz w:val="21"/>
                <w:szCs w:val="21"/>
              </w:rPr>
              <w:t>For position to be staffed by an employee who is already employed within the branch/region.</w:t>
            </w:r>
          </w:p>
        </w:tc>
        <w:tc>
          <w:tcPr>
            <w:tcW w:w="2409" w:type="dxa"/>
            <w:tcBorders>
              <w:top w:val="single" w:sz="24" w:space="0" w:color="FFFFFF"/>
              <w:left w:val="single" w:sz="8" w:space="0" w:color="FFFFFF"/>
              <w:bottom w:val="single" w:sz="8" w:space="0" w:color="FFFFFF"/>
              <w:right w:val="single" w:sz="8" w:space="0" w:color="FFFFFF"/>
            </w:tcBorders>
            <w:shd w:val="clear" w:color="auto" w:fill="CBE3E7"/>
            <w:tcMar>
              <w:top w:w="15" w:type="dxa"/>
              <w:left w:w="79" w:type="dxa"/>
              <w:bottom w:w="0" w:type="dxa"/>
              <w:right w:w="79" w:type="dxa"/>
            </w:tcMar>
            <w:hideMark/>
          </w:tcPr>
          <w:p w14:paraId="6832842A" w14:textId="77777777" w:rsidR="00AA3B3D" w:rsidRPr="0056246B" w:rsidRDefault="00AA3B3D" w:rsidP="00AA3B3D">
            <w:pPr>
              <w:spacing w:line="256" w:lineRule="auto"/>
              <w:rPr>
                <w:rFonts w:cs="Arial"/>
                <w:sz w:val="21"/>
                <w:szCs w:val="21"/>
              </w:rPr>
            </w:pPr>
            <w:r w:rsidRPr="0056246B">
              <w:rPr>
                <w:rFonts w:cs="Arial"/>
                <w:color w:val="000000" w:themeColor="dark1"/>
                <w:kern w:val="24"/>
                <w:sz w:val="21"/>
                <w:szCs w:val="21"/>
              </w:rPr>
              <w:t xml:space="preserve">This has no impact on the forecasted salary cost for the branch/region or the department. </w:t>
            </w:r>
          </w:p>
        </w:tc>
        <w:tc>
          <w:tcPr>
            <w:tcW w:w="3969" w:type="dxa"/>
            <w:tcBorders>
              <w:top w:val="single" w:sz="24" w:space="0" w:color="FFFFFF"/>
              <w:left w:val="single" w:sz="8" w:space="0" w:color="FFFFFF"/>
              <w:bottom w:val="single" w:sz="8" w:space="0" w:color="FFFFFF"/>
              <w:right w:val="single" w:sz="8" w:space="0" w:color="FFFFFF"/>
            </w:tcBorders>
            <w:shd w:val="clear" w:color="auto" w:fill="CBE3E7"/>
            <w:tcMar>
              <w:top w:w="15" w:type="dxa"/>
              <w:left w:w="79" w:type="dxa"/>
              <w:bottom w:w="0" w:type="dxa"/>
              <w:right w:w="79" w:type="dxa"/>
            </w:tcMar>
            <w:hideMark/>
          </w:tcPr>
          <w:p w14:paraId="750534F8" w14:textId="77777777" w:rsidR="00AA3B3D" w:rsidRPr="0056246B" w:rsidRDefault="00AA3B3D" w:rsidP="00F6090D">
            <w:pPr>
              <w:numPr>
                <w:ilvl w:val="0"/>
                <w:numId w:val="17"/>
              </w:numPr>
              <w:spacing w:line="256" w:lineRule="auto"/>
              <w:ind w:left="994"/>
              <w:contextualSpacing/>
              <w:rPr>
                <w:rFonts w:cs="Arial"/>
                <w:sz w:val="21"/>
                <w:szCs w:val="21"/>
              </w:rPr>
            </w:pPr>
            <w:r w:rsidRPr="0056246B">
              <w:rPr>
                <w:rFonts w:asciiTheme="minorHAnsi" w:cs="Arial"/>
                <w:color w:val="000000" w:themeColor="text1"/>
                <w:kern w:val="24"/>
                <w:sz w:val="21"/>
                <w:szCs w:val="21"/>
              </w:rPr>
              <w:t>Identify the total planned staffing tagged to PS Type Code “INT DR/DG”;</w:t>
            </w:r>
          </w:p>
          <w:p w14:paraId="63CDF5A5" w14:textId="77777777" w:rsidR="00AA3B3D" w:rsidRPr="0056246B" w:rsidRDefault="00AA3B3D" w:rsidP="00F6090D">
            <w:pPr>
              <w:numPr>
                <w:ilvl w:val="0"/>
                <w:numId w:val="17"/>
              </w:numPr>
              <w:spacing w:line="256" w:lineRule="auto"/>
              <w:ind w:left="994"/>
              <w:contextualSpacing/>
              <w:rPr>
                <w:rFonts w:cs="Arial"/>
                <w:sz w:val="21"/>
                <w:szCs w:val="21"/>
              </w:rPr>
            </w:pPr>
            <w:r w:rsidRPr="0056246B">
              <w:rPr>
                <w:rFonts w:asciiTheme="minorHAnsi" w:cs="Arial"/>
                <w:color w:val="000000" w:themeColor="text1"/>
                <w:kern w:val="24"/>
                <w:sz w:val="21"/>
                <w:szCs w:val="21"/>
              </w:rPr>
              <w:t xml:space="preserve">Create a Return Planned Staffing Forecast Adjustment (FAPS) for this amount to decrease the planned staffing forecast. </w:t>
            </w:r>
          </w:p>
        </w:tc>
      </w:tr>
      <w:tr w:rsidR="00AA3B3D" w:rsidRPr="0056246B" w14:paraId="12A66E66" w14:textId="77777777" w:rsidTr="007933B1">
        <w:trPr>
          <w:trHeight w:val="2370"/>
        </w:trPr>
        <w:tc>
          <w:tcPr>
            <w:tcW w:w="1418" w:type="dxa"/>
            <w:tcBorders>
              <w:top w:val="single" w:sz="8" w:space="0" w:color="FFFFFF"/>
              <w:left w:val="single" w:sz="8" w:space="0" w:color="FFFFFF"/>
              <w:bottom w:val="single" w:sz="8" w:space="0" w:color="FFFFFF"/>
              <w:right w:val="single" w:sz="8" w:space="0" w:color="FFFFFF"/>
            </w:tcBorders>
            <w:shd w:val="clear" w:color="auto" w:fill="00ADBA"/>
            <w:tcMar>
              <w:top w:w="15" w:type="dxa"/>
              <w:left w:w="79" w:type="dxa"/>
              <w:bottom w:w="0" w:type="dxa"/>
              <w:right w:w="79" w:type="dxa"/>
            </w:tcMar>
            <w:hideMark/>
          </w:tcPr>
          <w:p w14:paraId="41678C42" w14:textId="77777777" w:rsidR="00AA3B3D" w:rsidRPr="0056246B" w:rsidRDefault="00AA3B3D" w:rsidP="00AA3B3D">
            <w:pPr>
              <w:spacing w:line="256" w:lineRule="auto"/>
              <w:rPr>
                <w:rFonts w:cs="Arial"/>
                <w:sz w:val="21"/>
                <w:szCs w:val="21"/>
              </w:rPr>
            </w:pPr>
            <w:r w:rsidRPr="0056246B">
              <w:rPr>
                <w:rFonts w:cs="Arial"/>
                <w:b/>
                <w:bCs/>
                <w:color w:val="FFFFFF" w:themeColor="light1"/>
                <w:kern w:val="24"/>
                <w:sz w:val="21"/>
                <w:szCs w:val="21"/>
              </w:rPr>
              <w:t>INT DEP/MIN</w:t>
            </w:r>
          </w:p>
        </w:tc>
        <w:tc>
          <w:tcPr>
            <w:tcW w:w="1559" w:type="dxa"/>
            <w:tcBorders>
              <w:top w:val="single" w:sz="8" w:space="0" w:color="FFFFFF"/>
              <w:left w:val="single" w:sz="8" w:space="0" w:color="FFFFFF"/>
              <w:bottom w:val="single" w:sz="8" w:space="0" w:color="FFFFFF"/>
              <w:right w:val="single" w:sz="8" w:space="0" w:color="FFFFFF"/>
            </w:tcBorders>
            <w:shd w:val="clear" w:color="auto" w:fill="E7F1F3"/>
            <w:tcMar>
              <w:top w:w="15" w:type="dxa"/>
              <w:left w:w="79" w:type="dxa"/>
              <w:bottom w:w="0" w:type="dxa"/>
              <w:right w:w="79" w:type="dxa"/>
            </w:tcMar>
            <w:hideMark/>
          </w:tcPr>
          <w:p w14:paraId="3C7CA44E" w14:textId="77777777" w:rsidR="00AA3B3D" w:rsidRPr="0056246B" w:rsidRDefault="00AA3B3D" w:rsidP="00AA3B3D">
            <w:pPr>
              <w:spacing w:line="256" w:lineRule="auto"/>
              <w:rPr>
                <w:rFonts w:cs="Arial"/>
                <w:sz w:val="21"/>
                <w:szCs w:val="21"/>
              </w:rPr>
            </w:pPr>
            <w:r w:rsidRPr="0056246B">
              <w:rPr>
                <w:rFonts w:cs="Arial"/>
                <w:color w:val="000000" w:themeColor="dark1"/>
                <w:kern w:val="24"/>
                <w:sz w:val="21"/>
                <w:szCs w:val="21"/>
              </w:rPr>
              <w:t>Internal the department but external to the branch/ region.</w:t>
            </w:r>
          </w:p>
        </w:tc>
        <w:tc>
          <w:tcPr>
            <w:tcW w:w="2127" w:type="dxa"/>
            <w:tcBorders>
              <w:top w:val="single" w:sz="8" w:space="0" w:color="FFFFFF"/>
              <w:left w:val="single" w:sz="8" w:space="0" w:color="FFFFFF"/>
              <w:bottom w:val="single" w:sz="8" w:space="0" w:color="FFFFFF"/>
              <w:right w:val="single" w:sz="8" w:space="0" w:color="FFFFFF"/>
            </w:tcBorders>
            <w:shd w:val="clear" w:color="auto" w:fill="E7F1F3"/>
            <w:tcMar>
              <w:top w:w="15" w:type="dxa"/>
              <w:left w:w="79" w:type="dxa"/>
              <w:bottom w:w="0" w:type="dxa"/>
              <w:right w:w="79" w:type="dxa"/>
            </w:tcMar>
            <w:hideMark/>
          </w:tcPr>
          <w:p w14:paraId="14B8267F" w14:textId="77777777" w:rsidR="00AA3B3D" w:rsidRPr="0056246B" w:rsidRDefault="00AA3B3D" w:rsidP="00AA3B3D">
            <w:pPr>
              <w:spacing w:line="256" w:lineRule="auto"/>
              <w:rPr>
                <w:rFonts w:cs="Arial"/>
                <w:sz w:val="21"/>
                <w:szCs w:val="21"/>
              </w:rPr>
            </w:pPr>
            <w:r w:rsidRPr="0056246B">
              <w:rPr>
                <w:rFonts w:cs="Arial"/>
                <w:color w:val="000000" w:themeColor="dark1"/>
                <w:kern w:val="24"/>
                <w:sz w:val="21"/>
                <w:szCs w:val="21"/>
              </w:rPr>
              <w:t xml:space="preserve"> For position to be staffed through an internal deployment, assignment or other internal recruitment process. </w:t>
            </w:r>
          </w:p>
        </w:tc>
        <w:tc>
          <w:tcPr>
            <w:tcW w:w="2409" w:type="dxa"/>
            <w:tcBorders>
              <w:top w:val="single" w:sz="8" w:space="0" w:color="FFFFFF"/>
              <w:left w:val="single" w:sz="8" w:space="0" w:color="FFFFFF"/>
              <w:bottom w:val="single" w:sz="8" w:space="0" w:color="FFFFFF"/>
              <w:right w:val="single" w:sz="8" w:space="0" w:color="FFFFFF"/>
            </w:tcBorders>
            <w:shd w:val="clear" w:color="auto" w:fill="E7F1F3"/>
            <w:tcMar>
              <w:top w:w="15" w:type="dxa"/>
              <w:left w:w="79" w:type="dxa"/>
              <w:bottom w:w="0" w:type="dxa"/>
              <w:right w:w="79" w:type="dxa"/>
            </w:tcMar>
            <w:hideMark/>
          </w:tcPr>
          <w:p w14:paraId="77A987A9" w14:textId="5FE3D9E5" w:rsidR="00AA3B3D" w:rsidRPr="0056246B" w:rsidRDefault="00AA3B3D" w:rsidP="00AA3B3D">
            <w:pPr>
              <w:spacing w:line="256" w:lineRule="auto"/>
              <w:rPr>
                <w:rFonts w:cs="Arial"/>
                <w:sz w:val="21"/>
                <w:szCs w:val="21"/>
              </w:rPr>
            </w:pPr>
            <w:r w:rsidRPr="0056246B">
              <w:rPr>
                <w:rFonts w:asciiTheme="minorHAnsi" w:cs="Arial"/>
                <w:color w:val="000000" w:themeColor="dark1"/>
                <w:kern w:val="24"/>
                <w:sz w:val="21"/>
                <w:szCs w:val="21"/>
              </w:rPr>
              <w:t xml:space="preserve"> This represents a net increase in forecasted salary costs </w:t>
            </w:r>
            <w:r w:rsidRPr="0056246B">
              <w:rPr>
                <w:rFonts w:asciiTheme="minorHAnsi" w:cs="Arial"/>
                <w:color w:val="000000" w:themeColor="dark1"/>
                <w:kern w:val="24"/>
                <w:sz w:val="21"/>
                <w:szCs w:val="21"/>
                <w:u w:val="single"/>
              </w:rPr>
              <w:t xml:space="preserve">for the branch/region </w:t>
            </w:r>
            <w:r w:rsidRPr="0056246B">
              <w:rPr>
                <w:rFonts w:asciiTheme="minorHAnsi" w:cs="Arial"/>
                <w:color w:val="000000" w:themeColor="dark1"/>
                <w:kern w:val="24"/>
                <w:sz w:val="21"/>
                <w:szCs w:val="21"/>
              </w:rPr>
              <w:t xml:space="preserve">but does not </w:t>
            </w:r>
            <w:r w:rsidR="00382965" w:rsidRPr="0056246B">
              <w:rPr>
                <w:rFonts w:asciiTheme="minorHAnsi" w:cs="Arial"/>
                <w:color w:val="000000" w:themeColor="dark1"/>
                <w:kern w:val="24"/>
                <w:sz w:val="21"/>
                <w:szCs w:val="21"/>
              </w:rPr>
              <w:t>affect</w:t>
            </w:r>
            <w:r w:rsidRPr="0056246B">
              <w:rPr>
                <w:rFonts w:asciiTheme="minorHAnsi" w:cs="Arial"/>
                <w:color w:val="000000" w:themeColor="dark1"/>
                <w:kern w:val="24"/>
                <w:sz w:val="21"/>
                <w:szCs w:val="21"/>
              </w:rPr>
              <w:t xml:space="preserve"> the department’s overall salary forecasts.</w:t>
            </w:r>
          </w:p>
        </w:tc>
        <w:tc>
          <w:tcPr>
            <w:tcW w:w="3969" w:type="dxa"/>
            <w:tcBorders>
              <w:top w:val="single" w:sz="8" w:space="0" w:color="FFFFFF"/>
              <w:left w:val="single" w:sz="8" w:space="0" w:color="FFFFFF"/>
              <w:bottom w:val="single" w:sz="8" w:space="0" w:color="FFFFFF"/>
              <w:right w:val="single" w:sz="8" w:space="0" w:color="FFFFFF"/>
            </w:tcBorders>
            <w:shd w:val="clear" w:color="auto" w:fill="E7F1F3"/>
            <w:tcMar>
              <w:top w:w="15" w:type="dxa"/>
              <w:left w:w="79" w:type="dxa"/>
              <w:bottom w:w="0" w:type="dxa"/>
              <w:right w:w="79" w:type="dxa"/>
            </w:tcMar>
            <w:hideMark/>
          </w:tcPr>
          <w:p w14:paraId="3DC66112" w14:textId="77777777" w:rsidR="00AA3B3D" w:rsidRPr="0056246B" w:rsidRDefault="00AA3B3D" w:rsidP="00AA3B3D">
            <w:pPr>
              <w:spacing w:line="256" w:lineRule="auto"/>
              <w:rPr>
                <w:rFonts w:cs="Arial"/>
                <w:sz w:val="21"/>
                <w:szCs w:val="21"/>
              </w:rPr>
            </w:pPr>
            <w:r w:rsidRPr="0056246B">
              <w:rPr>
                <w:rFonts w:asciiTheme="minorHAnsi" w:cs="Arial"/>
                <w:color w:val="000000" w:themeColor="dark1"/>
                <w:kern w:val="24"/>
                <w:sz w:val="21"/>
                <w:szCs w:val="21"/>
              </w:rPr>
              <w:t xml:space="preserve">No forecast adjustment required at the branch/region level except when total planned staffing forecast for this PS Type code must be revised after the retraction date for a given forecasting exercise. </w:t>
            </w:r>
          </w:p>
          <w:p w14:paraId="7E86C0FC" w14:textId="77777777" w:rsidR="00AA3B3D" w:rsidRPr="0056246B" w:rsidRDefault="00AA3B3D" w:rsidP="00AA3B3D">
            <w:pPr>
              <w:spacing w:line="256" w:lineRule="auto"/>
              <w:rPr>
                <w:rFonts w:cs="Arial"/>
                <w:sz w:val="21"/>
                <w:szCs w:val="21"/>
              </w:rPr>
            </w:pPr>
            <w:r w:rsidRPr="0056246B">
              <w:rPr>
                <w:rFonts w:asciiTheme="minorHAnsi" w:eastAsia="Calibri"/>
                <w:i/>
                <w:iCs/>
                <w:color w:val="000000" w:themeColor="dark1"/>
                <w:kern w:val="24"/>
                <w:sz w:val="21"/>
                <w:szCs w:val="21"/>
              </w:rPr>
              <w:t xml:space="preserve">* An adjustment will be done by CRM to negate the impact of this type of planned staffing at the departmental level. </w:t>
            </w:r>
          </w:p>
        </w:tc>
      </w:tr>
      <w:tr w:rsidR="00AA3B3D" w:rsidRPr="0056246B" w14:paraId="46947FCA" w14:textId="77777777" w:rsidTr="007933B1">
        <w:trPr>
          <w:trHeight w:val="1778"/>
        </w:trPr>
        <w:tc>
          <w:tcPr>
            <w:tcW w:w="1418" w:type="dxa"/>
            <w:tcBorders>
              <w:top w:val="single" w:sz="8" w:space="0" w:color="FFFFFF"/>
              <w:left w:val="single" w:sz="8" w:space="0" w:color="FFFFFF"/>
              <w:bottom w:val="single" w:sz="8" w:space="0" w:color="FFFFFF"/>
              <w:right w:val="single" w:sz="8" w:space="0" w:color="FFFFFF"/>
            </w:tcBorders>
            <w:shd w:val="clear" w:color="auto" w:fill="00ADBA"/>
            <w:tcMar>
              <w:top w:w="15" w:type="dxa"/>
              <w:left w:w="79" w:type="dxa"/>
              <w:bottom w:w="0" w:type="dxa"/>
              <w:right w:w="79" w:type="dxa"/>
            </w:tcMar>
            <w:hideMark/>
          </w:tcPr>
          <w:p w14:paraId="15E5F36F" w14:textId="77777777" w:rsidR="00AA3B3D" w:rsidRPr="0056246B" w:rsidRDefault="00AA3B3D" w:rsidP="00AA3B3D">
            <w:pPr>
              <w:spacing w:line="256" w:lineRule="auto"/>
              <w:rPr>
                <w:rFonts w:cs="Arial"/>
                <w:sz w:val="21"/>
                <w:szCs w:val="21"/>
              </w:rPr>
            </w:pPr>
            <w:r w:rsidRPr="0056246B">
              <w:rPr>
                <w:rFonts w:cs="Arial"/>
                <w:b/>
                <w:bCs/>
                <w:color w:val="FFFFFF" w:themeColor="light1"/>
                <w:kern w:val="24"/>
                <w:sz w:val="21"/>
                <w:szCs w:val="21"/>
              </w:rPr>
              <w:t>INT PS/FP</w:t>
            </w:r>
          </w:p>
        </w:tc>
        <w:tc>
          <w:tcPr>
            <w:tcW w:w="1559" w:type="dxa"/>
            <w:tcBorders>
              <w:top w:val="single" w:sz="8" w:space="0" w:color="FFFFFF"/>
              <w:left w:val="single" w:sz="8" w:space="0" w:color="FFFFFF"/>
              <w:bottom w:val="single" w:sz="8" w:space="0" w:color="FFFFFF"/>
              <w:right w:val="single" w:sz="8" w:space="0" w:color="FFFFFF"/>
            </w:tcBorders>
            <w:shd w:val="clear" w:color="auto" w:fill="CBE3E7"/>
            <w:tcMar>
              <w:top w:w="15" w:type="dxa"/>
              <w:left w:w="79" w:type="dxa"/>
              <w:bottom w:w="0" w:type="dxa"/>
              <w:right w:w="79" w:type="dxa"/>
            </w:tcMar>
            <w:hideMark/>
          </w:tcPr>
          <w:p w14:paraId="31B89B87" w14:textId="77777777" w:rsidR="00AA3B3D" w:rsidRPr="0056246B" w:rsidRDefault="00AA3B3D" w:rsidP="00AA3B3D">
            <w:pPr>
              <w:spacing w:line="256" w:lineRule="auto"/>
              <w:rPr>
                <w:rFonts w:cs="Arial"/>
                <w:sz w:val="21"/>
                <w:szCs w:val="21"/>
              </w:rPr>
            </w:pPr>
            <w:r w:rsidRPr="0056246B">
              <w:rPr>
                <w:rFonts w:cs="Arial"/>
                <w:color w:val="000000" w:themeColor="dark1"/>
                <w:kern w:val="24"/>
                <w:sz w:val="21"/>
                <w:szCs w:val="21"/>
              </w:rPr>
              <w:t>External to the department but in Public Service.</w:t>
            </w:r>
          </w:p>
        </w:tc>
        <w:tc>
          <w:tcPr>
            <w:tcW w:w="2127" w:type="dxa"/>
            <w:tcBorders>
              <w:top w:val="single" w:sz="8" w:space="0" w:color="FFFFFF"/>
              <w:left w:val="single" w:sz="8" w:space="0" w:color="FFFFFF"/>
              <w:bottom w:val="single" w:sz="8" w:space="0" w:color="FFFFFF"/>
              <w:right w:val="single" w:sz="8" w:space="0" w:color="FFFFFF"/>
            </w:tcBorders>
            <w:shd w:val="clear" w:color="auto" w:fill="CBE3E7"/>
            <w:tcMar>
              <w:top w:w="15" w:type="dxa"/>
              <w:left w:w="79" w:type="dxa"/>
              <w:bottom w:w="0" w:type="dxa"/>
              <w:right w:w="79" w:type="dxa"/>
            </w:tcMar>
            <w:hideMark/>
          </w:tcPr>
          <w:p w14:paraId="12335859" w14:textId="77777777" w:rsidR="00AA3B3D" w:rsidRPr="0056246B" w:rsidRDefault="00AA3B3D" w:rsidP="00AA3B3D">
            <w:pPr>
              <w:spacing w:line="256" w:lineRule="auto"/>
              <w:rPr>
                <w:rFonts w:cs="Arial"/>
                <w:sz w:val="21"/>
                <w:szCs w:val="21"/>
              </w:rPr>
            </w:pPr>
            <w:r w:rsidRPr="0056246B">
              <w:rPr>
                <w:rFonts w:cs="Arial"/>
                <w:color w:val="000000" w:themeColor="dark1"/>
                <w:kern w:val="24"/>
                <w:sz w:val="21"/>
                <w:szCs w:val="21"/>
              </w:rPr>
              <w:t> For position to be staffed through deployment, secondment-in or other recruitment from an ODG.</w:t>
            </w:r>
          </w:p>
        </w:tc>
        <w:tc>
          <w:tcPr>
            <w:tcW w:w="2409" w:type="dxa"/>
            <w:tcBorders>
              <w:top w:val="single" w:sz="8" w:space="0" w:color="FFFFFF"/>
              <w:left w:val="single" w:sz="8" w:space="0" w:color="FFFFFF"/>
              <w:bottom w:val="single" w:sz="8" w:space="0" w:color="FFFFFF"/>
              <w:right w:val="single" w:sz="8" w:space="0" w:color="FFFFFF"/>
            </w:tcBorders>
            <w:shd w:val="clear" w:color="auto" w:fill="CBE3E7"/>
            <w:tcMar>
              <w:top w:w="15" w:type="dxa"/>
              <w:left w:w="79" w:type="dxa"/>
              <w:bottom w:w="0" w:type="dxa"/>
              <w:right w:w="79" w:type="dxa"/>
            </w:tcMar>
            <w:hideMark/>
          </w:tcPr>
          <w:p w14:paraId="56D0FAB0" w14:textId="77777777" w:rsidR="00AA3B3D" w:rsidRPr="0056246B" w:rsidRDefault="00AA3B3D" w:rsidP="00AA3B3D">
            <w:pPr>
              <w:spacing w:line="256" w:lineRule="auto"/>
              <w:rPr>
                <w:rFonts w:cs="Arial"/>
                <w:sz w:val="21"/>
                <w:szCs w:val="21"/>
              </w:rPr>
            </w:pPr>
            <w:r w:rsidRPr="0056246B">
              <w:rPr>
                <w:rFonts w:cs="Arial"/>
                <w:color w:val="000000" w:themeColor="dark1"/>
                <w:kern w:val="24"/>
                <w:sz w:val="21"/>
                <w:szCs w:val="21"/>
              </w:rPr>
              <w:t>This represents a net increase in forecasted salary costs for the branch/region, as well as the department.</w:t>
            </w:r>
          </w:p>
        </w:tc>
        <w:tc>
          <w:tcPr>
            <w:tcW w:w="3969" w:type="dxa"/>
            <w:tcBorders>
              <w:top w:val="single" w:sz="8" w:space="0" w:color="FFFFFF"/>
              <w:left w:val="single" w:sz="8" w:space="0" w:color="FFFFFF"/>
              <w:bottom w:val="single" w:sz="8" w:space="0" w:color="FFFFFF"/>
              <w:right w:val="single" w:sz="8" w:space="0" w:color="FFFFFF"/>
            </w:tcBorders>
            <w:shd w:val="clear" w:color="auto" w:fill="CBE3E7"/>
            <w:tcMar>
              <w:top w:w="15" w:type="dxa"/>
              <w:left w:w="79" w:type="dxa"/>
              <w:bottom w:w="0" w:type="dxa"/>
              <w:right w:w="79" w:type="dxa"/>
            </w:tcMar>
            <w:hideMark/>
          </w:tcPr>
          <w:p w14:paraId="2A2E2029" w14:textId="77777777" w:rsidR="00AA3B3D" w:rsidRPr="0056246B" w:rsidRDefault="00AA3B3D" w:rsidP="00AA3B3D">
            <w:pPr>
              <w:spacing w:line="256" w:lineRule="auto"/>
              <w:rPr>
                <w:rFonts w:cs="Arial"/>
                <w:sz w:val="21"/>
                <w:szCs w:val="21"/>
              </w:rPr>
            </w:pPr>
            <w:r w:rsidRPr="0056246B">
              <w:rPr>
                <w:rFonts w:cs="Arial"/>
                <w:color w:val="000000" w:themeColor="dark1"/>
                <w:kern w:val="24"/>
                <w:sz w:val="21"/>
                <w:szCs w:val="21"/>
              </w:rPr>
              <w:t xml:space="preserve">No forecast adjustment required at the branch/region level except when total planned staffing forecast for this PS Type code must be revised after the retraction date for a given forecasting exercise. </w:t>
            </w:r>
          </w:p>
        </w:tc>
      </w:tr>
    </w:tbl>
    <w:p w14:paraId="6E45AC0A" w14:textId="73C954B9" w:rsidR="00AA3B3D" w:rsidRDefault="00AA3B3D" w:rsidP="00D7117A">
      <w:pPr>
        <w:spacing w:before="120" w:after="120"/>
        <w:rPr>
          <w:rFonts w:eastAsia="Arial Unicode MS" w:cs="Arial"/>
          <w:sz w:val="21"/>
          <w:szCs w:val="21"/>
          <w:lang w:eastAsia="en-US"/>
        </w:rPr>
      </w:pPr>
    </w:p>
    <w:p w14:paraId="0DC4413C" w14:textId="43C0F464" w:rsidR="0056246B" w:rsidRDefault="0056246B" w:rsidP="00D7117A">
      <w:pPr>
        <w:spacing w:before="120" w:after="120"/>
        <w:rPr>
          <w:rFonts w:eastAsia="Arial Unicode MS" w:cs="Arial"/>
          <w:sz w:val="21"/>
          <w:szCs w:val="21"/>
          <w:lang w:eastAsia="en-US"/>
        </w:rPr>
      </w:pPr>
    </w:p>
    <w:p w14:paraId="5C6C7226" w14:textId="1ACA9AAE" w:rsidR="0056246B" w:rsidRDefault="0056246B" w:rsidP="00D7117A">
      <w:pPr>
        <w:spacing w:before="120" w:after="120"/>
        <w:rPr>
          <w:rFonts w:eastAsia="Arial Unicode MS" w:cs="Arial"/>
          <w:sz w:val="21"/>
          <w:szCs w:val="21"/>
          <w:lang w:eastAsia="en-US"/>
        </w:rPr>
      </w:pPr>
    </w:p>
    <w:p w14:paraId="699CC32D" w14:textId="77777777" w:rsidR="0056246B" w:rsidRPr="0056246B" w:rsidRDefault="0056246B" w:rsidP="00D7117A">
      <w:pPr>
        <w:spacing w:before="120" w:after="120"/>
        <w:rPr>
          <w:rFonts w:eastAsia="Arial Unicode MS" w:cs="Arial"/>
          <w:sz w:val="21"/>
          <w:szCs w:val="21"/>
          <w:lang w:eastAsia="en-US"/>
        </w:rPr>
      </w:pPr>
    </w:p>
    <w:tbl>
      <w:tblPr>
        <w:tblW w:w="11482" w:type="dxa"/>
        <w:tblInd w:w="-719" w:type="dxa"/>
        <w:tblCellMar>
          <w:left w:w="0" w:type="dxa"/>
          <w:right w:w="0" w:type="dxa"/>
        </w:tblCellMar>
        <w:tblLook w:val="04A0" w:firstRow="1" w:lastRow="0" w:firstColumn="1" w:lastColumn="0" w:noHBand="0" w:noVBand="1"/>
      </w:tblPr>
      <w:tblGrid>
        <w:gridCol w:w="1418"/>
        <w:gridCol w:w="1559"/>
        <w:gridCol w:w="2127"/>
        <w:gridCol w:w="2409"/>
        <w:gridCol w:w="3969"/>
      </w:tblGrid>
      <w:tr w:rsidR="00AA3B3D" w:rsidRPr="0056246B" w14:paraId="435FDB36" w14:textId="77777777" w:rsidTr="007933B1">
        <w:trPr>
          <w:trHeight w:val="378"/>
        </w:trPr>
        <w:tc>
          <w:tcPr>
            <w:tcW w:w="1418" w:type="dxa"/>
            <w:tcBorders>
              <w:top w:val="single" w:sz="8" w:space="0" w:color="FFFFFF"/>
              <w:left w:val="single" w:sz="8" w:space="0" w:color="FFFFFF"/>
              <w:bottom w:val="single" w:sz="24" w:space="0" w:color="FFFFFF"/>
              <w:right w:val="single" w:sz="8" w:space="0" w:color="FFFFFF"/>
            </w:tcBorders>
            <w:shd w:val="clear" w:color="auto" w:fill="00ADBA"/>
            <w:tcMar>
              <w:top w:w="15" w:type="dxa"/>
              <w:left w:w="79" w:type="dxa"/>
              <w:bottom w:w="0" w:type="dxa"/>
              <w:right w:w="79" w:type="dxa"/>
            </w:tcMar>
            <w:vAlign w:val="center"/>
            <w:hideMark/>
          </w:tcPr>
          <w:p w14:paraId="57A77DBC" w14:textId="2C49D67A" w:rsidR="00AA3B3D" w:rsidRPr="0056246B" w:rsidRDefault="00AA3B3D" w:rsidP="00AA3B3D">
            <w:pPr>
              <w:spacing w:line="256" w:lineRule="auto"/>
              <w:jc w:val="center"/>
              <w:rPr>
                <w:rFonts w:cs="Arial"/>
                <w:sz w:val="21"/>
                <w:szCs w:val="21"/>
              </w:rPr>
            </w:pPr>
            <w:r w:rsidRPr="0056246B">
              <w:rPr>
                <w:rFonts w:eastAsia="Arial Unicode MS" w:cs="Arial"/>
                <w:sz w:val="21"/>
                <w:szCs w:val="21"/>
                <w:lang w:eastAsia="en-US"/>
              </w:rPr>
              <w:br w:type="page"/>
            </w:r>
            <w:r w:rsidRPr="0056246B">
              <w:rPr>
                <w:rFonts w:cs="Arial"/>
                <w:b/>
                <w:bCs/>
                <w:color w:val="FFFFFF" w:themeColor="light1"/>
                <w:kern w:val="24"/>
                <w:sz w:val="21"/>
                <w:szCs w:val="21"/>
              </w:rPr>
              <w:t>Acronym</w:t>
            </w:r>
          </w:p>
        </w:tc>
        <w:tc>
          <w:tcPr>
            <w:tcW w:w="1559" w:type="dxa"/>
            <w:tcBorders>
              <w:top w:val="single" w:sz="8" w:space="0" w:color="FFFFFF"/>
              <w:left w:val="single" w:sz="8" w:space="0" w:color="FFFFFF"/>
              <w:bottom w:val="single" w:sz="24" w:space="0" w:color="FFFFFF"/>
              <w:right w:val="single" w:sz="8" w:space="0" w:color="FFFFFF"/>
            </w:tcBorders>
            <w:shd w:val="clear" w:color="auto" w:fill="00ADBA"/>
            <w:tcMar>
              <w:top w:w="15" w:type="dxa"/>
              <w:left w:w="79" w:type="dxa"/>
              <w:bottom w:w="0" w:type="dxa"/>
              <w:right w:w="79" w:type="dxa"/>
            </w:tcMar>
            <w:vAlign w:val="center"/>
            <w:hideMark/>
          </w:tcPr>
          <w:p w14:paraId="4F8F829E" w14:textId="77777777" w:rsidR="00AA3B3D" w:rsidRPr="0056246B" w:rsidRDefault="00AA3B3D" w:rsidP="00AA3B3D">
            <w:pPr>
              <w:spacing w:line="256" w:lineRule="auto"/>
              <w:jc w:val="center"/>
              <w:rPr>
                <w:rFonts w:cs="Arial"/>
                <w:sz w:val="21"/>
                <w:szCs w:val="21"/>
              </w:rPr>
            </w:pPr>
            <w:r w:rsidRPr="0056246B">
              <w:rPr>
                <w:rFonts w:cs="Arial"/>
                <w:b/>
                <w:bCs/>
                <w:color w:val="FFFFFF" w:themeColor="light1"/>
                <w:kern w:val="24"/>
                <w:sz w:val="21"/>
                <w:szCs w:val="21"/>
              </w:rPr>
              <w:t>Description</w:t>
            </w:r>
          </w:p>
        </w:tc>
        <w:tc>
          <w:tcPr>
            <w:tcW w:w="2127" w:type="dxa"/>
            <w:tcBorders>
              <w:top w:val="single" w:sz="8" w:space="0" w:color="FFFFFF"/>
              <w:left w:val="single" w:sz="8" w:space="0" w:color="FFFFFF"/>
              <w:bottom w:val="single" w:sz="24" w:space="0" w:color="FFFFFF"/>
              <w:right w:val="single" w:sz="8" w:space="0" w:color="FFFFFF"/>
            </w:tcBorders>
            <w:shd w:val="clear" w:color="auto" w:fill="00ADBA"/>
            <w:tcMar>
              <w:top w:w="15" w:type="dxa"/>
              <w:left w:w="79" w:type="dxa"/>
              <w:bottom w:w="0" w:type="dxa"/>
              <w:right w:w="79" w:type="dxa"/>
            </w:tcMar>
            <w:vAlign w:val="center"/>
            <w:hideMark/>
          </w:tcPr>
          <w:p w14:paraId="4F92C1C3" w14:textId="5A6D0B83" w:rsidR="00AA3B3D" w:rsidRPr="0056246B" w:rsidRDefault="00AA3B3D" w:rsidP="00AA3B3D">
            <w:pPr>
              <w:spacing w:line="256" w:lineRule="auto"/>
              <w:rPr>
                <w:rFonts w:cs="Arial"/>
                <w:sz w:val="21"/>
                <w:szCs w:val="21"/>
              </w:rPr>
            </w:pPr>
            <w:r w:rsidRPr="0056246B">
              <w:rPr>
                <w:rFonts w:cs="Arial"/>
                <w:b/>
                <w:bCs/>
                <w:color w:val="FFFFFF" w:themeColor="light1"/>
                <w:kern w:val="24"/>
                <w:sz w:val="21"/>
                <w:szCs w:val="21"/>
              </w:rPr>
              <w:t>When to use</w:t>
            </w:r>
          </w:p>
        </w:tc>
        <w:tc>
          <w:tcPr>
            <w:tcW w:w="2409" w:type="dxa"/>
            <w:tcBorders>
              <w:top w:val="single" w:sz="8" w:space="0" w:color="FFFFFF"/>
              <w:left w:val="single" w:sz="8" w:space="0" w:color="FFFFFF"/>
              <w:bottom w:val="single" w:sz="24" w:space="0" w:color="FFFFFF"/>
              <w:right w:val="single" w:sz="8" w:space="0" w:color="FFFFFF"/>
            </w:tcBorders>
            <w:shd w:val="clear" w:color="auto" w:fill="00ADBA"/>
            <w:tcMar>
              <w:top w:w="15" w:type="dxa"/>
              <w:left w:w="79" w:type="dxa"/>
              <w:bottom w:w="0" w:type="dxa"/>
              <w:right w:w="79" w:type="dxa"/>
            </w:tcMar>
            <w:vAlign w:val="center"/>
            <w:hideMark/>
          </w:tcPr>
          <w:p w14:paraId="4C2031ED" w14:textId="77777777" w:rsidR="00AA3B3D" w:rsidRPr="0056246B" w:rsidRDefault="00AA3B3D" w:rsidP="00AA3B3D">
            <w:pPr>
              <w:spacing w:line="256" w:lineRule="auto"/>
              <w:rPr>
                <w:rFonts w:cs="Arial"/>
                <w:sz w:val="21"/>
                <w:szCs w:val="21"/>
              </w:rPr>
            </w:pPr>
            <w:r w:rsidRPr="0056246B">
              <w:rPr>
                <w:rFonts w:cs="Arial"/>
                <w:b/>
                <w:bCs/>
                <w:color w:val="FFFFFF" w:themeColor="light1"/>
                <w:kern w:val="24"/>
                <w:sz w:val="21"/>
                <w:szCs w:val="21"/>
              </w:rPr>
              <w:t>Impact on Forecasts</w:t>
            </w:r>
          </w:p>
        </w:tc>
        <w:tc>
          <w:tcPr>
            <w:tcW w:w="3969" w:type="dxa"/>
            <w:tcBorders>
              <w:top w:val="single" w:sz="8" w:space="0" w:color="FFFFFF"/>
              <w:left w:val="single" w:sz="8" w:space="0" w:color="FFFFFF"/>
              <w:bottom w:val="single" w:sz="24" w:space="0" w:color="FFFFFF"/>
              <w:right w:val="single" w:sz="8" w:space="0" w:color="FFFFFF"/>
            </w:tcBorders>
            <w:shd w:val="clear" w:color="auto" w:fill="00ADBA"/>
            <w:tcMar>
              <w:top w:w="15" w:type="dxa"/>
              <w:left w:w="79" w:type="dxa"/>
              <w:bottom w:w="0" w:type="dxa"/>
              <w:right w:w="79" w:type="dxa"/>
            </w:tcMar>
            <w:vAlign w:val="center"/>
            <w:hideMark/>
          </w:tcPr>
          <w:p w14:paraId="0A283402" w14:textId="77777777" w:rsidR="00AA3B3D" w:rsidRPr="0056246B" w:rsidRDefault="00AA3B3D" w:rsidP="00AA3B3D">
            <w:pPr>
              <w:spacing w:line="256" w:lineRule="auto"/>
              <w:rPr>
                <w:rFonts w:cs="Arial"/>
                <w:sz w:val="21"/>
                <w:szCs w:val="21"/>
              </w:rPr>
            </w:pPr>
            <w:r w:rsidRPr="0056246B">
              <w:rPr>
                <w:rFonts w:cs="Arial"/>
                <w:b/>
                <w:bCs/>
                <w:color w:val="FFFFFF" w:themeColor="light1"/>
                <w:kern w:val="24"/>
                <w:sz w:val="21"/>
                <w:szCs w:val="21"/>
              </w:rPr>
              <w:t>Required Forecasting Adjustments*</w:t>
            </w:r>
          </w:p>
        </w:tc>
      </w:tr>
      <w:tr w:rsidR="00AA3B3D" w:rsidRPr="0056246B" w14:paraId="76E47EC9" w14:textId="77777777" w:rsidTr="007933B1">
        <w:trPr>
          <w:trHeight w:val="436"/>
        </w:trPr>
        <w:tc>
          <w:tcPr>
            <w:tcW w:w="1418" w:type="dxa"/>
            <w:tcBorders>
              <w:top w:val="single" w:sz="24" w:space="0" w:color="FFFFFF"/>
              <w:left w:val="single" w:sz="8" w:space="0" w:color="FFFFFF"/>
              <w:bottom w:val="single" w:sz="8" w:space="0" w:color="FFFFFF"/>
              <w:right w:val="single" w:sz="8" w:space="0" w:color="FFFFFF"/>
            </w:tcBorders>
            <w:shd w:val="clear" w:color="auto" w:fill="00ADBA"/>
            <w:tcMar>
              <w:top w:w="15" w:type="dxa"/>
              <w:left w:w="79" w:type="dxa"/>
              <w:bottom w:w="0" w:type="dxa"/>
              <w:right w:w="79" w:type="dxa"/>
            </w:tcMar>
            <w:hideMark/>
          </w:tcPr>
          <w:p w14:paraId="4F698015" w14:textId="77777777" w:rsidR="00AA3B3D" w:rsidRPr="0056246B" w:rsidRDefault="00AA3B3D" w:rsidP="00AA3B3D">
            <w:pPr>
              <w:spacing w:line="256" w:lineRule="auto"/>
              <w:rPr>
                <w:rFonts w:cs="Arial"/>
                <w:sz w:val="21"/>
                <w:szCs w:val="21"/>
              </w:rPr>
            </w:pPr>
            <w:r w:rsidRPr="0056246B">
              <w:rPr>
                <w:rFonts w:cs="Arial"/>
                <w:b/>
                <w:bCs/>
                <w:color w:val="FFFFFF" w:themeColor="light1"/>
                <w:kern w:val="24"/>
                <w:sz w:val="21"/>
                <w:szCs w:val="21"/>
              </w:rPr>
              <w:t>EXT PS/FP</w:t>
            </w:r>
          </w:p>
        </w:tc>
        <w:tc>
          <w:tcPr>
            <w:tcW w:w="1559" w:type="dxa"/>
            <w:tcBorders>
              <w:top w:val="single" w:sz="24" w:space="0" w:color="FFFFFF"/>
              <w:left w:val="single" w:sz="8" w:space="0" w:color="FFFFFF"/>
              <w:bottom w:val="single" w:sz="8" w:space="0" w:color="FFFFFF"/>
              <w:right w:val="single" w:sz="8" w:space="0" w:color="FFFFFF"/>
            </w:tcBorders>
            <w:shd w:val="clear" w:color="auto" w:fill="CBE3E7"/>
            <w:tcMar>
              <w:top w:w="15" w:type="dxa"/>
              <w:left w:w="79" w:type="dxa"/>
              <w:bottom w:w="0" w:type="dxa"/>
              <w:right w:w="79" w:type="dxa"/>
            </w:tcMar>
            <w:hideMark/>
          </w:tcPr>
          <w:p w14:paraId="1D637AD3" w14:textId="77777777" w:rsidR="00AA3B3D" w:rsidRPr="0056246B" w:rsidRDefault="00AA3B3D" w:rsidP="00AA3B3D">
            <w:pPr>
              <w:spacing w:line="256" w:lineRule="auto"/>
              <w:rPr>
                <w:rFonts w:cs="Arial"/>
                <w:sz w:val="21"/>
                <w:szCs w:val="21"/>
              </w:rPr>
            </w:pPr>
            <w:r w:rsidRPr="0056246B">
              <w:rPr>
                <w:rFonts w:cs="Arial"/>
                <w:color w:val="000000" w:themeColor="dark1"/>
                <w:kern w:val="24"/>
                <w:sz w:val="21"/>
                <w:szCs w:val="21"/>
              </w:rPr>
              <w:t>External to Public Service</w:t>
            </w:r>
          </w:p>
        </w:tc>
        <w:tc>
          <w:tcPr>
            <w:tcW w:w="2127" w:type="dxa"/>
            <w:tcBorders>
              <w:top w:val="single" w:sz="24" w:space="0" w:color="FFFFFF"/>
              <w:left w:val="single" w:sz="8" w:space="0" w:color="FFFFFF"/>
              <w:bottom w:val="single" w:sz="8" w:space="0" w:color="FFFFFF"/>
              <w:right w:val="single" w:sz="8" w:space="0" w:color="FFFFFF"/>
            </w:tcBorders>
            <w:shd w:val="clear" w:color="auto" w:fill="CBE3E7"/>
            <w:tcMar>
              <w:top w:w="15" w:type="dxa"/>
              <w:left w:w="79" w:type="dxa"/>
              <w:bottom w:w="0" w:type="dxa"/>
              <w:right w:w="79" w:type="dxa"/>
            </w:tcMar>
            <w:hideMark/>
          </w:tcPr>
          <w:p w14:paraId="0C6BB84A" w14:textId="77777777" w:rsidR="00AA3B3D" w:rsidRPr="0056246B" w:rsidRDefault="00AA3B3D" w:rsidP="00AA3B3D">
            <w:pPr>
              <w:spacing w:line="256" w:lineRule="auto"/>
              <w:rPr>
                <w:rFonts w:cs="Arial"/>
                <w:sz w:val="21"/>
                <w:szCs w:val="21"/>
              </w:rPr>
            </w:pPr>
            <w:r w:rsidRPr="0056246B">
              <w:rPr>
                <w:rFonts w:cs="Arial"/>
                <w:color w:val="000000" w:themeColor="dark1"/>
                <w:kern w:val="24"/>
                <w:sz w:val="21"/>
                <w:szCs w:val="21"/>
              </w:rPr>
              <w:t> For position to be staffed through external recruitment process.</w:t>
            </w:r>
          </w:p>
        </w:tc>
        <w:tc>
          <w:tcPr>
            <w:tcW w:w="2409" w:type="dxa"/>
            <w:tcBorders>
              <w:top w:val="single" w:sz="24" w:space="0" w:color="FFFFFF"/>
              <w:left w:val="single" w:sz="8" w:space="0" w:color="FFFFFF"/>
              <w:bottom w:val="single" w:sz="8" w:space="0" w:color="FFFFFF"/>
              <w:right w:val="single" w:sz="8" w:space="0" w:color="FFFFFF"/>
            </w:tcBorders>
            <w:shd w:val="clear" w:color="auto" w:fill="CBE3E7"/>
            <w:tcMar>
              <w:top w:w="15" w:type="dxa"/>
              <w:left w:w="79" w:type="dxa"/>
              <w:bottom w:w="0" w:type="dxa"/>
              <w:right w:w="79" w:type="dxa"/>
            </w:tcMar>
            <w:hideMark/>
          </w:tcPr>
          <w:p w14:paraId="1B8994E0" w14:textId="77777777" w:rsidR="00AA3B3D" w:rsidRPr="0056246B" w:rsidRDefault="00AA3B3D" w:rsidP="00AA3B3D">
            <w:pPr>
              <w:spacing w:line="256" w:lineRule="auto"/>
              <w:rPr>
                <w:rFonts w:cs="Arial"/>
                <w:sz w:val="21"/>
                <w:szCs w:val="21"/>
              </w:rPr>
            </w:pPr>
            <w:r w:rsidRPr="0056246B">
              <w:rPr>
                <w:rFonts w:cs="Arial"/>
                <w:color w:val="000000" w:themeColor="dark1"/>
                <w:kern w:val="24"/>
                <w:sz w:val="21"/>
                <w:szCs w:val="21"/>
              </w:rPr>
              <w:t>This represents a net increase in forecasted salary costs for the branch/region, as well as the department.</w:t>
            </w:r>
          </w:p>
        </w:tc>
        <w:tc>
          <w:tcPr>
            <w:tcW w:w="3969" w:type="dxa"/>
            <w:tcBorders>
              <w:top w:val="single" w:sz="24" w:space="0" w:color="FFFFFF"/>
              <w:left w:val="single" w:sz="8" w:space="0" w:color="FFFFFF"/>
              <w:bottom w:val="single" w:sz="8" w:space="0" w:color="FFFFFF"/>
              <w:right w:val="single" w:sz="8" w:space="0" w:color="FFFFFF"/>
            </w:tcBorders>
            <w:shd w:val="clear" w:color="auto" w:fill="CBE3E7"/>
            <w:tcMar>
              <w:top w:w="15" w:type="dxa"/>
              <w:left w:w="79" w:type="dxa"/>
              <w:bottom w:w="0" w:type="dxa"/>
              <w:right w:w="79" w:type="dxa"/>
            </w:tcMar>
            <w:hideMark/>
          </w:tcPr>
          <w:p w14:paraId="08210C60" w14:textId="77777777" w:rsidR="00AA3B3D" w:rsidRPr="0056246B" w:rsidRDefault="00AA3B3D" w:rsidP="00AA3B3D">
            <w:pPr>
              <w:spacing w:line="256" w:lineRule="auto"/>
              <w:rPr>
                <w:rFonts w:cs="Arial"/>
                <w:sz w:val="21"/>
                <w:szCs w:val="21"/>
              </w:rPr>
            </w:pPr>
            <w:r w:rsidRPr="0056246B">
              <w:rPr>
                <w:rFonts w:cs="Arial"/>
                <w:color w:val="000000" w:themeColor="dark1"/>
                <w:kern w:val="24"/>
                <w:sz w:val="21"/>
                <w:szCs w:val="21"/>
              </w:rPr>
              <w:t xml:space="preserve">No forecast adjustment required at the branch/region except when total planned staffing forecast for this PS Type code must be revised after the retraction date for a given forecasting exercise. </w:t>
            </w:r>
          </w:p>
        </w:tc>
      </w:tr>
      <w:tr w:rsidR="00AA3B3D" w:rsidRPr="0056246B" w14:paraId="74FB5033" w14:textId="77777777" w:rsidTr="007933B1">
        <w:trPr>
          <w:trHeight w:val="333"/>
        </w:trPr>
        <w:tc>
          <w:tcPr>
            <w:tcW w:w="1418" w:type="dxa"/>
            <w:tcBorders>
              <w:top w:val="single" w:sz="8" w:space="0" w:color="FFFFFF"/>
              <w:left w:val="single" w:sz="8" w:space="0" w:color="FFFFFF"/>
              <w:bottom w:val="single" w:sz="8" w:space="0" w:color="FFFFFF"/>
              <w:right w:val="single" w:sz="8" w:space="0" w:color="FFFFFF"/>
            </w:tcBorders>
            <w:shd w:val="clear" w:color="auto" w:fill="00ADBA"/>
            <w:tcMar>
              <w:top w:w="15" w:type="dxa"/>
              <w:left w:w="79" w:type="dxa"/>
              <w:bottom w:w="0" w:type="dxa"/>
              <w:right w:w="79" w:type="dxa"/>
            </w:tcMar>
            <w:hideMark/>
          </w:tcPr>
          <w:p w14:paraId="36E0E2E6" w14:textId="77777777" w:rsidR="00AA3B3D" w:rsidRPr="0056246B" w:rsidRDefault="00AA3B3D" w:rsidP="00AA3B3D">
            <w:pPr>
              <w:spacing w:line="256" w:lineRule="auto"/>
              <w:rPr>
                <w:rFonts w:cs="Arial"/>
                <w:sz w:val="21"/>
                <w:szCs w:val="21"/>
              </w:rPr>
            </w:pPr>
            <w:r w:rsidRPr="0056246B">
              <w:rPr>
                <w:rFonts w:cs="Arial"/>
                <w:b/>
                <w:bCs/>
                <w:color w:val="FFFFFF" w:themeColor="light1"/>
                <w:kern w:val="24"/>
                <w:sz w:val="21"/>
                <w:szCs w:val="21"/>
              </w:rPr>
              <w:t>PRI/CIDP</w:t>
            </w:r>
          </w:p>
        </w:tc>
        <w:tc>
          <w:tcPr>
            <w:tcW w:w="1559" w:type="dxa"/>
            <w:tcBorders>
              <w:top w:val="single" w:sz="8" w:space="0" w:color="FFFFFF"/>
              <w:left w:val="single" w:sz="8" w:space="0" w:color="FFFFFF"/>
              <w:bottom w:val="single" w:sz="8" w:space="0" w:color="FFFFFF"/>
              <w:right w:val="single" w:sz="8" w:space="0" w:color="FFFFFF"/>
            </w:tcBorders>
            <w:shd w:val="clear" w:color="auto" w:fill="E7F1F3"/>
            <w:tcMar>
              <w:top w:w="15" w:type="dxa"/>
              <w:left w:w="79" w:type="dxa"/>
              <w:bottom w:w="0" w:type="dxa"/>
              <w:right w:w="79" w:type="dxa"/>
            </w:tcMar>
            <w:hideMark/>
          </w:tcPr>
          <w:p w14:paraId="6C6D7163" w14:textId="77777777" w:rsidR="00AA3B3D" w:rsidRPr="0056246B" w:rsidRDefault="00AA3B3D" w:rsidP="00AA3B3D">
            <w:pPr>
              <w:spacing w:line="256" w:lineRule="auto"/>
              <w:rPr>
                <w:rFonts w:cs="Arial"/>
                <w:sz w:val="21"/>
                <w:szCs w:val="21"/>
              </w:rPr>
            </w:pPr>
            <w:r w:rsidRPr="0056246B">
              <w:rPr>
                <w:rFonts w:cs="Arial"/>
                <w:color w:val="000000" w:themeColor="dark1"/>
                <w:kern w:val="24"/>
                <w:sz w:val="21"/>
                <w:szCs w:val="21"/>
              </w:rPr>
              <w:t>Pending PRI Creation</w:t>
            </w:r>
          </w:p>
        </w:tc>
        <w:tc>
          <w:tcPr>
            <w:tcW w:w="2127" w:type="dxa"/>
            <w:tcBorders>
              <w:top w:val="single" w:sz="8" w:space="0" w:color="FFFFFF"/>
              <w:left w:val="single" w:sz="8" w:space="0" w:color="FFFFFF"/>
              <w:bottom w:val="single" w:sz="8" w:space="0" w:color="FFFFFF"/>
              <w:right w:val="single" w:sz="8" w:space="0" w:color="FFFFFF"/>
            </w:tcBorders>
            <w:shd w:val="clear" w:color="auto" w:fill="E7F1F3"/>
            <w:tcMar>
              <w:top w:w="15" w:type="dxa"/>
              <w:left w:w="79" w:type="dxa"/>
              <w:bottom w:w="0" w:type="dxa"/>
              <w:right w:w="79" w:type="dxa"/>
            </w:tcMar>
            <w:hideMark/>
          </w:tcPr>
          <w:p w14:paraId="3DA3C905" w14:textId="77777777" w:rsidR="00AA3B3D" w:rsidRPr="0056246B" w:rsidRDefault="00AA3B3D" w:rsidP="00AA3B3D">
            <w:pPr>
              <w:spacing w:line="256" w:lineRule="auto"/>
              <w:rPr>
                <w:rFonts w:cs="Arial"/>
                <w:sz w:val="21"/>
                <w:szCs w:val="21"/>
              </w:rPr>
            </w:pPr>
            <w:r w:rsidRPr="0056246B">
              <w:rPr>
                <w:rFonts w:cs="Arial"/>
                <w:color w:val="000000" w:themeColor="dark1"/>
                <w:kern w:val="24"/>
                <w:sz w:val="21"/>
                <w:szCs w:val="21"/>
              </w:rPr>
              <w:t>Employee on strength but no PRI available in SFT.</w:t>
            </w:r>
          </w:p>
        </w:tc>
        <w:tc>
          <w:tcPr>
            <w:tcW w:w="2409" w:type="dxa"/>
            <w:tcBorders>
              <w:top w:val="single" w:sz="8" w:space="0" w:color="FFFFFF"/>
              <w:left w:val="single" w:sz="8" w:space="0" w:color="FFFFFF"/>
              <w:bottom w:val="single" w:sz="8" w:space="0" w:color="FFFFFF"/>
              <w:right w:val="single" w:sz="8" w:space="0" w:color="FFFFFF"/>
            </w:tcBorders>
            <w:shd w:val="clear" w:color="auto" w:fill="E7F1F3"/>
            <w:tcMar>
              <w:top w:w="15" w:type="dxa"/>
              <w:left w:w="79" w:type="dxa"/>
              <w:bottom w:w="0" w:type="dxa"/>
              <w:right w:w="79" w:type="dxa"/>
            </w:tcMar>
            <w:hideMark/>
          </w:tcPr>
          <w:p w14:paraId="4F638794" w14:textId="77777777" w:rsidR="00AA3B3D" w:rsidRPr="0056246B" w:rsidRDefault="00AA3B3D" w:rsidP="00AA3B3D">
            <w:pPr>
              <w:spacing w:line="256" w:lineRule="auto"/>
              <w:rPr>
                <w:rFonts w:cs="Arial"/>
                <w:sz w:val="21"/>
                <w:szCs w:val="21"/>
              </w:rPr>
            </w:pPr>
            <w:r w:rsidRPr="0056246B">
              <w:rPr>
                <w:rFonts w:cs="Arial"/>
                <w:color w:val="000000" w:themeColor="dark1"/>
                <w:kern w:val="24"/>
                <w:sz w:val="21"/>
                <w:szCs w:val="21"/>
              </w:rPr>
              <w:t xml:space="preserve">This represents a net increase in forecasted salary costs for the branch/region, as well as the department. However, because these employees are currently on strength, this amount should be removed from the planned staffing and added to regular salary forecasts. </w:t>
            </w:r>
          </w:p>
        </w:tc>
        <w:tc>
          <w:tcPr>
            <w:tcW w:w="3969" w:type="dxa"/>
            <w:tcBorders>
              <w:top w:val="single" w:sz="8" w:space="0" w:color="FFFFFF"/>
              <w:left w:val="single" w:sz="8" w:space="0" w:color="FFFFFF"/>
              <w:bottom w:val="single" w:sz="8" w:space="0" w:color="FFFFFF"/>
              <w:right w:val="single" w:sz="8" w:space="0" w:color="FFFFFF"/>
            </w:tcBorders>
            <w:shd w:val="clear" w:color="auto" w:fill="E7F1F3"/>
            <w:tcMar>
              <w:top w:w="15" w:type="dxa"/>
              <w:left w:w="79" w:type="dxa"/>
              <w:bottom w:w="0" w:type="dxa"/>
              <w:right w:w="79" w:type="dxa"/>
            </w:tcMar>
            <w:hideMark/>
          </w:tcPr>
          <w:p w14:paraId="38550C89" w14:textId="77777777" w:rsidR="00AA3B3D" w:rsidRPr="0056246B" w:rsidRDefault="00AA3B3D" w:rsidP="00F6090D">
            <w:pPr>
              <w:numPr>
                <w:ilvl w:val="0"/>
                <w:numId w:val="18"/>
              </w:numPr>
              <w:spacing w:line="256" w:lineRule="auto"/>
              <w:ind w:left="979"/>
              <w:contextualSpacing/>
              <w:rPr>
                <w:rFonts w:cs="Arial"/>
                <w:sz w:val="21"/>
                <w:szCs w:val="21"/>
              </w:rPr>
            </w:pPr>
            <w:r w:rsidRPr="0056246B">
              <w:rPr>
                <w:rFonts w:asciiTheme="minorHAnsi" w:cs="Arial"/>
                <w:color w:val="000000" w:themeColor="dark1"/>
                <w:kern w:val="24"/>
                <w:sz w:val="21"/>
                <w:szCs w:val="21"/>
              </w:rPr>
              <w:t>Identify the total planned staffing tagged to PS Type Code “PRI/CIDP”;</w:t>
            </w:r>
          </w:p>
          <w:p w14:paraId="31CEC075" w14:textId="77777777" w:rsidR="00AA3B3D" w:rsidRPr="0056246B" w:rsidRDefault="00AA3B3D" w:rsidP="00F6090D">
            <w:pPr>
              <w:numPr>
                <w:ilvl w:val="0"/>
                <w:numId w:val="18"/>
              </w:numPr>
              <w:spacing w:line="256" w:lineRule="auto"/>
              <w:ind w:left="979"/>
              <w:contextualSpacing/>
              <w:rPr>
                <w:rFonts w:cs="Arial"/>
                <w:sz w:val="21"/>
                <w:szCs w:val="21"/>
              </w:rPr>
            </w:pPr>
            <w:r w:rsidRPr="0056246B">
              <w:rPr>
                <w:rFonts w:asciiTheme="minorHAnsi" w:cs="Arial"/>
                <w:color w:val="000000" w:themeColor="dark1"/>
                <w:kern w:val="24"/>
                <w:sz w:val="21"/>
                <w:szCs w:val="21"/>
              </w:rPr>
              <w:t>Create a Supplement Forecasting Adjustment (FADJ) for this amount to increase regular salary forecasts;</w:t>
            </w:r>
          </w:p>
          <w:p w14:paraId="63BA166D" w14:textId="77777777" w:rsidR="00AA3B3D" w:rsidRPr="0056246B" w:rsidRDefault="00AA3B3D" w:rsidP="00F6090D">
            <w:pPr>
              <w:numPr>
                <w:ilvl w:val="0"/>
                <w:numId w:val="18"/>
              </w:numPr>
              <w:spacing w:line="256" w:lineRule="auto"/>
              <w:ind w:left="979"/>
              <w:contextualSpacing/>
              <w:rPr>
                <w:rFonts w:cs="Arial"/>
                <w:sz w:val="21"/>
                <w:szCs w:val="21"/>
              </w:rPr>
            </w:pPr>
            <w:r w:rsidRPr="0056246B">
              <w:rPr>
                <w:rFonts w:asciiTheme="minorHAnsi" w:cs="Arial"/>
                <w:color w:val="000000" w:themeColor="dark1"/>
                <w:kern w:val="24"/>
                <w:sz w:val="21"/>
                <w:szCs w:val="21"/>
              </w:rPr>
              <w:t>Create a Return Planned Staffing Forecast Adjustment (FAPS) to decrease the planned staffing forecasts.</w:t>
            </w:r>
          </w:p>
        </w:tc>
      </w:tr>
    </w:tbl>
    <w:p w14:paraId="3DE89B28" w14:textId="77777777" w:rsidR="00D7117A" w:rsidRDefault="00D7117A" w:rsidP="00D7117A">
      <w:pPr>
        <w:spacing w:before="120" w:after="120"/>
        <w:rPr>
          <w:rFonts w:eastAsia="Arial Unicode MS" w:cs="Arial"/>
          <w:lang w:val="en-US" w:eastAsia="en-US"/>
        </w:rPr>
      </w:pPr>
      <w:r>
        <w:rPr>
          <w:rFonts w:eastAsia="Arial Unicode MS" w:cs="Arial"/>
          <w:lang w:val="en-US" w:eastAsia="en-US"/>
        </w:rPr>
        <w:br w:type="page"/>
      </w:r>
    </w:p>
    <w:p w14:paraId="1F951E75" w14:textId="77777777" w:rsidR="00D7117A" w:rsidRPr="009E2084" w:rsidRDefault="00D7117A" w:rsidP="00D7117A">
      <w:pPr>
        <w:pStyle w:val="Heading1"/>
        <w:ind w:left="432" w:hanging="432"/>
        <w:rPr>
          <w:lang w:val="en-US"/>
        </w:rPr>
      </w:pPr>
      <w:bookmarkStart w:id="46" w:name="_Toc72402770"/>
      <w:r>
        <w:rPr>
          <w:lang w:val="en-US"/>
        </w:rPr>
        <w:lastRenderedPageBreak/>
        <w:t>ANNEX C</w:t>
      </w:r>
      <w:r w:rsidRPr="009E2084">
        <w:rPr>
          <w:lang w:val="en-US"/>
        </w:rPr>
        <w:t xml:space="preserve"> – Other Personnel Categories – GL Accounts</w:t>
      </w:r>
      <w:bookmarkEnd w:id="46"/>
    </w:p>
    <w:p w14:paraId="36BE2893" w14:textId="77777777" w:rsidR="00D7117A" w:rsidRPr="003467AD" w:rsidRDefault="00D7117A" w:rsidP="00D7117A">
      <w:pPr>
        <w:spacing w:before="240"/>
        <w:rPr>
          <w:b/>
          <w:sz w:val="28"/>
          <w:lang w:val="en-US"/>
        </w:rPr>
      </w:pPr>
      <w:r w:rsidRPr="00F00681">
        <w:rPr>
          <w:b/>
          <w:sz w:val="28"/>
          <w:lang w:val="en-US"/>
        </w:rPr>
        <w:t>Global Forecast – Other Personnel – CI 91110</w:t>
      </w:r>
    </w:p>
    <w:p w14:paraId="3827607A" w14:textId="77777777" w:rsidR="00D7117A" w:rsidRPr="009E2084" w:rsidRDefault="00D7117A" w:rsidP="00D7117A">
      <w:pPr>
        <w:rPr>
          <w:sz w:val="18"/>
          <w:lang w:val="en-US"/>
        </w:rPr>
      </w:pPr>
    </w:p>
    <w:p w14:paraId="59ACF053" w14:textId="77777777" w:rsidR="00D7117A" w:rsidRDefault="00D7117A" w:rsidP="00D7117A">
      <w:pPr>
        <w:rPr>
          <w:bCs/>
          <w:lang w:val="en-US"/>
        </w:rPr>
      </w:pPr>
      <w:r w:rsidRPr="009E2084">
        <w:rPr>
          <w:lang w:val="en-US"/>
        </w:rPr>
        <w:t xml:space="preserve">A forecast for </w:t>
      </w:r>
      <w:r w:rsidRPr="009E2084">
        <w:rPr>
          <w:u w:val="single"/>
          <w:lang w:val="en-US"/>
        </w:rPr>
        <w:t>Other Personnel</w:t>
      </w:r>
      <w:r w:rsidRPr="009E2084">
        <w:rPr>
          <w:lang w:val="en-US"/>
        </w:rPr>
        <w:t xml:space="preserve"> </w:t>
      </w:r>
      <w:r w:rsidRPr="009E2084">
        <w:rPr>
          <w:bCs/>
          <w:lang w:val="en-US"/>
        </w:rPr>
        <w:t>should only be created for the type of expenditures that will be posted to the following</w:t>
      </w:r>
      <w:r w:rsidRPr="00561594">
        <w:rPr>
          <w:bCs/>
          <w:lang w:val="en-US"/>
        </w:rPr>
        <w:t xml:space="preserve"> GL accounts:</w:t>
      </w:r>
    </w:p>
    <w:p w14:paraId="5A8C8F58" w14:textId="3ED1E555" w:rsidR="00D7117A" w:rsidRDefault="00D7117A" w:rsidP="00F6090D">
      <w:pPr>
        <w:pStyle w:val="ListParagraph"/>
        <w:numPr>
          <w:ilvl w:val="0"/>
          <w:numId w:val="9"/>
        </w:numPr>
        <w:spacing w:before="60"/>
        <w:ind w:left="714" w:hanging="357"/>
        <w:contextualSpacing w:val="0"/>
        <w:rPr>
          <w:bCs/>
          <w:lang w:val="en-US"/>
        </w:rPr>
      </w:pPr>
      <w:r w:rsidRPr="003A3FCB">
        <w:rPr>
          <w:bCs/>
          <w:lang w:val="en-US"/>
        </w:rPr>
        <w:t>Lump Sum Payment - Indeterminate Employees</w:t>
      </w:r>
      <w:r>
        <w:rPr>
          <w:bCs/>
          <w:lang w:val="en-US"/>
        </w:rPr>
        <w:t xml:space="preserve"> (GL 52</w:t>
      </w:r>
      <w:r w:rsidR="003F5603">
        <w:rPr>
          <w:bCs/>
          <w:lang w:val="en-US"/>
        </w:rPr>
        <w:t>1</w:t>
      </w:r>
      <w:r>
        <w:rPr>
          <w:bCs/>
          <w:lang w:val="en-US"/>
        </w:rPr>
        <w:t>105)</w:t>
      </w:r>
    </w:p>
    <w:p w14:paraId="5D641216" w14:textId="77777777" w:rsidR="00D7117A" w:rsidRPr="003A3FCB" w:rsidRDefault="00D7117A" w:rsidP="00F6090D">
      <w:pPr>
        <w:pStyle w:val="ListParagraph"/>
        <w:numPr>
          <w:ilvl w:val="0"/>
          <w:numId w:val="9"/>
        </w:numPr>
        <w:spacing w:before="60"/>
        <w:ind w:left="714" w:hanging="357"/>
        <w:contextualSpacing w:val="0"/>
        <w:rPr>
          <w:bCs/>
          <w:lang w:val="en-US"/>
        </w:rPr>
      </w:pPr>
      <w:r w:rsidRPr="003A3FCB">
        <w:rPr>
          <w:bCs/>
          <w:lang w:val="en-US"/>
        </w:rPr>
        <w:t>Lump Sum Payment - Determinate Employees</w:t>
      </w:r>
      <w:r>
        <w:rPr>
          <w:bCs/>
          <w:lang w:val="en-US"/>
        </w:rPr>
        <w:t xml:space="preserve"> (GL 521205)</w:t>
      </w:r>
    </w:p>
    <w:p w14:paraId="6316BE24" w14:textId="77777777" w:rsidR="00D7117A" w:rsidRPr="004153C8" w:rsidRDefault="00D7117A" w:rsidP="00F6090D">
      <w:pPr>
        <w:pStyle w:val="ListParagraph"/>
        <w:numPr>
          <w:ilvl w:val="0"/>
          <w:numId w:val="9"/>
        </w:numPr>
        <w:spacing w:before="60"/>
        <w:ind w:left="714" w:hanging="357"/>
        <w:contextualSpacing w:val="0"/>
        <w:rPr>
          <w:bCs/>
          <w:lang w:val="en-US"/>
        </w:rPr>
      </w:pPr>
      <w:r w:rsidRPr="004153C8">
        <w:rPr>
          <w:bCs/>
          <w:lang w:val="en-US"/>
        </w:rPr>
        <w:t>Non-Standard Hours Premium (GL 521301)</w:t>
      </w:r>
    </w:p>
    <w:p w14:paraId="7A895759" w14:textId="77777777" w:rsidR="00D7117A" w:rsidRPr="004153C8" w:rsidRDefault="00D7117A" w:rsidP="00F6090D">
      <w:pPr>
        <w:pStyle w:val="ListParagraph"/>
        <w:numPr>
          <w:ilvl w:val="0"/>
          <w:numId w:val="9"/>
        </w:numPr>
        <w:spacing w:before="60"/>
        <w:ind w:left="714" w:hanging="357"/>
        <w:contextualSpacing w:val="0"/>
        <w:rPr>
          <w:bCs/>
          <w:lang w:val="en-US"/>
        </w:rPr>
      </w:pPr>
      <w:r w:rsidRPr="004153C8">
        <w:rPr>
          <w:bCs/>
          <w:lang w:val="en-US"/>
        </w:rPr>
        <w:t>Retroactive Pay – Pay Equity (GL 521921)</w:t>
      </w:r>
    </w:p>
    <w:p w14:paraId="01E8DD3C" w14:textId="77777777" w:rsidR="00D7117A" w:rsidRPr="004153C8" w:rsidRDefault="00D7117A" w:rsidP="00F6090D">
      <w:pPr>
        <w:pStyle w:val="ListParagraph"/>
        <w:numPr>
          <w:ilvl w:val="0"/>
          <w:numId w:val="9"/>
        </w:numPr>
        <w:spacing w:before="60"/>
        <w:ind w:left="714" w:hanging="357"/>
        <w:contextualSpacing w:val="0"/>
        <w:rPr>
          <w:bCs/>
          <w:lang w:val="en-US"/>
        </w:rPr>
      </w:pPr>
      <w:r w:rsidRPr="004153C8">
        <w:rPr>
          <w:bCs/>
          <w:lang w:val="en-US"/>
        </w:rPr>
        <w:t>Compensatory Allowances for Employee Expenses (GL 523101)</w:t>
      </w:r>
    </w:p>
    <w:p w14:paraId="5D7BE97D" w14:textId="77777777" w:rsidR="00D7117A" w:rsidRPr="004153C8" w:rsidRDefault="00D7117A" w:rsidP="00F6090D">
      <w:pPr>
        <w:pStyle w:val="ListParagraph"/>
        <w:numPr>
          <w:ilvl w:val="0"/>
          <w:numId w:val="9"/>
        </w:numPr>
        <w:spacing w:before="60"/>
        <w:ind w:left="714" w:hanging="357"/>
        <w:contextualSpacing w:val="0"/>
        <w:rPr>
          <w:bCs/>
          <w:lang w:val="en-US"/>
        </w:rPr>
      </w:pPr>
      <w:r w:rsidRPr="004153C8">
        <w:rPr>
          <w:bCs/>
          <w:lang w:val="en-US"/>
        </w:rPr>
        <w:t>Pay Equity Allowances (GL 523301)</w:t>
      </w:r>
    </w:p>
    <w:p w14:paraId="75B93E12" w14:textId="77777777" w:rsidR="00D7117A" w:rsidRPr="004153C8" w:rsidRDefault="00D7117A" w:rsidP="00F6090D">
      <w:pPr>
        <w:pStyle w:val="ListParagraph"/>
        <w:numPr>
          <w:ilvl w:val="0"/>
          <w:numId w:val="9"/>
        </w:numPr>
        <w:spacing w:before="60"/>
        <w:ind w:left="714" w:hanging="357"/>
        <w:contextualSpacing w:val="0"/>
        <w:rPr>
          <w:bCs/>
          <w:lang w:val="en-US"/>
        </w:rPr>
      </w:pPr>
      <w:r w:rsidRPr="004153C8">
        <w:rPr>
          <w:bCs/>
          <w:lang w:val="en-US"/>
        </w:rPr>
        <w:t>Pay Equity Interest (GL 523311)</w:t>
      </w:r>
    </w:p>
    <w:p w14:paraId="5E8F2B54" w14:textId="77777777" w:rsidR="00D7117A" w:rsidRPr="004153C8" w:rsidRDefault="00D7117A" w:rsidP="00F6090D">
      <w:pPr>
        <w:pStyle w:val="ListParagraph"/>
        <w:numPr>
          <w:ilvl w:val="0"/>
          <w:numId w:val="9"/>
        </w:numPr>
        <w:spacing w:before="60"/>
        <w:ind w:left="714" w:hanging="357"/>
        <w:contextualSpacing w:val="0"/>
        <w:rPr>
          <w:bCs/>
          <w:lang w:val="en-US"/>
        </w:rPr>
      </w:pPr>
      <w:r w:rsidRPr="004153C8">
        <w:rPr>
          <w:bCs/>
          <w:lang w:val="en-US"/>
        </w:rPr>
        <w:t>Equalization Adjustment (GL 523501)</w:t>
      </w:r>
    </w:p>
    <w:p w14:paraId="357E19D8" w14:textId="77777777" w:rsidR="00D7117A" w:rsidRPr="004153C8" w:rsidRDefault="00D7117A" w:rsidP="00F6090D">
      <w:pPr>
        <w:pStyle w:val="ListParagraph"/>
        <w:numPr>
          <w:ilvl w:val="0"/>
          <w:numId w:val="9"/>
        </w:numPr>
        <w:spacing w:before="60"/>
        <w:ind w:left="714" w:hanging="357"/>
        <w:contextualSpacing w:val="0"/>
        <w:rPr>
          <w:bCs/>
          <w:lang w:val="en-US"/>
        </w:rPr>
      </w:pPr>
      <w:r w:rsidRPr="004153C8">
        <w:rPr>
          <w:bCs/>
          <w:lang w:val="en-US"/>
        </w:rPr>
        <w:t>Other Specified Allowances (GL 523561)</w:t>
      </w:r>
    </w:p>
    <w:p w14:paraId="41B255A0" w14:textId="77777777" w:rsidR="00D7117A" w:rsidRPr="004153C8" w:rsidRDefault="00D7117A" w:rsidP="00F6090D">
      <w:pPr>
        <w:pStyle w:val="ListParagraph"/>
        <w:numPr>
          <w:ilvl w:val="0"/>
          <w:numId w:val="9"/>
        </w:numPr>
        <w:spacing w:before="60"/>
        <w:ind w:left="714" w:hanging="357"/>
        <w:contextualSpacing w:val="0"/>
        <w:rPr>
          <w:bCs/>
          <w:lang w:val="en-US"/>
        </w:rPr>
      </w:pPr>
      <w:r w:rsidRPr="004153C8">
        <w:rPr>
          <w:bCs/>
          <w:lang w:val="en-US"/>
        </w:rPr>
        <w:t>Supplementary Employee Benefits (GL 524201)</w:t>
      </w:r>
    </w:p>
    <w:p w14:paraId="718BB303" w14:textId="77777777" w:rsidR="00D7117A" w:rsidRPr="004153C8" w:rsidRDefault="00D7117A" w:rsidP="00F6090D">
      <w:pPr>
        <w:pStyle w:val="ListParagraph"/>
        <w:numPr>
          <w:ilvl w:val="0"/>
          <w:numId w:val="9"/>
        </w:numPr>
        <w:spacing w:before="60"/>
        <w:ind w:left="714" w:hanging="357"/>
        <w:contextualSpacing w:val="0"/>
        <w:rPr>
          <w:bCs/>
          <w:lang w:val="en-US"/>
        </w:rPr>
      </w:pPr>
      <w:r w:rsidRPr="004153C8">
        <w:rPr>
          <w:bCs/>
          <w:lang w:val="en-US"/>
        </w:rPr>
        <w:t>Other Supplementary Personnel Costs (GL 524401)</w:t>
      </w:r>
    </w:p>
    <w:p w14:paraId="175F7CC5" w14:textId="77777777" w:rsidR="00D7117A" w:rsidRPr="00561594" w:rsidRDefault="00D7117A" w:rsidP="00D7117A">
      <w:pPr>
        <w:rPr>
          <w:bCs/>
          <w:sz w:val="18"/>
          <w:lang w:val="en-US"/>
        </w:rPr>
      </w:pPr>
    </w:p>
    <w:p w14:paraId="45423CA6" w14:textId="1BF1751F" w:rsidR="00D7117A" w:rsidRPr="003467AD" w:rsidRDefault="00D7117A" w:rsidP="00D7117A">
      <w:pPr>
        <w:rPr>
          <w:b/>
          <w:sz w:val="28"/>
        </w:rPr>
      </w:pPr>
      <w:r w:rsidRPr="00F00681">
        <w:rPr>
          <w:b/>
          <w:sz w:val="28"/>
        </w:rPr>
        <w:t>FMBB Forecast – Other Personnel Non-PRI Specific cost– CI</w:t>
      </w:r>
      <w:r w:rsidR="00ED793D">
        <w:rPr>
          <w:b/>
          <w:sz w:val="28"/>
        </w:rPr>
        <w:t xml:space="preserve"> </w:t>
      </w:r>
      <w:r w:rsidRPr="00F00681">
        <w:rPr>
          <w:b/>
          <w:sz w:val="28"/>
        </w:rPr>
        <w:t>91112</w:t>
      </w:r>
    </w:p>
    <w:p w14:paraId="191D9728" w14:textId="77777777" w:rsidR="00D7117A" w:rsidRPr="00561594" w:rsidRDefault="00D7117A" w:rsidP="00D7117A">
      <w:pPr>
        <w:rPr>
          <w:bCs/>
          <w:sz w:val="18"/>
        </w:rPr>
      </w:pPr>
    </w:p>
    <w:p w14:paraId="1F3C8DC2" w14:textId="061C6F90" w:rsidR="00D7117A" w:rsidRPr="003A3FCB" w:rsidRDefault="00D7117A" w:rsidP="00D7117A">
      <w:pPr>
        <w:rPr>
          <w:bCs/>
          <w:lang w:val="en-US"/>
        </w:rPr>
      </w:pPr>
      <w:r w:rsidRPr="00561594">
        <w:rPr>
          <w:bCs/>
          <w:lang w:val="en-US"/>
        </w:rPr>
        <w:t xml:space="preserve">A forecast for </w:t>
      </w:r>
      <w:r w:rsidRPr="00953E3C">
        <w:rPr>
          <w:bCs/>
          <w:u w:val="single"/>
          <w:lang w:val="en-US"/>
        </w:rPr>
        <w:t>Other Personnel Non PRI Specific cos</w:t>
      </w:r>
      <w:r w:rsidR="00ED793D">
        <w:rPr>
          <w:bCs/>
          <w:u w:val="single"/>
          <w:lang w:val="en-US"/>
        </w:rPr>
        <w:t>t</w:t>
      </w:r>
      <w:r w:rsidRPr="00561594">
        <w:rPr>
          <w:bCs/>
          <w:lang w:val="en-US"/>
        </w:rPr>
        <w:t xml:space="preserve"> should only be created for the type of expenditures that will be posted to the following GL accounts:</w:t>
      </w:r>
    </w:p>
    <w:p w14:paraId="7117161A" w14:textId="4962DA2C" w:rsidR="00D7117A" w:rsidRPr="00ED42E9" w:rsidRDefault="00D7117A" w:rsidP="00F6090D">
      <w:pPr>
        <w:pStyle w:val="ListParagraph"/>
        <w:numPr>
          <w:ilvl w:val="0"/>
          <w:numId w:val="9"/>
        </w:numPr>
        <w:spacing w:before="60"/>
        <w:ind w:left="714" w:hanging="357"/>
        <w:contextualSpacing w:val="0"/>
        <w:rPr>
          <w:bCs/>
          <w:lang w:val="en-US"/>
        </w:rPr>
      </w:pPr>
      <w:r w:rsidRPr="00ED42E9">
        <w:rPr>
          <w:bCs/>
          <w:lang w:val="en-US"/>
        </w:rPr>
        <w:t>Shared Cost Programs - Payments to OGD - Personnel costs (GL 525111)</w:t>
      </w:r>
    </w:p>
    <w:p w14:paraId="1DB7E05A" w14:textId="77777777" w:rsidR="00D7117A" w:rsidRPr="00ED42E9" w:rsidRDefault="00D7117A" w:rsidP="00F6090D">
      <w:pPr>
        <w:pStyle w:val="ListParagraph"/>
        <w:numPr>
          <w:ilvl w:val="0"/>
          <w:numId w:val="9"/>
        </w:numPr>
        <w:spacing w:before="60"/>
        <w:ind w:left="714" w:hanging="357"/>
        <w:contextualSpacing w:val="0"/>
        <w:rPr>
          <w:bCs/>
          <w:lang w:val="en-US"/>
        </w:rPr>
      </w:pPr>
      <w:r w:rsidRPr="00ED42E9">
        <w:rPr>
          <w:bCs/>
          <w:lang w:val="en-US"/>
        </w:rPr>
        <w:t>Shared Cost Programs - Recoveries from OGD - Personnel costs (GL 525112)</w:t>
      </w:r>
    </w:p>
    <w:p w14:paraId="3226AEBE" w14:textId="77777777" w:rsidR="00D7117A" w:rsidRPr="00ED42E9" w:rsidRDefault="00D7117A" w:rsidP="00F6090D">
      <w:pPr>
        <w:pStyle w:val="ListParagraph"/>
        <w:numPr>
          <w:ilvl w:val="0"/>
          <w:numId w:val="9"/>
        </w:numPr>
        <w:spacing w:before="60"/>
        <w:ind w:left="714" w:hanging="357"/>
        <w:contextualSpacing w:val="0"/>
        <w:rPr>
          <w:bCs/>
          <w:lang w:val="en-US"/>
        </w:rPr>
      </w:pPr>
      <w:r w:rsidRPr="00ED42E9">
        <w:rPr>
          <w:bCs/>
          <w:lang w:val="en-US"/>
        </w:rPr>
        <w:t>Incremental costs - Payments to OGD - Personnel costs (GL 525121)</w:t>
      </w:r>
    </w:p>
    <w:p w14:paraId="110A84E5" w14:textId="77777777" w:rsidR="00D7117A" w:rsidRPr="00ED42E9" w:rsidRDefault="00D7117A" w:rsidP="00F6090D">
      <w:pPr>
        <w:pStyle w:val="ListParagraph"/>
        <w:numPr>
          <w:ilvl w:val="0"/>
          <w:numId w:val="9"/>
        </w:numPr>
        <w:spacing w:before="60"/>
        <w:ind w:left="714" w:hanging="357"/>
        <w:contextualSpacing w:val="0"/>
        <w:rPr>
          <w:bCs/>
          <w:lang w:val="en-US"/>
        </w:rPr>
      </w:pPr>
      <w:r w:rsidRPr="00ED42E9">
        <w:rPr>
          <w:bCs/>
          <w:lang w:val="en-US"/>
        </w:rPr>
        <w:t>Incremental costs - Recoveries from OGD - Personnel costs (GL 525122)</w:t>
      </w:r>
    </w:p>
    <w:p w14:paraId="5B98FECF" w14:textId="77777777" w:rsidR="00D7117A" w:rsidRPr="00ED42E9" w:rsidRDefault="00D7117A" w:rsidP="00F6090D">
      <w:pPr>
        <w:pStyle w:val="ListParagraph"/>
        <w:numPr>
          <w:ilvl w:val="0"/>
          <w:numId w:val="9"/>
        </w:numPr>
        <w:spacing w:before="60"/>
        <w:ind w:left="714" w:hanging="357"/>
        <w:contextualSpacing w:val="0"/>
        <w:rPr>
          <w:bCs/>
          <w:lang w:val="en-US"/>
        </w:rPr>
      </w:pPr>
      <w:r w:rsidRPr="00ED42E9">
        <w:rPr>
          <w:bCs/>
          <w:lang w:val="en-US"/>
        </w:rPr>
        <w:t>Reallocation of expenses and costs within ESDC - Charges - Personnel costs (GL 525202)</w:t>
      </w:r>
    </w:p>
    <w:p w14:paraId="17743F31" w14:textId="77777777" w:rsidR="00D7117A" w:rsidRPr="00ED42E9" w:rsidRDefault="00D7117A" w:rsidP="00F6090D">
      <w:pPr>
        <w:pStyle w:val="ListParagraph"/>
        <w:numPr>
          <w:ilvl w:val="0"/>
          <w:numId w:val="9"/>
        </w:numPr>
        <w:spacing w:before="60"/>
        <w:ind w:left="714" w:hanging="357"/>
        <w:contextualSpacing w:val="0"/>
        <w:rPr>
          <w:bCs/>
          <w:lang w:val="en-US"/>
        </w:rPr>
      </w:pPr>
      <w:r w:rsidRPr="00ED42E9">
        <w:rPr>
          <w:bCs/>
          <w:lang w:val="en-US"/>
        </w:rPr>
        <w:t>Reallocation of expenses and costs within ESDC - Recoveries - Personnel costs (GL 525203)</w:t>
      </w:r>
    </w:p>
    <w:p w14:paraId="61A8F52B" w14:textId="77777777" w:rsidR="00D7117A" w:rsidRPr="00ED42E9" w:rsidRDefault="00D7117A" w:rsidP="00F6090D">
      <w:pPr>
        <w:pStyle w:val="ListParagraph"/>
        <w:numPr>
          <w:ilvl w:val="0"/>
          <w:numId w:val="9"/>
        </w:numPr>
        <w:spacing w:before="60"/>
        <w:ind w:left="714" w:hanging="357"/>
        <w:contextualSpacing w:val="0"/>
        <w:rPr>
          <w:bCs/>
          <w:lang w:val="en-US"/>
        </w:rPr>
      </w:pPr>
      <w:r w:rsidRPr="00DB6AFB">
        <w:rPr>
          <w:bCs/>
          <w:lang w:val="en-US"/>
        </w:rPr>
        <w:t>Customized Information Services (CIS) – Internal Charges - Personnel costs</w:t>
      </w:r>
      <w:r w:rsidRPr="00ED42E9">
        <w:rPr>
          <w:bCs/>
          <w:lang w:val="en-US"/>
        </w:rPr>
        <w:t xml:space="preserve"> (GL 525211)</w:t>
      </w:r>
    </w:p>
    <w:p w14:paraId="29D25F92" w14:textId="77777777" w:rsidR="00D7117A" w:rsidRPr="00ED42E9" w:rsidRDefault="00D7117A" w:rsidP="00F6090D">
      <w:pPr>
        <w:pStyle w:val="ListParagraph"/>
        <w:numPr>
          <w:ilvl w:val="0"/>
          <w:numId w:val="9"/>
        </w:numPr>
        <w:spacing w:before="60"/>
        <w:ind w:left="714" w:hanging="357"/>
        <w:contextualSpacing w:val="0"/>
        <w:rPr>
          <w:bCs/>
          <w:lang w:val="en-US"/>
        </w:rPr>
      </w:pPr>
      <w:r w:rsidRPr="00D8582C">
        <w:rPr>
          <w:bCs/>
          <w:lang w:val="en-US"/>
        </w:rPr>
        <w:t>Customized Information Services (CIS) - Internal recoveries - Personnel costs</w:t>
      </w:r>
      <w:r w:rsidRPr="00ED42E9" w:rsidDel="0087583F">
        <w:rPr>
          <w:bCs/>
          <w:lang w:val="en-US"/>
        </w:rPr>
        <w:t xml:space="preserve"> </w:t>
      </w:r>
      <w:r w:rsidRPr="00ED42E9">
        <w:rPr>
          <w:bCs/>
          <w:lang w:val="en-US"/>
        </w:rPr>
        <w:t>(GL 525212)</w:t>
      </w:r>
    </w:p>
    <w:p w14:paraId="06A91B91" w14:textId="77777777" w:rsidR="00D7117A" w:rsidRPr="00ED42E9" w:rsidRDefault="00D7117A" w:rsidP="00F6090D">
      <w:pPr>
        <w:pStyle w:val="ListParagraph"/>
        <w:numPr>
          <w:ilvl w:val="0"/>
          <w:numId w:val="9"/>
        </w:numPr>
        <w:spacing w:before="60"/>
        <w:ind w:left="714" w:hanging="357"/>
        <w:contextualSpacing w:val="0"/>
        <w:rPr>
          <w:bCs/>
          <w:lang w:val="en-US"/>
        </w:rPr>
      </w:pPr>
      <w:r w:rsidRPr="00ED42E9">
        <w:rPr>
          <w:bCs/>
          <w:lang w:val="en-US"/>
        </w:rPr>
        <w:t>GECA Administration - Compensation Claim Expenses - ESDC Employees (GL 526701)</w:t>
      </w:r>
    </w:p>
    <w:p w14:paraId="20932DA5" w14:textId="77777777" w:rsidR="00D7117A" w:rsidRPr="00ED42E9" w:rsidRDefault="00D7117A" w:rsidP="00F6090D">
      <w:pPr>
        <w:pStyle w:val="ListParagraph"/>
        <w:numPr>
          <w:ilvl w:val="0"/>
          <w:numId w:val="9"/>
        </w:numPr>
        <w:spacing w:before="60"/>
        <w:ind w:left="714" w:hanging="357"/>
        <w:contextualSpacing w:val="0"/>
        <w:rPr>
          <w:bCs/>
          <w:lang w:val="en-US"/>
        </w:rPr>
      </w:pPr>
      <w:r w:rsidRPr="00ED42E9">
        <w:rPr>
          <w:bCs/>
          <w:lang w:val="en-US"/>
        </w:rPr>
        <w:t>General administrative services costs - Payments to OGD - Personnel costs (GL 525101)</w:t>
      </w:r>
    </w:p>
    <w:p w14:paraId="11440B64" w14:textId="75B6D92E" w:rsidR="00D7117A" w:rsidRDefault="00D7117A" w:rsidP="0060233B">
      <w:pPr>
        <w:pStyle w:val="ListParagraph"/>
        <w:rPr>
          <w:rFonts w:cs="Arial"/>
          <w:b/>
          <w:bCs/>
          <w:kern w:val="32"/>
          <w:sz w:val="32"/>
          <w:szCs w:val="32"/>
          <w:lang w:val="en-US"/>
        </w:rPr>
      </w:pPr>
      <w:r w:rsidRPr="00ED793D">
        <w:rPr>
          <w:bCs/>
          <w:lang w:val="en-US"/>
        </w:rPr>
        <w:t>General administrative services costs - Recoveries from OGD - Personnel costs (GL 525102)</w:t>
      </w:r>
    </w:p>
    <w:p w14:paraId="7A75C727" w14:textId="748A0F01" w:rsidR="00D7117A" w:rsidRDefault="00D7117A" w:rsidP="00D7117A">
      <w:pPr>
        <w:pStyle w:val="Heading1"/>
        <w:ind w:left="432" w:hanging="432"/>
        <w:rPr>
          <w:lang w:val="en-US"/>
        </w:rPr>
      </w:pPr>
      <w:bookmarkStart w:id="47" w:name="_Toc72402771"/>
      <w:r>
        <w:rPr>
          <w:lang w:val="en-US"/>
        </w:rPr>
        <w:lastRenderedPageBreak/>
        <w:t xml:space="preserve">ANNEX D </w:t>
      </w:r>
      <w:r w:rsidRPr="0053636C">
        <w:rPr>
          <w:lang w:val="en-US"/>
        </w:rPr>
        <w:t>– BI</w:t>
      </w:r>
      <w:r>
        <w:rPr>
          <w:lang w:val="en-US"/>
        </w:rPr>
        <w:t xml:space="preserve"> Reports and Documentation</w:t>
      </w:r>
      <w:bookmarkEnd w:id="47"/>
    </w:p>
    <w:p w14:paraId="13661C7B" w14:textId="77777777" w:rsidR="00D7117A" w:rsidRDefault="00D7117A" w:rsidP="00D7117A"/>
    <w:tbl>
      <w:tblPr>
        <w:tblStyle w:val="TableGrid"/>
        <w:tblW w:w="0" w:type="auto"/>
        <w:tblLook w:val="04A0" w:firstRow="1" w:lastRow="0" w:firstColumn="1" w:lastColumn="0" w:noHBand="0" w:noVBand="1"/>
      </w:tblPr>
      <w:tblGrid>
        <w:gridCol w:w="2908"/>
        <w:gridCol w:w="6082"/>
      </w:tblGrid>
      <w:tr w:rsidR="00D7117A" w:rsidRPr="00C20DDB" w14:paraId="16B94765" w14:textId="77777777" w:rsidTr="00922FCD">
        <w:trPr>
          <w:trHeight w:val="425"/>
        </w:trPr>
        <w:tc>
          <w:tcPr>
            <w:tcW w:w="9576" w:type="dxa"/>
            <w:gridSpan w:val="2"/>
            <w:shd w:val="clear" w:color="auto" w:fill="F6D4CE" w:themeFill="accent6" w:themeFillTint="66"/>
            <w:vAlign w:val="center"/>
          </w:tcPr>
          <w:p w14:paraId="4F5F5128" w14:textId="77777777" w:rsidR="00D7117A" w:rsidRPr="000573B9" w:rsidRDefault="00660AE1" w:rsidP="00922FCD">
            <w:pPr>
              <w:jc w:val="center"/>
              <w:rPr>
                <w:rFonts w:cs="Arial"/>
                <w:b/>
              </w:rPr>
            </w:pPr>
            <w:hyperlink r:id="rId47" w:history="1">
              <w:r w:rsidR="00D7117A">
                <w:rPr>
                  <w:rStyle w:val="Hyperlink"/>
                  <w:rFonts w:cs="Arial"/>
                  <w:b/>
                </w:rPr>
                <w:t>myEMS (SAP) Portal BI Reports</w:t>
              </w:r>
            </w:hyperlink>
            <w:r w:rsidR="00D7117A" w:rsidRPr="000573B9">
              <w:rPr>
                <w:rFonts w:cs="Arial"/>
                <w:b/>
              </w:rPr>
              <w:t xml:space="preserve"> for FMA and BMS (under Reporting tab)</w:t>
            </w:r>
          </w:p>
        </w:tc>
      </w:tr>
      <w:tr w:rsidR="00D7117A" w:rsidRPr="00C20DDB" w14:paraId="005743EF" w14:textId="77777777" w:rsidTr="00922FCD">
        <w:tc>
          <w:tcPr>
            <w:tcW w:w="3044" w:type="dxa"/>
          </w:tcPr>
          <w:p w14:paraId="5CF4BBB1" w14:textId="77777777" w:rsidR="00D7117A" w:rsidRPr="000573B9" w:rsidRDefault="00D7117A" w:rsidP="00922FCD">
            <w:pPr>
              <w:rPr>
                <w:rFonts w:cs="Arial"/>
                <w:sz w:val="20"/>
              </w:rPr>
            </w:pPr>
            <w:r w:rsidRPr="000573B9">
              <w:rPr>
                <w:rFonts w:cs="Arial"/>
                <w:sz w:val="20"/>
              </w:rPr>
              <w:t>FM05 Outstanding Commitments (Aged) (Analysis)</w:t>
            </w:r>
          </w:p>
        </w:tc>
        <w:tc>
          <w:tcPr>
            <w:tcW w:w="6532" w:type="dxa"/>
          </w:tcPr>
          <w:p w14:paraId="33D15283" w14:textId="77777777" w:rsidR="00D7117A" w:rsidRPr="000573B9" w:rsidRDefault="00D7117A" w:rsidP="00922FCD">
            <w:pPr>
              <w:spacing w:after="80"/>
              <w:rPr>
                <w:rFonts w:cs="Arial"/>
                <w:sz w:val="20"/>
              </w:rPr>
            </w:pPr>
            <w:r w:rsidRPr="000573B9">
              <w:rPr>
                <w:rFonts w:cs="Arial"/>
                <w:color w:val="000000"/>
                <w:sz w:val="20"/>
                <w:szCs w:val="20"/>
              </w:rPr>
              <w:t>Display outstanding commitments (aged), by Fund Center and/or by Fund for a specific fiscal year.</w:t>
            </w:r>
          </w:p>
        </w:tc>
      </w:tr>
      <w:tr w:rsidR="00D7117A" w:rsidRPr="00C20DDB" w14:paraId="25D35115" w14:textId="77777777" w:rsidTr="00922FCD">
        <w:trPr>
          <w:trHeight w:val="125"/>
        </w:trPr>
        <w:tc>
          <w:tcPr>
            <w:tcW w:w="3044" w:type="dxa"/>
          </w:tcPr>
          <w:p w14:paraId="2ED5E138" w14:textId="77777777" w:rsidR="00D7117A" w:rsidRPr="000573B9" w:rsidRDefault="00D7117A" w:rsidP="00922FCD">
            <w:pPr>
              <w:rPr>
                <w:rFonts w:cs="Arial"/>
                <w:sz w:val="20"/>
              </w:rPr>
            </w:pPr>
            <w:r w:rsidRPr="000573B9">
              <w:rPr>
                <w:rFonts w:cs="Arial"/>
                <w:sz w:val="20"/>
              </w:rPr>
              <w:t>FM06 Commitments and Expenditures (Analysis)</w:t>
            </w:r>
          </w:p>
        </w:tc>
        <w:tc>
          <w:tcPr>
            <w:tcW w:w="6532" w:type="dxa"/>
          </w:tcPr>
          <w:p w14:paraId="5E2E006D" w14:textId="77777777" w:rsidR="00D7117A" w:rsidRPr="000573B9" w:rsidRDefault="00D7117A" w:rsidP="00922FCD">
            <w:pPr>
              <w:spacing w:after="80"/>
              <w:rPr>
                <w:rFonts w:cs="Arial"/>
                <w:sz w:val="20"/>
              </w:rPr>
            </w:pPr>
            <w:r w:rsidRPr="000573B9">
              <w:rPr>
                <w:rFonts w:cs="Arial"/>
                <w:color w:val="000000"/>
                <w:sz w:val="20"/>
                <w:szCs w:val="20"/>
              </w:rPr>
              <w:t>Display commitments, actuals, and/or outstanding commitment amounts by Fund Center and/or by Fund for a specific fiscal year.</w:t>
            </w:r>
          </w:p>
        </w:tc>
      </w:tr>
      <w:tr w:rsidR="00D7117A" w:rsidRPr="00C20DDB" w14:paraId="328553D5" w14:textId="77777777" w:rsidTr="00922FCD">
        <w:tc>
          <w:tcPr>
            <w:tcW w:w="3044" w:type="dxa"/>
          </w:tcPr>
          <w:p w14:paraId="36DA534B" w14:textId="77777777" w:rsidR="00D7117A" w:rsidRPr="000573B9" w:rsidRDefault="00D7117A" w:rsidP="00922FCD">
            <w:pPr>
              <w:rPr>
                <w:rFonts w:cs="Arial"/>
                <w:sz w:val="20"/>
              </w:rPr>
            </w:pPr>
            <w:r w:rsidRPr="000573B9">
              <w:rPr>
                <w:rFonts w:cs="Arial"/>
                <w:sz w:val="20"/>
              </w:rPr>
              <w:t>FM28 Budget Analysis (Analysis)</w:t>
            </w:r>
          </w:p>
        </w:tc>
        <w:tc>
          <w:tcPr>
            <w:tcW w:w="6532" w:type="dxa"/>
          </w:tcPr>
          <w:p w14:paraId="70BA34B7" w14:textId="77777777" w:rsidR="00D7117A" w:rsidRPr="000573B9" w:rsidRDefault="00D7117A" w:rsidP="00922FCD">
            <w:pPr>
              <w:spacing w:after="80"/>
              <w:rPr>
                <w:rFonts w:cs="Arial"/>
                <w:color w:val="000000"/>
                <w:sz w:val="20"/>
                <w:szCs w:val="20"/>
              </w:rPr>
            </w:pPr>
            <w:r w:rsidRPr="000573B9">
              <w:rPr>
                <w:rFonts w:cs="Arial"/>
                <w:color w:val="000000"/>
                <w:sz w:val="20"/>
                <w:szCs w:val="20"/>
              </w:rPr>
              <w:t>Display multi-year budget report by Fund Center and/or by Fund and/or by Commitment item etc.</w:t>
            </w:r>
          </w:p>
        </w:tc>
      </w:tr>
      <w:tr w:rsidR="00D7117A" w:rsidRPr="00C20DDB" w14:paraId="26D9196D" w14:textId="77777777" w:rsidTr="00922FCD">
        <w:tc>
          <w:tcPr>
            <w:tcW w:w="3044" w:type="dxa"/>
          </w:tcPr>
          <w:p w14:paraId="3FEDD5E4" w14:textId="77777777" w:rsidR="00D7117A" w:rsidRPr="000573B9" w:rsidRDefault="00D7117A" w:rsidP="00922FCD">
            <w:pPr>
              <w:rPr>
                <w:rFonts w:cs="Arial"/>
                <w:sz w:val="20"/>
              </w:rPr>
            </w:pPr>
            <w:r w:rsidRPr="000573B9">
              <w:rPr>
                <w:rFonts w:cs="Arial"/>
                <w:sz w:val="20"/>
              </w:rPr>
              <w:t>FM23 Surplus Deficit – Current (Analysis)</w:t>
            </w:r>
          </w:p>
        </w:tc>
        <w:tc>
          <w:tcPr>
            <w:tcW w:w="6532" w:type="dxa"/>
          </w:tcPr>
          <w:p w14:paraId="2233588F" w14:textId="77777777" w:rsidR="00D7117A" w:rsidRPr="000573B9" w:rsidRDefault="00D7117A" w:rsidP="00922FCD">
            <w:pPr>
              <w:spacing w:after="80"/>
              <w:rPr>
                <w:rFonts w:cs="Arial"/>
                <w:color w:val="000000"/>
                <w:sz w:val="20"/>
                <w:szCs w:val="20"/>
              </w:rPr>
            </w:pPr>
            <w:r w:rsidRPr="000573B9">
              <w:rPr>
                <w:rFonts w:cs="Arial"/>
                <w:color w:val="000000"/>
                <w:sz w:val="20"/>
                <w:szCs w:val="20"/>
              </w:rPr>
              <w:t>Display forecast information for a Fund Center against the current budget (version 0 by default), including commitments and actuals.</w:t>
            </w:r>
          </w:p>
        </w:tc>
      </w:tr>
      <w:tr w:rsidR="00D7117A" w:rsidRPr="00C20DDB" w14:paraId="3761FC75" w14:textId="77777777" w:rsidTr="00922FCD">
        <w:trPr>
          <w:trHeight w:val="352"/>
        </w:trPr>
        <w:tc>
          <w:tcPr>
            <w:tcW w:w="9576" w:type="dxa"/>
            <w:gridSpan w:val="2"/>
            <w:shd w:val="clear" w:color="auto" w:fill="F6D4CE" w:themeFill="accent6" w:themeFillTint="66"/>
            <w:vAlign w:val="center"/>
          </w:tcPr>
          <w:p w14:paraId="71B13C44" w14:textId="77777777" w:rsidR="00D7117A" w:rsidRPr="000573B9" w:rsidRDefault="00660AE1" w:rsidP="00922FCD">
            <w:pPr>
              <w:jc w:val="center"/>
              <w:rPr>
                <w:rStyle w:val="Hyperlink"/>
              </w:rPr>
            </w:pPr>
            <w:hyperlink r:id="rId48" w:history="1">
              <w:r w:rsidR="00D7117A">
                <w:rPr>
                  <w:rStyle w:val="Hyperlink"/>
                  <w:rFonts w:cs="Arial"/>
                  <w:b/>
                </w:rPr>
                <w:t>myEMS (SAP) Portal BI Reports</w:t>
              </w:r>
            </w:hyperlink>
            <w:r w:rsidR="00D7117A" w:rsidRPr="000573B9">
              <w:rPr>
                <w:rFonts w:cs="Arial"/>
                <w:b/>
              </w:rPr>
              <w:t xml:space="preserve"> for Managers (under Manager Self-Service tab)</w:t>
            </w:r>
          </w:p>
        </w:tc>
      </w:tr>
      <w:tr w:rsidR="00D7117A" w:rsidRPr="00C20DDB" w14:paraId="2660F4CF" w14:textId="77777777" w:rsidTr="00922FCD">
        <w:tc>
          <w:tcPr>
            <w:tcW w:w="3044" w:type="dxa"/>
          </w:tcPr>
          <w:p w14:paraId="451EE2CE" w14:textId="77777777" w:rsidR="00D7117A" w:rsidRPr="000573B9" w:rsidRDefault="00D7117A" w:rsidP="00922FCD">
            <w:pPr>
              <w:rPr>
                <w:rFonts w:cs="Arial"/>
                <w:sz w:val="20"/>
              </w:rPr>
            </w:pPr>
            <w:r w:rsidRPr="000573B9">
              <w:rPr>
                <w:rFonts w:cs="Arial"/>
                <w:sz w:val="20"/>
              </w:rPr>
              <w:t>SFT – Summary Forecast and Expenditures</w:t>
            </w:r>
          </w:p>
        </w:tc>
        <w:tc>
          <w:tcPr>
            <w:tcW w:w="6532" w:type="dxa"/>
          </w:tcPr>
          <w:p w14:paraId="4CEFCB8E" w14:textId="15683AAF" w:rsidR="00D7117A" w:rsidRPr="000573B9" w:rsidRDefault="00D7117A" w:rsidP="00922FCD">
            <w:pPr>
              <w:spacing w:before="100" w:beforeAutospacing="1" w:after="100" w:afterAutospacing="1"/>
              <w:rPr>
                <w:rFonts w:cs="Arial"/>
                <w:sz w:val="20"/>
              </w:rPr>
            </w:pPr>
            <w:r w:rsidRPr="000573B9">
              <w:rPr>
                <w:rFonts w:cs="Arial"/>
                <w:color w:val="000000"/>
                <w:sz w:val="20"/>
                <w:szCs w:val="20"/>
              </w:rPr>
              <w:t xml:space="preserve">This report provides an overview of the total forecast by Employee, Planned Staffing and Global for the whole fiscal year, including current expenditures (employee and global only). It allows for a quick review of the unspent </w:t>
            </w:r>
            <w:r w:rsidR="00382965" w:rsidRPr="000573B9">
              <w:rPr>
                <w:rFonts w:cs="Arial"/>
                <w:color w:val="000000"/>
                <w:sz w:val="20"/>
                <w:szCs w:val="20"/>
              </w:rPr>
              <w:t>forecasts, which</w:t>
            </w:r>
            <w:r w:rsidRPr="000573B9">
              <w:rPr>
                <w:rFonts w:cs="Arial"/>
                <w:color w:val="000000"/>
                <w:sz w:val="20"/>
                <w:szCs w:val="20"/>
              </w:rPr>
              <w:t xml:space="preserve"> can then be analysed in-depth using the detailed reports. </w:t>
            </w:r>
          </w:p>
        </w:tc>
      </w:tr>
      <w:tr w:rsidR="00D7117A" w:rsidRPr="00C20DDB" w14:paraId="5C52FCF4" w14:textId="77777777" w:rsidTr="00922FCD">
        <w:trPr>
          <w:trHeight w:val="125"/>
        </w:trPr>
        <w:tc>
          <w:tcPr>
            <w:tcW w:w="3044" w:type="dxa"/>
          </w:tcPr>
          <w:p w14:paraId="709C6417" w14:textId="77777777" w:rsidR="00D7117A" w:rsidRPr="000B03A3" w:rsidRDefault="00D7117A" w:rsidP="00922FCD">
            <w:pPr>
              <w:rPr>
                <w:rFonts w:cs="Arial"/>
                <w:sz w:val="20"/>
              </w:rPr>
            </w:pPr>
            <w:r w:rsidRPr="000B03A3">
              <w:rPr>
                <w:rFonts w:cs="Arial"/>
                <w:sz w:val="20"/>
              </w:rPr>
              <w:t>SFT – Employees Summary</w:t>
            </w:r>
          </w:p>
        </w:tc>
        <w:tc>
          <w:tcPr>
            <w:tcW w:w="6532" w:type="dxa"/>
          </w:tcPr>
          <w:p w14:paraId="3AB8BDB8" w14:textId="77777777" w:rsidR="00D7117A" w:rsidRPr="00E31D0C" w:rsidRDefault="00D7117A" w:rsidP="00922FCD">
            <w:pPr>
              <w:spacing w:before="100" w:beforeAutospacing="1" w:after="100" w:afterAutospacing="1"/>
              <w:rPr>
                <w:rFonts w:cs="Arial"/>
                <w:sz w:val="20"/>
              </w:rPr>
            </w:pPr>
            <w:r w:rsidRPr="00E31D0C">
              <w:rPr>
                <w:rFonts w:cs="Arial"/>
                <w:color w:val="000000"/>
                <w:sz w:val="20"/>
                <w:szCs w:val="20"/>
              </w:rPr>
              <w:t xml:space="preserve">This report provides a detailed view of the total forecast for each Employee for the whole fiscal year, including current expenditures. </w:t>
            </w:r>
          </w:p>
        </w:tc>
      </w:tr>
      <w:tr w:rsidR="00D7117A" w:rsidRPr="00C20DDB" w14:paraId="5F9AFD2E" w14:textId="77777777" w:rsidTr="00922FCD">
        <w:tc>
          <w:tcPr>
            <w:tcW w:w="3044" w:type="dxa"/>
          </w:tcPr>
          <w:p w14:paraId="76BF16EC" w14:textId="77777777" w:rsidR="00D7117A" w:rsidRPr="000B03A3" w:rsidRDefault="00D7117A" w:rsidP="00922FCD">
            <w:pPr>
              <w:rPr>
                <w:rFonts w:cs="Arial"/>
                <w:sz w:val="20"/>
              </w:rPr>
            </w:pPr>
            <w:r w:rsidRPr="000B03A3">
              <w:rPr>
                <w:rFonts w:cs="Arial"/>
                <w:sz w:val="20"/>
              </w:rPr>
              <w:t>SFT – Global Summary</w:t>
            </w:r>
          </w:p>
        </w:tc>
        <w:tc>
          <w:tcPr>
            <w:tcW w:w="6532" w:type="dxa"/>
          </w:tcPr>
          <w:p w14:paraId="1BDF465C" w14:textId="77777777" w:rsidR="00D7117A" w:rsidRPr="00E31D0C" w:rsidRDefault="00D7117A" w:rsidP="00922FCD">
            <w:pPr>
              <w:spacing w:before="100" w:beforeAutospacing="1" w:after="100" w:afterAutospacing="1"/>
              <w:rPr>
                <w:rFonts w:cs="Arial"/>
                <w:sz w:val="20"/>
              </w:rPr>
            </w:pPr>
            <w:r w:rsidRPr="00E31D0C">
              <w:rPr>
                <w:rFonts w:cs="Arial"/>
                <w:color w:val="000000"/>
                <w:sz w:val="20"/>
                <w:szCs w:val="20"/>
              </w:rPr>
              <w:t xml:space="preserve">This report provides a detailed view of the total forecast by Global component for the whole fiscal year, including current expenditures. </w:t>
            </w:r>
          </w:p>
        </w:tc>
      </w:tr>
      <w:tr w:rsidR="00D7117A" w:rsidRPr="00C20DDB" w14:paraId="4405F391" w14:textId="77777777" w:rsidTr="00922FCD">
        <w:tc>
          <w:tcPr>
            <w:tcW w:w="3044" w:type="dxa"/>
          </w:tcPr>
          <w:p w14:paraId="57EFABAB" w14:textId="77777777" w:rsidR="00D7117A" w:rsidRPr="000B03A3" w:rsidRDefault="00D7117A" w:rsidP="00922FCD">
            <w:pPr>
              <w:rPr>
                <w:rFonts w:cs="Arial"/>
                <w:sz w:val="20"/>
              </w:rPr>
            </w:pPr>
            <w:r w:rsidRPr="000B03A3">
              <w:rPr>
                <w:rFonts w:cs="Arial"/>
                <w:sz w:val="20"/>
              </w:rPr>
              <w:t>SFT – Planned Staffing Summary</w:t>
            </w:r>
          </w:p>
        </w:tc>
        <w:tc>
          <w:tcPr>
            <w:tcW w:w="6532" w:type="dxa"/>
          </w:tcPr>
          <w:p w14:paraId="2099B6C9" w14:textId="77777777" w:rsidR="00D7117A" w:rsidRPr="00E31D0C" w:rsidRDefault="00D7117A" w:rsidP="00922FCD">
            <w:pPr>
              <w:spacing w:before="100" w:beforeAutospacing="1" w:after="100" w:afterAutospacing="1"/>
              <w:rPr>
                <w:rFonts w:cs="Arial"/>
                <w:sz w:val="20"/>
              </w:rPr>
            </w:pPr>
            <w:r w:rsidRPr="00E31D0C">
              <w:rPr>
                <w:rFonts w:cs="Arial"/>
                <w:color w:val="000000"/>
                <w:sz w:val="20"/>
                <w:szCs w:val="20"/>
              </w:rPr>
              <w:t xml:space="preserve">This report provides a detailed view of the total forecast for each Planned Staffing position for the whole fiscal year. </w:t>
            </w:r>
          </w:p>
        </w:tc>
      </w:tr>
      <w:tr w:rsidR="00D7117A" w:rsidRPr="00C20DDB" w14:paraId="0213FE66" w14:textId="77777777" w:rsidTr="00922FCD">
        <w:tc>
          <w:tcPr>
            <w:tcW w:w="3044" w:type="dxa"/>
          </w:tcPr>
          <w:p w14:paraId="335DE482" w14:textId="77777777" w:rsidR="00D7117A" w:rsidRPr="000B03A3" w:rsidRDefault="00D7117A" w:rsidP="00922FCD">
            <w:pPr>
              <w:rPr>
                <w:rFonts w:cs="Arial"/>
                <w:sz w:val="20"/>
              </w:rPr>
            </w:pPr>
            <w:r w:rsidRPr="000B03A3">
              <w:rPr>
                <w:rFonts w:cs="Arial"/>
                <w:sz w:val="20"/>
              </w:rPr>
              <w:t>SFT – Detailed Forecast</w:t>
            </w:r>
          </w:p>
        </w:tc>
        <w:tc>
          <w:tcPr>
            <w:tcW w:w="6532" w:type="dxa"/>
          </w:tcPr>
          <w:p w14:paraId="3414191B" w14:textId="77777777" w:rsidR="00D7117A" w:rsidRPr="00E31D0C" w:rsidRDefault="00D7117A" w:rsidP="00922FCD">
            <w:pPr>
              <w:spacing w:before="100" w:beforeAutospacing="1" w:after="100" w:afterAutospacing="1"/>
              <w:rPr>
                <w:rFonts w:cs="Arial"/>
                <w:sz w:val="20"/>
              </w:rPr>
            </w:pPr>
            <w:r w:rsidRPr="00E31D0C">
              <w:rPr>
                <w:rFonts w:cs="Arial"/>
                <w:color w:val="000000"/>
                <w:sz w:val="20"/>
                <w:szCs w:val="20"/>
              </w:rPr>
              <w:t xml:space="preserve">This report provides a detailed view of the total forecast for each Employee, Planned Staffing position and Global component for the whole fiscal year. </w:t>
            </w:r>
          </w:p>
        </w:tc>
      </w:tr>
      <w:tr w:rsidR="00D7117A" w:rsidRPr="00C20DDB" w14:paraId="001C91FD" w14:textId="77777777" w:rsidTr="00922FCD">
        <w:tc>
          <w:tcPr>
            <w:tcW w:w="3044" w:type="dxa"/>
          </w:tcPr>
          <w:p w14:paraId="54133D82" w14:textId="77777777" w:rsidR="00D7117A" w:rsidRPr="000B03A3" w:rsidRDefault="00D7117A" w:rsidP="00922FCD">
            <w:pPr>
              <w:rPr>
                <w:rFonts w:cs="Arial"/>
                <w:sz w:val="20"/>
              </w:rPr>
            </w:pPr>
            <w:r w:rsidRPr="000B03A3">
              <w:rPr>
                <w:rFonts w:cs="Arial"/>
                <w:sz w:val="20"/>
              </w:rPr>
              <w:t>SFT – Detailed Forecast and Expenditures</w:t>
            </w:r>
          </w:p>
        </w:tc>
        <w:tc>
          <w:tcPr>
            <w:tcW w:w="6532" w:type="dxa"/>
          </w:tcPr>
          <w:p w14:paraId="012B95C0" w14:textId="134096EB" w:rsidR="00D7117A" w:rsidRPr="00E31D0C" w:rsidRDefault="00D7117A" w:rsidP="00D7117A">
            <w:pPr>
              <w:spacing w:before="100" w:beforeAutospacing="1" w:after="100" w:afterAutospacing="1"/>
              <w:rPr>
                <w:rFonts w:cs="Arial"/>
                <w:sz w:val="20"/>
              </w:rPr>
            </w:pPr>
            <w:r w:rsidRPr="00E31D0C">
              <w:rPr>
                <w:rFonts w:cs="Arial"/>
                <w:color w:val="000000"/>
                <w:sz w:val="20"/>
                <w:szCs w:val="20"/>
              </w:rPr>
              <w:t xml:space="preserve">This report provides a detailed view of the total forecast for each Employee, Planned Staffing position and Global component for the whole fiscal year and including current expenditures (employee and global only). It allows for in-depth monitoring of salary forecasts and actuals, including the reconciliation of forecasts and expenditures at a given point in time </w:t>
            </w:r>
            <w:r w:rsidR="00382965" w:rsidRPr="00E31D0C">
              <w:rPr>
                <w:rFonts w:cs="Arial"/>
                <w:color w:val="000000"/>
                <w:sz w:val="20"/>
                <w:szCs w:val="20"/>
              </w:rPr>
              <w:t>using</w:t>
            </w:r>
            <w:r w:rsidRPr="00E31D0C">
              <w:rPr>
                <w:rFonts w:cs="Arial"/>
                <w:color w:val="000000"/>
                <w:sz w:val="20"/>
                <w:szCs w:val="20"/>
              </w:rPr>
              <w:t xml:space="preserve"> the “Reconcile forecast to” function. </w:t>
            </w:r>
          </w:p>
        </w:tc>
      </w:tr>
      <w:tr w:rsidR="00D7117A" w:rsidRPr="00C20DDB" w14:paraId="1BF64076" w14:textId="77777777" w:rsidTr="00922FCD">
        <w:tc>
          <w:tcPr>
            <w:tcW w:w="3044" w:type="dxa"/>
          </w:tcPr>
          <w:p w14:paraId="631942F8" w14:textId="77777777" w:rsidR="00D7117A" w:rsidRPr="000B03A3" w:rsidRDefault="00D7117A" w:rsidP="00922FCD">
            <w:pPr>
              <w:rPr>
                <w:rFonts w:cs="Arial"/>
                <w:sz w:val="20"/>
              </w:rPr>
            </w:pPr>
            <w:r>
              <w:rPr>
                <w:rFonts w:cs="Arial"/>
                <w:sz w:val="20"/>
              </w:rPr>
              <w:t>FM101 – Free Balance Report</w:t>
            </w:r>
          </w:p>
        </w:tc>
        <w:tc>
          <w:tcPr>
            <w:tcW w:w="6532" w:type="dxa"/>
          </w:tcPr>
          <w:p w14:paraId="5B2B01F0" w14:textId="77777777" w:rsidR="00D7117A" w:rsidRPr="00E31D0C" w:rsidRDefault="00D7117A" w:rsidP="00922FCD">
            <w:pPr>
              <w:spacing w:before="100" w:beforeAutospacing="1" w:after="100" w:afterAutospacing="1"/>
              <w:rPr>
                <w:rFonts w:cs="Arial"/>
                <w:color w:val="000000"/>
                <w:sz w:val="20"/>
                <w:szCs w:val="20"/>
              </w:rPr>
            </w:pPr>
            <w:r>
              <w:rPr>
                <w:rFonts w:cs="Arial"/>
                <w:color w:val="000000"/>
                <w:sz w:val="20"/>
                <w:szCs w:val="20"/>
              </w:rPr>
              <w:t xml:space="preserve">This </w:t>
            </w:r>
            <w:r w:rsidRPr="00D30F4C">
              <w:rPr>
                <w:rFonts w:cs="Arial"/>
                <w:color w:val="000000"/>
                <w:sz w:val="20"/>
                <w:szCs w:val="20"/>
              </w:rPr>
              <w:t>report provides an overview of fund</w:t>
            </w:r>
            <w:r>
              <w:rPr>
                <w:rFonts w:cs="Arial"/>
                <w:color w:val="000000"/>
                <w:sz w:val="20"/>
                <w:szCs w:val="20"/>
              </w:rPr>
              <w:t xml:space="preserve">s available by Fund Center </w:t>
            </w:r>
            <w:r w:rsidRPr="00D30F4C">
              <w:rPr>
                <w:rFonts w:cs="Arial"/>
                <w:color w:val="000000"/>
                <w:sz w:val="20"/>
                <w:szCs w:val="20"/>
              </w:rPr>
              <w:t>against the current budget, including commitments and actuals.  This report is used to analyze and monitor free balance on an ad hoc basis and should be used on a day-to-day basis.</w:t>
            </w:r>
          </w:p>
        </w:tc>
      </w:tr>
      <w:tr w:rsidR="00D7117A" w:rsidRPr="00C20DDB" w14:paraId="250BAB9F" w14:textId="77777777" w:rsidTr="00922FCD">
        <w:tc>
          <w:tcPr>
            <w:tcW w:w="3044" w:type="dxa"/>
          </w:tcPr>
          <w:p w14:paraId="5113B466" w14:textId="77777777" w:rsidR="00D7117A" w:rsidRPr="000B03A3" w:rsidRDefault="00D7117A" w:rsidP="00922FCD">
            <w:pPr>
              <w:rPr>
                <w:rFonts w:cs="Arial"/>
                <w:sz w:val="20"/>
              </w:rPr>
            </w:pPr>
            <w:r>
              <w:rPr>
                <w:rFonts w:cs="Arial"/>
                <w:sz w:val="20"/>
              </w:rPr>
              <w:t>FM2</w:t>
            </w:r>
            <w:r w:rsidRPr="000B03A3">
              <w:rPr>
                <w:rFonts w:cs="Arial"/>
                <w:sz w:val="20"/>
              </w:rPr>
              <w:t xml:space="preserve">01 – Surplus/Deficit Report </w:t>
            </w:r>
          </w:p>
        </w:tc>
        <w:tc>
          <w:tcPr>
            <w:tcW w:w="6532" w:type="dxa"/>
          </w:tcPr>
          <w:p w14:paraId="7BFC9C78" w14:textId="77E59AC2" w:rsidR="00D7117A" w:rsidRPr="00E31D0C" w:rsidRDefault="00D7117A" w:rsidP="007A3A2E">
            <w:pPr>
              <w:spacing w:before="100" w:beforeAutospacing="1" w:after="100" w:afterAutospacing="1"/>
              <w:rPr>
                <w:rFonts w:cs="Arial"/>
                <w:color w:val="000000"/>
                <w:sz w:val="20"/>
                <w:szCs w:val="20"/>
              </w:rPr>
            </w:pPr>
            <w:r w:rsidRPr="00E31D0C">
              <w:rPr>
                <w:rFonts w:cs="Arial"/>
                <w:color w:val="000000"/>
                <w:sz w:val="20"/>
                <w:szCs w:val="20"/>
              </w:rPr>
              <w:t>This report provides a</w:t>
            </w:r>
            <w:r>
              <w:rPr>
                <w:rFonts w:cs="Arial"/>
                <w:color w:val="000000"/>
                <w:sz w:val="20"/>
                <w:szCs w:val="20"/>
              </w:rPr>
              <w:t xml:space="preserve"> detailed and a</w:t>
            </w:r>
            <w:r w:rsidRPr="00E31D0C">
              <w:rPr>
                <w:rFonts w:cs="Arial"/>
                <w:color w:val="000000"/>
                <w:sz w:val="20"/>
                <w:szCs w:val="20"/>
              </w:rPr>
              <w:t xml:space="preserve"> high-level view, by commitment item group and by Fund Center, the forecast information against the </w:t>
            </w:r>
            <w:r>
              <w:rPr>
                <w:rFonts w:cs="Arial"/>
                <w:color w:val="000000"/>
                <w:sz w:val="20"/>
                <w:szCs w:val="20"/>
              </w:rPr>
              <w:t>notional b</w:t>
            </w:r>
            <w:r w:rsidRPr="00E31D0C">
              <w:rPr>
                <w:rFonts w:cs="Arial"/>
                <w:color w:val="000000"/>
                <w:sz w:val="20"/>
                <w:szCs w:val="20"/>
              </w:rPr>
              <w:t xml:space="preserve">udget (approved budget and approved </w:t>
            </w:r>
            <w:r w:rsidR="007A3A2E">
              <w:rPr>
                <w:rFonts w:cs="Arial"/>
                <w:color w:val="000000"/>
                <w:sz w:val="20"/>
                <w:szCs w:val="20"/>
              </w:rPr>
              <w:t>potential funding for planning purposes</w:t>
            </w:r>
            <w:r w:rsidRPr="00E31D0C">
              <w:rPr>
                <w:rFonts w:cs="Arial"/>
                <w:color w:val="000000"/>
                <w:sz w:val="20"/>
                <w:szCs w:val="20"/>
              </w:rPr>
              <w:t>), as well as commitments and actual expenditures.</w:t>
            </w:r>
            <w:r>
              <w:rPr>
                <w:rFonts w:cs="Arial"/>
                <w:color w:val="000000"/>
                <w:sz w:val="20"/>
                <w:szCs w:val="20"/>
              </w:rPr>
              <w:t xml:space="preserve"> There are four different layouts for this report.</w:t>
            </w:r>
            <w:r w:rsidRPr="00E31D0C">
              <w:rPr>
                <w:rFonts w:cs="Arial"/>
                <w:color w:val="000000"/>
                <w:sz w:val="20"/>
                <w:szCs w:val="20"/>
              </w:rPr>
              <w:t xml:space="preserve"> This report is used to analyse, monitor and present consolidated forecast information and should be run during the quarterly forecasting exercises at P3, P6, P8 and P10. </w:t>
            </w:r>
          </w:p>
        </w:tc>
      </w:tr>
      <w:tr w:rsidR="00D7117A" w:rsidRPr="00C20DDB" w14:paraId="0C63B0B6" w14:textId="77777777" w:rsidTr="00922FCD">
        <w:tc>
          <w:tcPr>
            <w:tcW w:w="3044" w:type="dxa"/>
          </w:tcPr>
          <w:p w14:paraId="4BC3A856" w14:textId="77777777" w:rsidR="00D7117A" w:rsidRPr="000B03A3" w:rsidRDefault="00D7117A" w:rsidP="00922FCD">
            <w:pPr>
              <w:rPr>
                <w:rFonts w:cs="Arial"/>
                <w:sz w:val="20"/>
              </w:rPr>
            </w:pPr>
            <w:r w:rsidRPr="000B03A3">
              <w:rPr>
                <w:rFonts w:cs="Arial"/>
                <w:sz w:val="20"/>
              </w:rPr>
              <w:t xml:space="preserve">FM301 – Commitments and Expenditures </w:t>
            </w:r>
          </w:p>
        </w:tc>
        <w:tc>
          <w:tcPr>
            <w:tcW w:w="6532" w:type="dxa"/>
          </w:tcPr>
          <w:p w14:paraId="2C1DC036" w14:textId="691AB6A5" w:rsidR="00D7117A" w:rsidRPr="00E31D0C" w:rsidRDefault="00D7117A" w:rsidP="00382965">
            <w:pPr>
              <w:spacing w:before="100" w:beforeAutospacing="1" w:after="100" w:afterAutospacing="1"/>
              <w:rPr>
                <w:rFonts w:cs="Arial"/>
                <w:color w:val="000000"/>
                <w:sz w:val="20"/>
                <w:szCs w:val="20"/>
              </w:rPr>
            </w:pPr>
            <w:r>
              <w:rPr>
                <w:rFonts w:cs="Arial"/>
                <w:color w:val="000000"/>
                <w:sz w:val="20"/>
                <w:szCs w:val="20"/>
              </w:rPr>
              <w:t>This</w:t>
            </w:r>
            <w:r w:rsidRPr="00E31D0C">
              <w:rPr>
                <w:rFonts w:cs="Arial"/>
                <w:color w:val="000000"/>
                <w:sz w:val="20"/>
                <w:szCs w:val="20"/>
              </w:rPr>
              <w:t xml:space="preserve"> report provides a de</w:t>
            </w:r>
            <w:r>
              <w:rPr>
                <w:rFonts w:cs="Arial"/>
                <w:color w:val="000000"/>
                <w:sz w:val="20"/>
                <w:szCs w:val="20"/>
              </w:rPr>
              <w:t>tailed view, by Fund Center</w:t>
            </w:r>
            <w:r w:rsidRPr="00E31D0C">
              <w:rPr>
                <w:rFonts w:cs="Arial"/>
                <w:color w:val="000000"/>
                <w:sz w:val="20"/>
                <w:szCs w:val="20"/>
              </w:rPr>
              <w:t xml:space="preserve"> and Fund, of outstanding commitments and actual expenditures. This report is </w:t>
            </w:r>
            <w:r w:rsidRPr="00E31D0C">
              <w:rPr>
                <w:rFonts w:cs="Arial"/>
                <w:color w:val="000000"/>
                <w:sz w:val="20"/>
                <w:szCs w:val="20"/>
              </w:rPr>
              <w:lastRenderedPageBreak/>
              <w:t xml:space="preserve">used to analyse and monitor commitment and expenditures on an ad hoc basis and should be used on a regular basis. </w:t>
            </w:r>
          </w:p>
        </w:tc>
      </w:tr>
      <w:tr w:rsidR="00D7117A" w:rsidRPr="00C20DDB" w14:paraId="1536F8DC" w14:textId="77777777" w:rsidTr="00922FCD">
        <w:tc>
          <w:tcPr>
            <w:tcW w:w="3044" w:type="dxa"/>
          </w:tcPr>
          <w:p w14:paraId="677EE878" w14:textId="77777777" w:rsidR="00D7117A" w:rsidRPr="000B03A3" w:rsidRDefault="00D7117A" w:rsidP="00922FCD">
            <w:pPr>
              <w:rPr>
                <w:rFonts w:cs="Arial"/>
                <w:sz w:val="20"/>
              </w:rPr>
            </w:pPr>
            <w:r w:rsidRPr="000B03A3">
              <w:rPr>
                <w:rFonts w:cs="Arial"/>
                <w:sz w:val="20"/>
              </w:rPr>
              <w:lastRenderedPageBreak/>
              <w:t xml:space="preserve">FM302 - Outstanding Commitments (Aged) </w:t>
            </w:r>
          </w:p>
        </w:tc>
        <w:tc>
          <w:tcPr>
            <w:tcW w:w="6532" w:type="dxa"/>
          </w:tcPr>
          <w:p w14:paraId="0AA91FD6" w14:textId="77777777" w:rsidR="00D7117A" w:rsidRDefault="00D7117A" w:rsidP="00922FCD">
            <w:pPr>
              <w:spacing w:before="100" w:beforeAutospacing="1" w:after="100" w:afterAutospacing="1"/>
              <w:rPr>
                <w:rFonts w:cs="Arial"/>
                <w:color w:val="000000"/>
                <w:sz w:val="20"/>
                <w:szCs w:val="20"/>
              </w:rPr>
            </w:pPr>
            <w:r w:rsidRPr="000D121D">
              <w:rPr>
                <w:rFonts w:cs="Arial"/>
                <w:color w:val="000000"/>
                <w:sz w:val="20"/>
                <w:szCs w:val="20"/>
              </w:rPr>
              <w:t>Display outstand</w:t>
            </w:r>
            <w:r>
              <w:rPr>
                <w:rFonts w:cs="Arial"/>
                <w:color w:val="000000"/>
                <w:sz w:val="20"/>
                <w:szCs w:val="20"/>
              </w:rPr>
              <w:t>ing commitments (aged), by F</w:t>
            </w:r>
            <w:r w:rsidRPr="000D121D">
              <w:rPr>
                <w:rFonts w:cs="Arial"/>
                <w:color w:val="000000"/>
                <w:sz w:val="20"/>
                <w:szCs w:val="20"/>
              </w:rPr>
              <w:t>und</w:t>
            </w:r>
            <w:r>
              <w:rPr>
                <w:rFonts w:cs="Arial"/>
                <w:color w:val="000000"/>
                <w:sz w:val="20"/>
                <w:szCs w:val="20"/>
              </w:rPr>
              <w:t xml:space="preserve"> C</w:t>
            </w:r>
            <w:r w:rsidRPr="000D121D">
              <w:rPr>
                <w:rFonts w:cs="Arial"/>
                <w:color w:val="000000"/>
                <w:sz w:val="20"/>
                <w:szCs w:val="20"/>
              </w:rPr>
              <w:t>enter</w:t>
            </w:r>
            <w:r>
              <w:rPr>
                <w:rFonts w:cs="Arial"/>
                <w:color w:val="000000"/>
                <w:sz w:val="20"/>
                <w:szCs w:val="20"/>
              </w:rPr>
              <w:t xml:space="preserve"> and/or by F</w:t>
            </w:r>
            <w:r w:rsidRPr="000D121D">
              <w:rPr>
                <w:rFonts w:cs="Arial"/>
                <w:color w:val="000000"/>
                <w:sz w:val="20"/>
                <w:szCs w:val="20"/>
              </w:rPr>
              <w:t>und for a specific fiscal year.</w:t>
            </w:r>
          </w:p>
        </w:tc>
      </w:tr>
    </w:tbl>
    <w:p w14:paraId="78F5D886" w14:textId="77777777" w:rsidR="00D7117A" w:rsidRDefault="00D7117A" w:rsidP="00D7117A"/>
    <w:tbl>
      <w:tblPr>
        <w:tblStyle w:val="TableGrid"/>
        <w:tblW w:w="0" w:type="auto"/>
        <w:tblLook w:val="04A0" w:firstRow="1" w:lastRow="0" w:firstColumn="1" w:lastColumn="0" w:noHBand="0" w:noVBand="1"/>
      </w:tblPr>
      <w:tblGrid>
        <w:gridCol w:w="2812"/>
        <w:gridCol w:w="6178"/>
      </w:tblGrid>
      <w:tr w:rsidR="00D7117A" w:rsidRPr="00592B03" w14:paraId="00B7EB22" w14:textId="77777777" w:rsidTr="00D7117A">
        <w:trPr>
          <w:trHeight w:val="432"/>
        </w:trPr>
        <w:tc>
          <w:tcPr>
            <w:tcW w:w="8990" w:type="dxa"/>
            <w:gridSpan w:val="2"/>
            <w:shd w:val="clear" w:color="auto" w:fill="F6D4CE" w:themeFill="accent6" w:themeFillTint="66"/>
            <w:vAlign w:val="center"/>
          </w:tcPr>
          <w:p w14:paraId="0A808D43" w14:textId="77777777" w:rsidR="00D7117A" w:rsidRPr="00592B03" w:rsidRDefault="00D7117A" w:rsidP="00922FCD">
            <w:pPr>
              <w:jc w:val="center"/>
              <w:rPr>
                <w:rFonts w:cs="Arial"/>
                <w:b/>
              </w:rPr>
            </w:pPr>
            <w:r w:rsidRPr="00592B03">
              <w:rPr>
                <w:rFonts w:cs="Arial"/>
                <w:b/>
              </w:rPr>
              <w:t>BI and the non-salary forecasting tool Instructions</w:t>
            </w:r>
          </w:p>
        </w:tc>
      </w:tr>
      <w:tr w:rsidR="00D7117A" w:rsidRPr="00592B03" w14:paraId="4A5A818D" w14:textId="77777777" w:rsidTr="00D7117A">
        <w:tc>
          <w:tcPr>
            <w:tcW w:w="2812" w:type="dxa"/>
          </w:tcPr>
          <w:p w14:paraId="2AC415C6" w14:textId="77777777" w:rsidR="00D7117A" w:rsidRPr="00592B03" w:rsidRDefault="00D7117A" w:rsidP="00922FCD">
            <w:pPr>
              <w:rPr>
                <w:rFonts w:cs="Arial"/>
                <w:sz w:val="20"/>
              </w:rPr>
            </w:pPr>
            <w:r w:rsidRPr="00592B03">
              <w:rPr>
                <w:rFonts w:cs="Arial"/>
                <w:sz w:val="20"/>
              </w:rPr>
              <w:t>BI FM Reporting</w:t>
            </w:r>
          </w:p>
        </w:tc>
        <w:tc>
          <w:tcPr>
            <w:tcW w:w="6178" w:type="dxa"/>
          </w:tcPr>
          <w:p w14:paraId="3F841D08" w14:textId="77777777" w:rsidR="00D7117A" w:rsidRPr="00592B03" w:rsidRDefault="00660AE1" w:rsidP="00922FCD">
            <w:pPr>
              <w:rPr>
                <w:rFonts w:cs="Arial"/>
                <w:sz w:val="20"/>
              </w:rPr>
            </w:pPr>
            <w:hyperlink r:id="rId49" w:history="1">
              <w:r w:rsidR="00D7117A" w:rsidRPr="00592B03">
                <w:rPr>
                  <w:rStyle w:val="Hyperlink"/>
                  <w:rFonts w:cs="Arial"/>
                  <w:sz w:val="20"/>
                </w:rPr>
                <w:t>http://nspkipws.service.gc.ca/gm/folder-1.11.197275?mode=EU</w:t>
              </w:r>
            </w:hyperlink>
          </w:p>
        </w:tc>
      </w:tr>
      <w:tr w:rsidR="00D7117A" w:rsidRPr="00C20DDB" w14:paraId="7F62BCBC" w14:textId="77777777" w:rsidTr="00D7117A">
        <w:trPr>
          <w:trHeight w:val="125"/>
        </w:trPr>
        <w:tc>
          <w:tcPr>
            <w:tcW w:w="2812" w:type="dxa"/>
          </w:tcPr>
          <w:p w14:paraId="0D28E4E1" w14:textId="77777777" w:rsidR="00D7117A" w:rsidRPr="00592B03" w:rsidRDefault="00D7117A" w:rsidP="00922FCD">
            <w:pPr>
              <w:rPr>
                <w:rFonts w:cs="Arial"/>
                <w:sz w:val="20"/>
              </w:rPr>
            </w:pPr>
            <w:r w:rsidRPr="00592B03">
              <w:rPr>
                <w:rFonts w:cs="Arial"/>
                <w:sz w:val="20"/>
              </w:rPr>
              <w:t>Non-salary forecasting tool</w:t>
            </w:r>
          </w:p>
        </w:tc>
        <w:tc>
          <w:tcPr>
            <w:tcW w:w="6178" w:type="dxa"/>
          </w:tcPr>
          <w:p w14:paraId="74E1395E" w14:textId="794117C5" w:rsidR="00D7117A" w:rsidRPr="00F00681" w:rsidRDefault="00660AE1" w:rsidP="00922FCD">
            <w:pPr>
              <w:rPr>
                <w:rFonts w:cs="Arial"/>
                <w:sz w:val="20"/>
              </w:rPr>
            </w:pPr>
            <w:hyperlink r:id="rId50" w:history="1">
              <w:r w:rsidR="00D7117A" w:rsidRPr="003C29FC">
                <w:rPr>
                  <w:rStyle w:val="Hyperlink"/>
                  <w:rFonts w:cs="Arial"/>
                  <w:sz w:val="20"/>
                </w:rPr>
                <w:t>http://nspkipws.service.gc.ca/gm/folder-1.11.197254?mode=EU</w:t>
              </w:r>
            </w:hyperlink>
          </w:p>
        </w:tc>
      </w:tr>
    </w:tbl>
    <w:p w14:paraId="09EF8697" w14:textId="77777777" w:rsidR="00D7117A" w:rsidRDefault="00D7117A" w:rsidP="00D7117A">
      <w:pPr>
        <w:rPr>
          <w:lang w:val="en-US"/>
        </w:rPr>
      </w:pPr>
      <w:bookmarkStart w:id="48" w:name="_Toc356388401"/>
    </w:p>
    <w:bookmarkEnd w:id="48"/>
    <w:p w14:paraId="450AFFEF" w14:textId="4A599FE5" w:rsidR="00D7117A" w:rsidRDefault="00D7117A" w:rsidP="00D7117A">
      <w:pPr>
        <w:pStyle w:val="Heading1"/>
        <w:ind w:left="432" w:hanging="432"/>
        <w:rPr>
          <w:lang w:val="en-US"/>
        </w:rPr>
      </w:pPr>
      <w:r>
        <w:rPr>
          <w:lang w:val="en-US"/>
        </w:rPr>
        <w:br w:type="page"/>
      </w:r>
      <w:bookmarkStart w:id="49" w:name="_Toc72402772"/>
      <w:r w:rsidRPr="00F00681">
        <w:rPr>
          <w:lang w:val="en-US"/>
        </w:rPr>
        <w:lastRenderedPageBreak/>
        <w:t xml:space="preserve">ANNEX </w:t>
      </w:r>
      <w:r>
        <w:rPr>
          <w:lang w:val="en-US"/>
        </w:rPr>
        <w:t>E</w:t>
      </w:r>
      <w:r w:rsidRPr="00F00681">
        <w:rPr>
          <w:lang w:val="en-US"/>
        </w:rPr>
        <w:t xml:space="preserve"> – Chief Financial Officer Branch (CFOB) Key</w:t>
      </w:r>
      <w:r w:rsidR="002C41C5">
        <w:rPr>
          <w:lang w:val="en-US"/>
        </w:rPr>
        <w:t xml:space="preserve"> </w:t>
      </w:r>
      <w:r w:rsidRPr="00F00681">
        <w:rPr>
          <w:lang w:val="en-US"/>
        </w:rPr>
        <w:t>Contacts</w:t>
      </w:r>
      <w:bookmarkEnd w:id="49"/>
    </w:p>
    <w:p w14:paraId="52094CB0" w14:textId="77777777" w:rsidR="00D7117A" w:rsidRPr="00C20DDB" w:rsidRDefault="00D7117A" w:rsidP="00D7117A">
      <w:pPr>
        <w:rPr>
          <w:sz w:val="14"/>
          <w:lang w:val="en-US"/>
        </w:rPr>
      </w:pPr>
    </w:p>
    <w:tbl>
      <w:tblPr>
        <w:tblW w:w="10245" w:type="dxa"/>
        <w:tblInd w:w="93" w:type="dxa"/>
        <w:tblLook w:val="04A0" w:firstRow="1" w:lastRow="0" w:firstColumn="1" w:lastColumn="0" w:noHBand="0" w:noVBand="1"/>
      </w:tblPr>
      <w:tblGrid>
        <w:gridCol w:w="3134"/>
        <w:gridCol w:w="7111"/>
      </w:tblGrid>
      <w:tr w:rsidR="00D7117A" w:rsidRPr="00C20DDB" w14:paraId="05467D4A" w14:textId="77777777" w:rsidTr="007933B1">
        <w:trPr>
          <w:trHeight w:val="475"/>
        </w:trPr>
        <w:tc>
          <w:tcPr>
            <w:tcW w:w="3134" w:type="dxa"/>
            <w:tcBorders>
              <w:top w:val="single" w:sz="8" w:space="0" w:color="auto"/>
              <w:left w:val="single" w:sz="8" w:space="0" w:color="auto"/>
              <w:bottom w:val="single" w:sz="8" w:space="0" w:color="auto"/>
              <w:right w:val="single" w:sz="4" w:space="0" w:color="auto"/>
            </w:tcBorders>
            <w:shd w:val="clear" w:color="000000" w:fill="DDD9C4"/>
            <w:noWrap/>
            <w:vAlign w:val="center"/>
            <w:hideMark/>
          </w:tcPr>
          <w:p w14:paraId="49CFE61C" w14:textId="77777777" w:rsidR="00D7117A" w:rsidRPr="00C20DDB" w:rsidRDefault="00D7117A" w:rsidP="00922FCD">
            <w:pPr>
              <w:jc w:val="center"/>
              <w:rPr>
                <w:rFonts w:asciiTheme="minorHAnsi" w:hAnsiTheme="minorHAnsi" w:cs="Arial"/>
                <w:b/>
                <w:bCs/>
                <w:color w:val="000000"/>
                <w:szCs w:val="20"/>
                <w:lang w:val="en-US" w:eastAsia="en-US"/>
              </w:rPr>
            </w:pPr>
            <w:r w:rsidRPr="00C20DDB">
              <w:rPr>
                <w:rFonts w:asciiTheme="minorHAnsi" w:hAnsiTheme="minorHAnsi" w:cs="Arial"/>
                <w:b/>
                <w:bCs/>
                <w:color w:val="000000"/>
                <w:szCs w:val="20"/>
                <w:lang w:val="en-US" w:eastAsia="en-US"/>
              </w:rPr>
              <w:t>FMA</w:t>
            </w:r>
          </w:p>
        </w:tc>
        <w:tc>
          <w:tcPr>
            <w:tcW w:w="7111" w:type="dxa"/>
            <w:tcBorders>
              <w:top w:val="single" w:sz="8" w:space="0" w:color="auto"/>
              <w:left w:val="nil"/>
              <w:bottom w:val="single" w:sz="8" w:space="0" w:color="auto"/>
              <w:right w:val="single" w:sz="8" w:space="0" w:color="auto"/>
            </w:tcBorders>
            <w:shd w:val="clear" w:color="000000" w:fill="DDD9C4"/>
            <w:noWrap/>
            <w:vAlign w:val="center"/>
            <w:hideMark/>
          </w:tcPr>
          <w:p w14:paraId="47BBA8C6" w14:textId="77777777" w:rsidR="00D7117A" w:rsidRPr="00C20DDB" w:rsidRDefault="00D7117A" w:rsidP="00922FCD">
            <w:pPr>
              <w:jc w:val="center"/>
              <w:rPr>
                <w:rFonts w:asciiTheme="minorHAnsi" w:hAnsiTheme="minorHAnsi" w:cs="Arial"/>
                <w:b/>
                <w:bCs/>
                <w:color w:val="000000"/>
                <w:szCs w:val="20"/>
                <w:lang w:val="en-US" w:eastAsia="en-US"/>
              </w:rPr>
            </w:pPr>
            <w:r w:rsidRPr="00C20DDB">
              <w:rPr>
                <w:rFonts w:asciiTheme="minorHAnsi" w:hAnsiTheme="minorHAnsi" w:cs="Arial"/>
                <w:b/>
                <w:bCs/>
                <w:color w:val="000000"/>
                <w:szCs w:val="20"/>
                <w:lang w:val="en-US" w:eastAsia="en-US"/>
              </w:rPr>
              <w:t>Client</w:t>
            </w:r>
          </w:p>
        </w:tc>
      </w:tr>
      <w:tr w:rsidR="003F5603" w:rsidRPr="00C20DDB" w14:paraId="4F19FBEA" w14:textId="77777777" w:rsidTr="007933B1">
        <w:trPr>
          <w:trHeight w:val="342"/>
        </w:trPr>
        <w:tc>
          <w:tcPr>
            <w:tcW w:w="3134" w:type="dxa"/>
            <w:vMerge w:val="restart"/>
            <w:tcBorders>
              <w:top w:val="nil"/>
              <w:left w:val="single" w:sz="8" w:space="0" w:color="auto"/>
              <w:right w:val="single" w:sz="4" w:space="0" w:color="auto"/>
            </w:tcBorders>
            <w:shd w:val="clear" w:color="auto" w:fill="auto"/>
            <w:noWrap/>
            <w:vAlign w:val="center"/>
            <w:hideMark/>
          </w:tcPr>
          <w:p w14:paraId="7C412CB0" w14:textId="77777777" w:rsidR="003F5603" w:rsidRPr="00CB4FB7" w:rsidRDefault="003F5603" w:rsidP="00922FCD">
            <w:pPr>
              <w:rPr>
                <w:rFonts w:asciiTheme="majorHAnsi" w:hAnsiTheme="majorHAnsi" w:cstheme="majorHAnsi"/>
                <w:color w:val="000000"/>
                <w:sz w:val="20"/>
                <w:szCs w:val="20"/>
                <w:lang w:val="en-US" w:eastAsia="en-US"/>
              </w:rPr>
            </w:pPr>
            <w:r w:rsidRPr="00CB4FB7">
              <w:rPr>
                <w:rFonts w:asciiTheme="majorHAnsi" w:hAnsiTheme="majorHAnsi" w:cstheme="majorHAnsi"/>
                <w:color w:val="000000"/>
                <w:sz w:val="20"/>
                <w:szCs w:val="20"/>
                <w:lang w:val="en-US" w:eastAsia="en-US"/>
              </w:rPr>
              <w:t>TANGUAY, Sylvie</w:t>
            </w:r>
          </w:p>
        </w:tc>
        <w:tc>
          <w:tcPr>
            <w:tcW w:w="7111" w:type="dxa"/>
            <w:tcBorders>
              <w:top w:val="nil"/>
              <w:left w:val="nil"/>
              <w:bottom w:val="single" w:sz="4" w:space="0" w:color="auto"/>
              <w:right w:val="single" w:sz="8" w:space="0" w:color="auto"/>
            </w:tcBorders>
            <w:shd w:val="clear" w:color="auto" w:fill="auto"/>
            <w:vAlign w:val="center"/>
            <w:hideMark/>
          </w:tcPr>
          <w:p w14:paraId="6B5C4D9A" w14:textId="2E5ECD09" w:rsidR="003F5603" w:rsidRPr="0060233B" w:rsidRDefault="003F5603" w:rsidP="00F757C4">
            <w:pPr>
              <w:rPr>
                <w:rFonts w:asciiTheme="majorHAnsi" w:hAnsiTheme="majorHAnsi" w:cstheme="majorHAnsi"/>
                <w:color w:val="000000"/>
                <w:sz w:val="20"/>
                <w:szCs w:val="20"/>
                <w:lang w:val="en-US" w:eastAsia="en-US"/>
              </w:rPr>
            </w:pPr>
            <w:r w:rsidRPr="0060233B">
              <w:rPr>
                <w:rFonts w:asciiTheme="majorHAnsi" w:hAnsiTheme="majorHAnsi" w:cstheme="majorHAnsi"/>
                <w:color w:val="000000"/>
                <w:sz w:val="20"/>
                <w:szCs w:val="20"/>
                <w:lang w:val="en-US" w:eastAsia="en-US"/>
              </w:rPr>
              <w:t>Minister of Employment, Workforce Development &amp; Disability Inclusion</w:t>
            </w:r>
          </w:p>
        </w:tc>
      </w:tr>
      <w:tr w:rsidR="003F5603" w:rsidRPr="00C20DDB" w14:paraId="51FD8899" w14:textId="77777777" w:rsidTr="007933B1">
        <w:trPr>
          <w:trHeight w:val="342"/>
        </w:trPr>
        <w:tc>
          <w:tcPr>
            <w:tcW w:w="3134" w:type="dxa"/>
            <w:vMerge/>
            <w:tcBorders>
              <w:left w:val="single" w:sz="8" w:space="0" w:color="auto"/>
              <w:right w:val="single" w:sz="4" w:space="0" w:color="auto"/>
            </w:tcBorders>
            <w:vAlign w:val="center"/>
            <w:hideMark/>
          </w:tcPr>
          <w:p w14:paraId="32E21A4C" w14:textId="77777777" w:rsidR="003F5603" w:rsidRPr="00CB4FB7" w:rsidRDefault="003F5603" w:rsidP="00922FCD">
            <w:pPr>
              <w:rPr>
                <w:rFonts w:asciiTheme="majorHAnsi" w:hAnsiTheme="majorHAnsi" w:cstheme="majorHAnsi"/>
                <w:color w:val="000000"/>
                <w:sz w:val="20"/>
                <w:szCs w:val="20"/>
                <w:lang w:val="en-US" w:eastAsia="en-US"/>
              </w:rPr>
            </w:pPr>
          </w:p>
        </w:tc>
        <w:tc>
          <w:tcPr>
            <w:tcW w:w="7111" w:type="dxa"/>
            <w:tcBorders>
              <w:top w:val="single" w:sz="4" w:space="0" w:color="auto"/>
              <w:left w:val="nil"/>
              <w:bottom w:val="single" w:sz="4" w:space="0" w:color="auto"/>
              <w:right w:val="single" w:sz="8" w:space="0" w:color="auto"/>
            </w:tcBorders>
            <w:shd w:val="clear" w:color="auto" w:fill="auto"/>
            <w:vAlign w:val="center"/>
            <w:hideMark/>
          </w:tcPr>
          <w:p w14:paraId="2717AABB" w14:textId="327C0E0B" w:rsidR="003F5603" w:rsidRPr="0060233B" w:rsidRDefault="003F5603" w:rsidP="00922FCD">
            <w:pPr>
              <w:rPr>
                <w:rFonts w:asciiTheme="majorHAnsi" w:hAnsiTheme="majorHAnsi" w:cstheme="majorHAnsi"/>
                <w:color w:val="000000"/>
                <w:sz w:val="20"/>
                <w:szCs w:val="20"/>
                <w:lang w:val="en-US" w:eastAsia="en-US"/>
              </w:rPr>
            </w:pPr>
            <w:r w:rsidRPr="0060233B">
              <w:rPr>
                <w:rFonts w:asciiTheme="majorHAnsi" w:hAnsiTheme="majorHAnsi" w:cstheme="majorHAnsi"/>
                <w:color w:val="000000"/>
                <w:sz w:val="20"/>
                <w:szCs w:val="20"/>
                <w:lang w:val="en-US" w:eastAsia="en-US"/>
              </w:rPr>
              <w:t>Minister of Labour</w:t>
            </w:r>
          </w:p>
        </w:tc>
      </w:tr>
      <w:tr w:rsidR="003F5603" w:rsidRPr="00C20DDB" w14:paraId="608CD056" w14:textId="77777777" w:rsidTr="007933B1">
        <w:trPr>
          <w:trHeight w:val="342"/>
        </w:trPr>
        <w:tc>
          <w:tcPr>
            <w:tcW w:w="3134" w:type="dxa"/>
            <w:vMerge/>
            <w:tcBorders>
              <w:left w:val="single" w:sz="8" w:space="0" w:color="auto"/>
              <w:right w:val="single" w:sz="4" w:space="0" w:color="auto"/>
            </w:tcBorders>
            <w:vAlign w:val="center"/>
          </w:tcPr>
          <w:p w14:paraId="066E260F" w14:textId="77777777" w:rsidR="003F5603" w:rsidRPr="00CB4FB7" w:rsidRDefault="003F5603" w:rsidP="00922FCD">
            <w:pPr>
              <w:rPr>
                <w:rFonts w:asciiTheme="majorHAnsi" w:hAnsiTheme="majorHAnsi" w:cstheme="majorHAnsi"/>
                <w:color w:val="000000"/>
                <w:sz w:val="20"/>
                <w:szCs w:val="20"/>
                <w:lang w:val="en-US" w:eastAsia="en-US"/>
              </w:rPr>
            </w:pPr>
          </w:p>
        </w:tc>
        <w:tc>
          <w:tcPr>
            <w:tcW w:w="7111" w:type="dxa"/>
            <w:tcBorders>
              <w:top w:val="single" w:sz="4" w:space="0" w:color="auto"/>
              <w:left w:val="nil"/>
              <w:bottom w:val="single" w:sz="4" w:space="0" w:color="auto"/>
              <w:right w:val="single" w:sz="8" w:space="0" w:color="auto"/>
            </w:tcBorders>
            <w:shd w:val="clear" w:color="auto" w:fill="auto"/>
            <w:vAlign w:val="center"/>
          </w:tcPr>
          <w:p w14:paraId="4AB6C412" w14:textId="77777777" w:rsidR="003F5603" w:rsidRPr="0060233B" w:rsidRDefault="003F5603" w:rsidP="00922FCD">
            <w:pPr>
              <w:rPr>
                <w:rFonts w:asciiTheme="majorHAnsi" w:hAnsiTheme="majorHAnsi" w:cstheme="majorHAnsi"/>
                <w:color w:val="000000"/>
                <w:sz w:val="20"/>
                <w:szCs w:val="20"/>
                <w:lang w:val="en-US" w:eastAsia="en-US"/>
              </w:rPr>
            </w:pPr>
            <w:r w:rsidRPr="0060233B">
              <w:rPr>
                <w:rFonts w:asciiTheme="majorHAnsi" w:hAnsiTheme="majorHAnsi" w:cstheme="majorHAnsi"/>
                <w:color w:val="000000"/>
                <w:sz w:val="20"/>
                <w:szCs w:val="20"/>
                <w:lang w:val="en-US" w:eastAsia="en-US"/>
              </w:rPr>
              <w:t>Minister of Seniors</w:t>
            </w:r>
          </w:p>
        </w:tc>
      </w:tr>
      <w:tr w:rsidR="003F5603" w:rsidRPr="00C20DDB" w14:paraId="09AA80B0" w14:textId="77777777" w:rsidTr="007933B1">
        <w:trPr>
          <w:trHeight w:val="342"/>
        </w:trPr>
        <w:tc>
          <w:tcPr>
            <w:tcW w:w="3134" w:type="dxa"/>
            <w:vMerge/>
            <w:tcBorders>
              <w:left w:val="single" w:sz="8" w:space="0" w:color="auto"/>
              <w:right w:val="single" w:sz="4" w:space="0" w:color="auto"/>
            </w:tcBorders>
            <w:vAlign w:val="center"/>
          </w:tcPr>
          <w:p w14:paraId="15215F5E" w14:textId="77777777" w:rsidR="003F5603" w:rsidRPr="00CB4FB7" w:rsidRDefault="003F5603" w:rsidP="00922FCD">
            <w:pPr>
              <w:rPr>
                <w:rFonts w:asciiTheme="majorHAnsi" w:hAnsiTheme="majorHAnsi" w:cstheme="majorHAnsi"/>
                <w:color w:val="000000"/>
                <w:sz w:val="20"/>
                <w:szCs w:val="20"/>
                <w:lang w:val="en-US" w:eastAsia="en-US"/>
              </w:rPr>
            </w:pPr>
          </w:p>
        </w:tc>
        <w:tc>
          <w:tcPr>
            <w:tcW w:w="7111" w:type="dxa"/>
            <w:tcBorders>
              <w:top w:val="single" w:sz="4" w:space="0" w:color="auto"/>
              <w:left w:val="nil"/>
              <w:bottom w:val="single" w:sz="4" w:space="0" w:color="auto"/>
              <w:right w:val="single" w:sz="8" w:space="0" w:color="auto"/>
            </w:tcBorders>
            <w:shd w:val="clear" w:color="auto" w:fill="auto"/>
            <w:vAlign w:val="center"/>
          </w:tcPr>
          <w:p w14:paraId="3C5450BF" w14:textId="77777777" w:rsidR="003F5603" w:rsidRPr="0060233B" w:rsidRDefault="003F5603" w:rsidP="00922FCD">
            <w:pPr>
              <w:rPr>
                <w:rFonts w:asciiTheme="majorHAnsi" w:hAnsiTheme="majorHAnsi" w:cstheme="majorHAnsi"/>
                <w:color w:val="000000"/>
                <w:sz w:val="20"/>
                <w:szCs w:val="20"/>
                <w:lang w:val="en-US" w:eastAsia="en-US"/>
              </w:rPr>
            </w:pPr>
            <w:r w:rsidRPr="0060233B">
              <w:rPr>
                <w:rFonts w:asciiTheme="majorHAnsi" w:hAnsiTheme="majorHAnsi" w:cstheme="majorHAnsi"/>
                <w:color w:val="000000"/>
                <w:sz w:val="20"/>
                <w:szCs w:val="20"/>
                <w:lang w:val="en-US" w:eastAsia="en-US"/>
              </w:rPr>
              <w:t>Minister of Accessibility</w:t>
            </w:r>
          </w:p>
        </w:tc>
      </w:tr>
      <w:tr w:rsidR="003F5603" w:rsidRPr="00C20DDB" w14:paraId="098031B9" w14:textId="77777777" w:rsidTr="007933B1">
        <w:trPr>
          <w:trHeight w:val="342"/>
        </w:trPr>
        <w:tc>
          <w:tcPr>
            <w:tcW w:w="3134" w:type="dxa"/>
            <w:vMerge/>
            <w:tcBorders>
              <w:left w:val="single" w:sz="8" w:space="0" w:color="auto"/>
              <w:right w:val="single" w:sz="4" w:space="0" w:color="auto"/>
            </w:tcBorders>
            <w:vAlign w:val="center"/>
          </w:tcPr>
          <w:p w14:paraId="71254074" w14:textId="77777777" w:rsidR="003F5603" w:rsidRPr="00CB4FB7" w:rsidRDefault="003F5603" w:rsidP="00922FCD">
            <w:pPr>
              <w:rPr>
                <w:rFonts w:asciiTheme="majorHAnsi" w:hAnsiTheme="majorHAnsi" w:cstheme="majorHAnsi"/>
                <w:color w:val="000000"/>
                <w:sz w:val="20"/>
                <w:szCs w:val="20"/>
                <w:lang w:val="en-US" w:eastAsia="en-US"/>
              </w:rPr>
            </w:pPr>
          </w:p>
        </w:tc>
        <w:tc>
          <w:tcPr>
            <w:tcW w:w="7111" w:type="dxa"/>
            <w:tcBorders>
              <w:top w:val="single" w:sz="4" w:space="0" w:color="auto"/>
              <w:left w:val="nil"/>
              <w:bottom w:val="single" w:sz="4" w:space="0" w:color="auto"/>
              <w:right w:val="single" w:sz="8" w:space="0" w:color="auto"/>
            </w:tcBorders>
            <w:shd w:val="clear" w:color="auto" w:fill="auto"/>
            <w:vAlign w:val="center"/>
          </w:tcPr>
          <w:p w14:paraId="3D268319" w14:textId="541229E7" w:rsidR="003F5603" w:rsidRPr="0060233B" w:rsidRDefault="003F5603" w:rsidP="00922FCD">
            <w:pPr>
              <w:rPr>
                <w:rFonts w:asciiTheme="majorHAnsi" w:hAnsiTheme="majorHAnsi" w:cstheme="majorHAnsi"/>
                <w:color w:val="000000"/>
                <w:sz w:val="20"/>
                <w:szCs w:val="20"/>
                <w:lang w:val="en-US" w:eastAsia="en-US"/>
              </w:rPr>
            </w:pPr>
            <w:r w:rsidRPr="0060233B">
              <w:rPr>
                <w:rFonts w:asciiTheme="majorHAnsi" w:hAnsiTheme="majorHAnsi" w:cstheme="majorHAnsi"/>
                <w:color w:val="000000"/>
                <w:sz w:val="20"/>
                <w:szCs w:val="20"/>
                <w:lang w:val="en-US" w:eastAsia="en-US"/>
              </w:rPr>
              <w:t>Minister of Families, Children &amp; Social Development</w:t>
            </w:r>
          </w:p>
        </w:tc>
      </w:tr>
      <w:tr w:rsidR="003F5603" w:rsidRPr="00C20DDB" w14:paraId="1C8982B2" w14:textId="77777777" w:rsidTr="007933B1">
        <w:trPr>
          <w:trHeight w:val="342"/>
        </w:trPr>
        <w:tc>
          <w:tcPr>
            <w:tcW w:w="3134" w:type="dxa"/>
            <w:vMerge/>
            <w:tcBorders>
              <w:left w:val="single" w:sz="8" w:space="0" w:color="auto"/>
              <w:right w:val="single" w:sz="4" w:space="0" w:color="auto"/>
            </w:tcBorders>
            <w:vAlign w:val="center"/>
            <w:hideMark/>
          </w:tcPr>
          <w:p w14:paraId="6D17967C" w14:textId="77777777" w:rsidR="003F5603" w:rsidRPr="00CB4FB7" w:rsidRDefault="003F5603" w:rsidP="00922FCD">
            <w:pPr>
              <w:rPr>
                <w:rFonts w:asciiTheme="majorHAnsi" w:hAnsiTheme="majorHAnsi" w:cstheme="majorHAnsi"/>
                <w:color w:val="000000"/>
                <w:sz w:val="20"/>
                <w:szCs w:val="20"/>
                <w:lang w:val="en-US" w:eastAsia="en-US"/>
              </w:rPr>
            </w:pPr>
          </w:p>
        </w:tc>
        <w:tc>
          <w:tcPr>
            <w:tcW w:w="7111" w:type="dxa"/>
            <w:tcBorders>
              <w:top w:val="single" w:sz="4" w:space="0" w:color="auto"/>
              <w:left w:val="nil"/>
              <w:bottom w:val="single" w:sz="4" w:space="0" w:color="auto"/>
              <w:right w:val="single" w:sz="8" w:space="0" w:color="auto"/>
            </w:tcBorders>
            <w:shd w:val="clear" w:color="auto" w:fill="auto"/>
            <w:vAlign w:val="center"/>
            <w:hideMark/>
          </w:tcPr>
          <w:p w14:paraId="3CF4F5E1" w14:textId="77777777" w:rsidR="003F5603" w:rsidRPr="0060233B" w:rsidRDefault="003F5603" w:rsidP="00922FCD">
            <w:pPr>
              <w:rPr>
                <w:rFonts w:asciiTheme="majorHAnsi" w:hAnsiTheme="majorHAnsi" w:cstheme="majorHAnsi"/>
                <w:color w:val="000000"/>
                <w:sz w:val="20"/>
                <w:szCs w:val="20"/>
                <w:lang w:val="en-US" w:eastAsia="en-US"/>
              </w:rPr>
            </w:pPr>
            <w:r w:rsidRPr="0060233B">
              <w:rPr>
                <w:rFonts w:asciiTheme="majorHAnsi" w:hAnsiTheme="majorHAnsi" w:cstheme="majorHAnsi"/>
                <w:color w:val="000000"/>
                <w:sz w:val="20"/>
                <w:szCs w:val="20"/>
                <w:lang w:val="en-US" w:eastAsia="en-US"/>
              </w:rPr>
              <w:t>Deputy Minister of ESDC</w:t>
            </w:r>
          </w:p>
        </w:tc>
      </w:tr>
      <w:tr w:rsidR="003F5603" w:rsidRPr="00C20DDB" w14:paraId="642A4D81" w14:textId="77777777" w:rsidTr="007933B1">
        <w:trPr>
          <w:trHeight w:val="342"/>
        </w:trPr>
        <w:tc>
          <w:tcPr>
            <w:tcW w:w="3134" w:type="dxa"/>
            <w:vMerge/>
            <w:tcBorders>
              <w:left w:val="single" w:sz="8" w:space="0" w:color="auto"/>
              <w:right w:val="single" w:sz="4" w:space="0" w:color="auto"/>
            </w:tcBorders>
            <w:vAlign w:val="center"/>
            <w:hideMark/>
          </w:tcPr>
          <w:p w14:paraId="6267A4DA" w14:textId="77777777" w:rsidR="003F5603" w:rsidRPr="00CB4FB7" w:rsidRDefault="003F5603" w:rsidP="00922FCD">
            <w:pPr>
              <w:rPr>
                <w:rFonts w:asciiTheme="majorHAnsi" w:hAnsiTheme="majorHAnsi" w:cstheme="majorHAnsi"/>
                <w:color w:val="000000"/>
                <w:sz w:val="20"/>
                <w:szCs w:val="20"/>
                <w:lang w:val="en-US" w:eastAsia="en-US"/>
              </w:rPr>
            </w:pPr>
          </w:p>
        </w:tc>
        <w:tc>
          <w:tcPr>
            <w:tcW w:w="7111" w:type="dxa"/>
            <w:tcBorders>
              <w:top w:val="single" w:sz="4" w:space="0" w:color="auto"/>
              <w:left w:val="nil"/>
              <w:bottom w:val="single" w:sz="4" w:space="0" w:color="auto"/>
              <w:right w:val="single" w:sz="8" w:space="0" w:color="auto"/>
            </w:tcBorders>
            <w:shd w:val="clear" w:color="auto" w:fill="auto"/>
            <w:vAlign w:val="center"/>
            <w:hideMark/>
          </w:tcPr>
          <w:p w14:paraId="3D2C3642" w14:textId="77777777" w:rsidR="003F5603" w:rsidRPr="0060233B" w:rsidRDefault="003F5603" w:rsidP="00922FCD">
            <w:pPr>
              <w:rPr>
                <w:rFonts w:asciiTheme="majorHAnsi" w:hAnsiTheme="majorHAnsi" w:cstheme="majorHAnsi"/>
                <w:color w:val="000000"/>
                <w:sz w:val="20"/>
                <w:szCs w:val="20"/>
                <w:lang w:val="en-US" w:eastAsia="en-US"/>
              </w:rPr>
            </w:pPr>
            <w:r w:rsidRPr="0060233B">
              <w:rPr>
                <w:rFonts w:asciiTheme="majorHAnsi" w:hAnsiTheme="majorHAnsi" w:cstheme="majorHAnsi"/>
                <w:color w:val="000000"/>
                <w:sz w:val="20"/>
                <w:szCs w:val="20"/>
                <w:lang w:val="en-US" w:eastAsia="en-US"/>
              </w:rPr>
              <w:t>Deputy Minister of Labour</w:t>
            </w:r>
          </w:p>
        </w:tc>
      </w:tr>
      <w:tr w:rsidR="003F5603" w:rsidRPr="00C20DDB" w14:paraId="65A9EBAF" w14:textId="77777777" w:rsidTr="00F757C4">
        <w:trPr>
          <w:trHeight w:val="342"/>
        </w:trPr>
        <w:tc>
          <w:tcPr>
            <w:tcW w:w="3134" w:type="dxa"/>
            <w:vMerge/>
            <w:tcBorders>
              <w:left w:val="single" w:sz="8" w:space="0" w:color="auto"/>
              <w:right w:val="single" w:sz="4" w:space="0" w:color="auto"/>
            </w:tcBorders>
            <w:vAlign w:val="center"/>
          </w:tcPr>
          <w:p w14:paraId="4EC56FE4" w14:textId="77777777" w:rsidR="003F5603" w:rsidRPr="00CB4FB7" w:rsidRDefault="003F5603" w:rsidP="00922FCD">
            <w:pPr>
              <w:rPr>
                <w:rFonts w:asciiTheme="majorHAnsi" w:hAnsiTheme="majorHAnsi" w:cstheme="majorHAnsi"/>
                <w:color w:val="000000"/>
                <w:sz w:val="20"/>
                <w:szCs w:val="20"/>
                <w:lang w:val="en-US" w:eastAsia="en-US"/>
              </w:rPr>
            </w:pPr>
          </w:p>
        </w:tc>
        <w:tc>
          <w:tcPr>
            <w:tcW w:w="7111" w:type="dxa"/>
            <w:tcBorders>
              <w:top w:val="single" w:sz="4" w:space="0" w:color="auto"/>
              <w:left w:val="nil"/>
              <w:bottom w:val="single" w:sz="4" w:space="0" w:color="auto"/>
              <w:right w:val="single" w:sz="8" w:space="0" w:color="auto"/>
            </w:tcBorders>
            <w:shd w:val="clear" w:color="auto" w:fill="auto"/>
            <w:vAlign w:val="center"/>
          </w:tcPr>
          <w:p w14:paraId="07626ADA" w14:textId="70FD11A5" w:rsidR="003F5603" w:rsidRPr="0060233B" w:rsidRDefault="003F5603" w:rsidP="00922FCD">
            <w:pPr>
              <w:rPr>
                <w:rFonts w:asciiTheme="majorHAnsi" w:hAnsiTheme="majorHAnsi" w:cstheme="majorHAnsi"/>
                <w:color w:val="000000"/>
                <w:sz w:val="20"/>
                <w:szCs w:val="20"/>
                <w:lang w:val="en-US" w:eastAsia="en-US"/>
              </w:rPr>
            </w:pPr>
            <w:r w:rsidRPr="0060233B">
              <w:rPr>
                <w:rFonts w:asciiTheme="majorHAnsi" w:hAnsiTheme="majorHAnsi" w:cstheme="majorHAnsi"/>
                <w:color w:val="000000"/>
                <w:sz w:val="20"/>
                <w:szCs w:val="20"/>
                <w:lang w:val="en-US" w:eastAsia="en-US"/>
              </w:rPr>
              <w:t>Chief of Accessibility</w:t>
            </w:r>
          </w:p>
        </w:tc>
      </w:tr>
      <w:tr w:rsidR="003F5603" w:rsidRPr="00C20DDB" w14:paraId="660F77F4" w14:textId="77777777" w:rsidTr="00953E3C">
        <w:trPr>
          <w:trHeight w:val="342"/>
        </w:trPr>
        <w:tc>
          <w:tcPr>
            <w:tcW w:w="3134" w:type="dxa"/>
            <w:vMerge/>
            <w:tcBorders>
              <w:left w:val="single" w:sz="8" w:space="0" w:color="auto"/>
              <w:right w:val="single" w:sz="4" w:space="0" w:color="auto"/>
            </w:tcBorders>
            <w:vAlign w:val="center"/>
            <w:hideMark/>
          </w:tcPr>
          <w:p w14:paraId="45EC2B4C" w14:textId="77777777" w:rsidR="003F5603" w:rsidRPr="00CB4FB7" w:rsidRDefault="003F5603" w:rsidP="00922FCD">
            <w:pPr>
              <w:rPr>
                <w:rFonts w:asciiTheme="majorHAnsi" w:hAnsiTheme="majorHAnsi" w:cstheme="majorHAnsi"/>
                <w:color w:val="000000"/>
                <w:sz w:val="20"/>
                <w:szCs w:val="20"/>
                <w:lang w:val="en-US" w:eastAsia="en-US"/>
              </w:rPr>
            </w:pPr>
          </w:p>
        </w:tc>
        <w:tc>
          <w:tcPr>
            <w:tcW w:w="7111" w:type="dxa"/>
            <w:tcBorders>
              <w:top w:val="single" w:sz="4" w:space="0" w:color="auto"/>
              <w:left w:val="nil"/>
              <w:bottom w:val="single" w:sz="4" w:space="0" w:color="auto"/>
              <w:right w:val="single" w:sz="8" w:space="0" w:color="auto"/>
            </w:tcBorders>
            <w:shd w:val="clear" w:color="auto" w:fill="auto"/>
            <w:vAlign w:val="center"/>
            <w:hideMark/>
          </w:tcPr>
          <w:p w14:paraId="1045EFDC" w14:textId="77777777" w:rsidR="003F5603" w:rsidRPr="0060233B" w:rsidRDefault="003F5603" w:rsidP="00922FCD">
            <w:pPr>
              <w:rPr>
                <w:rFonts w:asciiTheme="majorHAnsi" w:hAnsiTheme="majorHAnsi" w:cstheme="majorHAnsi"/>
                <w:color w:val="000000"/>
                <w:sz w:val="20"/>
                <w:szCs w:val="20"/>
                <w:lang w:val="en-US" w:eastAsia="en-US"/>
              </w:rPr>
            </w:pPr>
            <w:r w:rsidRPr="0060233B">
              <w:rPr>
                <w:rFonts w:asciiTheme="majorHAnsi" w:hAnsiTheme="majorHAnsi" w:cstheme="majorHAnsi"/>
                <w:color w:val="000000"/>
                <w:sz w:val="20"/>
                <w:szCs w:val="20"/>
                <w:lang w:val="en-US" w:eastAsia="en-US"/>
              </w:rPr>
              <w:t>Commissioners</w:t>
            </w:r>
          </w:p>
        </w:tc>
      </w:tr>
      <w:tr w:rsidR="003F5603" w:rsidRPr="00C20DDB" w14:paraId="49A9723B" w14:textId="77777777" w:rsidTr="00953E3C">
        <w:trPr>
          <w:trHeight w:val="342"/>
        </w:trPr>
        <w:tc>
          <w:tcPr>
            <w:tcW w:w="3134" w:type="dxa"/>
            <w:vMerge/>
            <w:tcBorders>
              <w:left w:val="single" w:sz="8" w:space="0" w:color="auto"/>
              <w:right w:val="single" w:sz="4" w:space="0" w:color="auto"/>
            </w:tcBorders>
            <w:vAlign w:val="center"/>
            <w:hideMark/>
          </w:tcPr>
          <w:p w14:paraId="7A79ABD8" w14:textId="77777777" w:rsidR="003F5603" w:rsidRPr="00CB4FB7" w:rsidRDefault="003F5603" w:rsidP="00922FCD">
            <w:pPr>
              <w:rPr>
                <w:rFonts w:asciiTheme="majorHAnsi" w:hAnsiTheme="majorHAnsi" w:cstheme="majorHAnsi"/>
                <w:color w:val="000000"/>
                <w:sz w:val="20"/>
                <w:szCs w:val="20"/>
                <w:lang w:val="en-US" w:eastAsia="en-US"/>
              </w:rPr>
            </w:pPr>
          </w:p>
        </w:tc>
        <w:tc>
          <w:tcPr>
            <w:tcW w:w="7111" w:type="dxa"/>
            <w:tcBorders>
              <w:top w:val="single" w:sz="4" w:space="0" w:color="auto"/>
              <w:left w:val="nil"/>
              <w:bottom w:val="single" w:sz="4" w:space="0" w:color="auto"/>
              <w:right w:val="single" w:sz="8" w:space="0" w:color="auto"/>
            </w:tcBorders>
            <w:shd w:val="clear" w:color="auto" w:fill="auto"/>
            <w:vAlign w:val="center"/>
            <w:hideMark/>
          </w:tcPr>
          <w:p w14:paraId="28C2865D" w14:textId="77777777" w:rsidR="003F5603" w:rsidRPr="0060233B" w:rsidRDefault="003F5603" w:rsidP="00922FCD">
            <w:pPr>
              <w:rPr>
                <w:rFonts w:asciiTheme="majorHAnsi" w:hAnsiTheme="majorHAnsi" w:cstheme="majorHAnsi"/>
                <w:color w:val="000000"/>
                <w:sz w:val="20"/>
                <w:szCs w:val="20"/>
                <w:lang w:val="en-US" w:eastAsia="en-US"/>
              </w:rPr>
            </w:pPr>
            <w:r w:rsidRPr="0060233B">
              <w:rPr>
                <w:rFonts w:asciiTheme="majorHAnsi" w:hAnsiTheme="majorHAnsi" w:cstheme="majorHAnsi"/>
                <w:color w:val="000000"/>
                <w:sz w:val="20"/>
                <w:szCs w:val="20"/>
                <w:lang w:val="en-US" w:eastAsia="en-US"/>
              </w:rPr>
              <w:t>Corporate Secretariat</w:t>
            </w:r>
          </w:p>
        </w:tc>
      </w:tr>
      <w:tr w:rsidR="003F5603" w:rsidRPr="00C20DDB" w14:paraId="575B0320" w14:textId="77777777" w:rsidTr="00953E3C">
        <w:trPr>
          <w:trHeight w:val="342"/>
        </w:trPr>
        <w:tc>
          <w:tcPr>
            <w:tcW w:w="3134" w:type="dxa"/>
            <w:vMerge/>
            <w:tcBorders>
              <w:left w:val="single" w:sz="8" w:space="0" w:color="auto"/>
              <w:right w:val="single" w:sz="4" w:space="0" w:color="auto"/>
            </w:tcBorders>
            <w:vAlign w:val="center"/>
            <w:hideMark/>
          </w:tcPr>
          <w:p w14:paraId="0490101D" w14:textId="77777777" w:rsidR="003F5603" w:rsidRPr="00CB4FB7" w:rsidRDefault="003F5603" w:rsidP="00922FCD">
            <w:pPr>
              <w:rPr>
                <w:rFonts w:asciiTheme="majorHAnsi" w:hAnsiTheme="majorHAnsi" w:cstheme="majorHAnsi"/>
                <w:color w:val="000000"/>
                <w:sz w:val="20"/>
                <w:szCs w:val="20"/>
                <w:lang w:val="en-US" w:eastAsia="en-US"/>
              </w:rPr>
            </w:pPr>
          </w:p>
        </w:tc>
        <w:tc>
          <w:tcPr>
            <w:tcW w:w="711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5C6D15F" w14:textId="77777777" w:rsidR="003F5603" w:rsidRPr="0060233B" w:rsidRDefault="003F5603" w:rsidP="00922FCD">
            <w:pPr>
              <w:rPr>
                <w:rFonts w:asciiTheme="majorHAnsi" w:hAnsiTheme="majorHAnsi" w:cstheme="majorHAnsi"/>
                <w:color w:val="000000"/>
                <w:sz w:val="20"/>
                <w:szCs w:val="20"/>
                <w:lang w:val="en-US" w:eastAsia="en-US"/>
              </w:rPr>
            </w:pPr>
            <w:r w:rsidRPr="0060233B">
              <w:rPr>
                <w:rFonts w:asciiTheme="majorHAnsi" w:hAnsiTheme="majorHAnsi" w:cstheme="majorHAnsi"/>
                <w:color w:val="000000"/>
                <w:sz w:val="20"/>
                <w:szCs w:val="20"/>
                <w:lang w:val="en-US" w:eastAsia="en-US"/>
              </w:rPr>
              <w:t>Legal Services Branch</w:t>
            </w:r>
          </w:p>
        </w:tc>
      </w:tr>
      <w:tr w:rsidR="003F5603" w:rsidRPr="00C20DDB" w14:paraId="16DBABC1" w14:textId="77777777" w:rsidTr="00953E3C">
        <w:trPr>
          <w:trHeight w:val="342"/>
        </w:trPr>
        <w:tc>
          <w:tcPr>
            <w:tcW w:w="3134" w:type="dxa"/>
            <w:vMerge/>
            <w:tcBorders>
              <w:left w:val="single" w:sz="8" w:space="0" w:color="auto"/>
              <w:right w:val="single" w:sz="4" w:space="0" w:color="auto"/>
            </w:tcBorders>
            <w:vAlign w:val="center"/>
          </w:tcPr>
          <w:p w14:paraId="5993C5C1" w14:textId="77777777" w:rsidR="003F5603" w:rsidRPr="00CB4FB7" w:rsidRDefault="003F5603" w:rsidP="00922FCD">
            <w:pPr>
              <w:rPr>
                <w:rFonts w:asciiTheme="majorHAnsi" w:hAnsiTheme="majorHAnsi" w:cstheme="majorHAnsi"/>
                <w:color w:val="000000"/>
                <w:sz w:val="20"/>
                <w:szCs w:val="20"/>
                <w:lang w:val="en-US" w:eastAsia="en-US"/>
              </w:rPr>
            </w:pPr>
          </w:p>
        </w:tc>
        <w:tc>
          <w:tcPr>
            <w:tcW w:w="7111" w:type="dxa"/>
            <w:tcBorders>
              <w:top w:val="single" w:sz="4" w:space="0" w:color="auto"/>
              <w:left w:val="single" w:sz="4" w:space="0" w:color="auto"/>
              <w:bottom w:val="single" w:sz="4" w:space="0" w:color="auto"/>
              <w:right w:val="single" w:sz="8" w:space="0" w:color="auto"/>
            </w:tcBorders>
            <w:shd w:val="clear" w:color="auto" w:fill="auto"/>
            <w:vAlign w:val="center"/>
          </w:tcPr>
          <w:p w14:paraId="151662DE" w14:textId="77777777" w:rsidR="003F5603" w:rsidRPr="0060233B" w:rsidRDefault="003F5603" w:rsidP="00922FCD">
            <w:pPr>
              <w:rPr>
                <w:rFonts w:asciiTheme="majorHAnsi" w:hAnsiTheme="majorHAnsi" w:cstheme="majorHAnsi"/>
                <w:color w:val="000000"/>
                <w:sz w:val="20"/>
                <w:szCs w:val="20"/>
                <w:lang w:val="en-US" w:eastAsia="en-US"/>
              </w:rPr>
            </w:pPr>
            <w:r w:rsidRPr="0060233B">
              <w:rPr>
                <w:rFonts w:asciiTheme="majorHAnsi" w:hAnsiTheme="majorHAnsi" w:cstheme="majorHAnsi"/>
                <w:color w:val="000000"/>
                <w:sz w:val="20"/>
                <w:szCs w:val="20"/>
                <w:lang w:val="en-US" w:eastAsia="en-US"/>
              </w:rPr>
              <w:t>Public Affairs and Stakeholder Relations Branch</w:t>
            </w:r>
          </w:p>
        </w:tc>
      </w:tr>
      <w:tr w:rsidR="003F5603" w:rsidRPr="00660AE1" w14:paraId="2AF33B93" w14:textId="77777777" w:rsidTr="00BC62A8">
        <w:trPr>
          <w:trHeight w:val="342"/>
        </w:trPr>
        <w:tc>
          <w:tcPr>
            <w:tcW w:w="3134" w:type="dxa"/>
            <w:vMerge/>
            <w:tcBorders>
              <w:left w:val="single" w:sz="8" w:space="0" w:color="auto"/>
              <w:right w:val="single" w:sz="4" w:space="0" w:color="auto"/>
            </w:tcBorders>
            <w:vAlign w:val="center"/>
          </w:tcPr>
          <w:p w14:paraId="0458BB12" w14:textId="77777777" w:rsidR="003F5603" w:rsidRPr="00CB4FB7" w:rsidRDefault="003F5603" w:rsidP="00922FCD">
            <w:pPr>
              <w:rPr>
                <w:rFonts w:asciiTheme="majorHAnsi" w:hAnsiTheme="majorHAnsi" w:cstheme="majorHAnsi"/>
                <w:color w:val="000000"/>
                <w:sz w:val="20"/>
                <w:szCs w:val="20"/>
                <w:lang w:val="en-US" w:eastAsia="en-US"/>
              </w:rPr>
            </w:pPr>
          </w:p>
        </w:tc>
        <w:tc>
          <w:tcPr>
            <w:tcW w:w="7111" w:type="dxa"/>
            <w:tcBorders>
              <w:top w:val="single" w:sz="4" w:space="0" w:color="auto"/>
              <w:left w:val="single" w:sz="4" w:space="0" w:color="auto"/>
              <w:bottom w:val="single" w:sz="4" w:space="0" w:color="auto"/>
              <w:right w:val="single" w:sz="8" w:space="0" w:color="auto"/>
            </w:tcBorders>
            <w:shd w:val="clear" w:color="auto" w:fill="auto"/>
            <w:vAlign w:val="center"/>
          </w:tcPr>
          <w:p w14:paraId="5B0D5E9B" w14:textId="77777777" w:rsidR="003F5603" w:rsidRPr="0060233B" w:rsidRDefault="003F5603" w:rsidP="00922FCD">
            <w:pPr>
              <w:rPr>
                <w:rFonts w:asciiTheme="majorHAnsi" w:hAnsiTheme="majorHAnsi" w:cstheme="majorHAnsi"/>
                <w:color w:val="000000"/>
                <w:sz w:val="20"/>
                <w:szCs w:val="20"/>
                <w:lang w:val="fr-CA" w:eastAsia="en-US"/>
              </w:rPr>
            </w:pPr>
            <w:r w:rsidRPr="0060233B">
              <w:rPr>
                <w:rFonts w:asciiTheme="majorHAnsi" w:hAnsiTheme="majorHAnsi" w:cstheme="majorHAnsi"/>
                <w:color w:val="000000"/>
                <w:sz w:val="20"/>
                <w:szCs w:val="20"/>
                <w:lang w:val="fr-CA" w:eastAsia="en-US"/>
              </w:rPr>
              <w:t>Internal Audit &amp; Entreprise Risk Management Branch</w:t>
            </w:r>
          </w:p>
        </w:tc>
      </w:tr>
      <w:tr w:rsidR="003F5603" w:rsidRPr="00E41E1D" w14:paraId="5B9BB88F" w14:textId="77777777" w:rsidTr="00953E3C">
        <w:trPr>
          <w:trHeight w:val="342"/>
        </w:trPr>
        <w:tc>
          <w:tcPr>
            <w:tcW w:w="3134" w:type="dxa"/>
            <w:vMerge/>
            <w:tcBorders>
              <w:left w:val="single" w:sz="8" w:space="0" w:color="auto"/>
              <w:bottom w:val="single" w:sz="4" w:space="0" w:color="000000"/>
              <w:right w:val="single" w:sz="4" w:space="0" w:color="auto"/>
            </w:tcBorders>
            <w:vAlign w:val="center"/>
          </w:tcPr>
          <w:p w14:paraId="1B837D31" w14:textId="77777777" w:rsidR="003F5603" w:rsidRPr="002B357F" w:rsidRDefault="003F5603" w:rsidP="00922FCD">
            <w:pPr>
              <w:rPr>
                <w:rFonts w:asciiTheme="majorHAnsi" w:hAnsiTheme="majorHAnsi" w:cstheme="majorHAnsi"/>
                <w:color w:val="000000"/>
                <w:sz w:val="20"/>
                <w:szCs w:val="20"/>
                <w:lang w:val="fr-CA" w:eastAsia="en-US"/>
              </w:rPr>
            </w:pPr>
          </w:p>
        </w:tc>
        <w:tc>
          <w:tcPr>
            <w:tcW w:w="7111" w:type="dxa"/>
            <w:tcBorders>
              <w:top w:val="single" w:sz="4" w:space="0" w:color="auto"/>
              <w:left w:val="single" w:sz="4" w:space="0" w:color="auto"/>
              <w:bottom w:val="single" w:sz="4" w:space="0" w:color="auto"/>
              <w:right w:val="single" w:sz="8" w:space="0" w:color="auto"/>
            </w:tcBorders>
            <w:shd w:val="clear" w:color="auto" w:fill="auto"/>
            <w:vAlign w:val="center"/>
          </w:tcPr>
          <w:p w14:paraId="1E6674CE" w14:textId="15A9BCA8" w:rsidR="003F5603" w:rsidRPr="0060233B" w:rsidRDefault="007E57B8" w:rsidP="00841A00">
            <w:pPr>
              <w:rPr>
                <w:rFonts w:asciiTheme="majorHAnsi" w:hAnsiTheme="majorHAnsi" w:cstheme="majorHAnsi"/>
                <w:color w:val="000000"/>
                <w:sz w:val="20"/>
                <w:szCs w:val="20"/>
                <w:lang w:eastAsia="en-US"/>
              </w:rPr>
            </w:pPr>
            <w:r w:rsidRPr="0060233B">
              <w:rPr>
                <w:rFonts w:asciiTheme="majorHAnsi" w:hAnsiTheme="majorHAnsi" w:cstheme="majorHAnsi"/>
                <w:color w:val="000000"/>
                <w:sz w:val="20"/>
                <w:szCs w:val="20"/>
                <w:lang w:eastAsia="en-US"/>
              </w:rPr>
              <w:t xml:space="preserve">CMCP - </w:t>
            </w:r>
            <w:r w:rsidR="00841A00" w:rsidRPr="0060233B">
              <w:rPr>
                <w:rFonts w:asciiTheme="majorHAnsi" w:hAnsiTheme="majorHAnsi" w:cstheme="majorHAnsi"/>
                <w:color w:val="000000"/>
                <w:sz w:val="20"/>
                <w:szCs w:val="20"/>
                <w:lang w:eastAsia="en-US"/>
              </w:rPr>
              <w:t>Legal Services</w:t>
            </w:r>
          </w:p>
        </w:tc>
      </w:tr>
      <w:tr w:rsidR="00D7117A" w:rsidRPr="00C20DDB" w14:paraId="26570232" w14:textId="77777777" w:rsidTr="00953E3C">
        <w:trPr>
          <w:trHeight w:val="342"/>
        </w:trPr>
        <w:tc>
          <w:tcPr>
            <w:tcW w:w="3134" w:type="dxa"/>
            <w:tcBorders>
              <w:top w:val="nil"/>
              <w:left w:val="single" w:sz="8" w:space="0" w:color="auto"/>
              <w:bottom w:val="single" w:sz="4" w:space="0" w:color="auto"/>
              <w:right w:val="single" w:sz="4" w:space="0" w:color="auto"/>
            </w:tcBorders>
            <w:shd w:val="clear" w:color="000000" w:fill="DCE6F1"/>
            <w:noWrap/>
            <w:vAlign w:val="center"/>
            <w:hideMark/>
          </w:tcPr>
          <w:p w14:paraId="50413305" w14:textId="133E3B23" w:rsidR="00D7117A" w:rsidRPr="00CB4FB7" w:rsidRDefault="00F757C4" w:rsidP="00F757C4">
            <w:pPr>
              <w:rPr>
                <w:rFonts w:asciiTheme="majorHAnsi" w:hAnsiTheme="majorHAnsi" w:cstheme="majorHAnsi"/>
                <w:color w:val="000000"/>
                <w:sz w:val="20"/>
                <w:szCs w:val="20"/>
                <w:lang w:val="en-US" w:eastAsia="en-US"/>
              </w:rPr>
            </w:pPr>
            <w:r w:rsidRPr="00CB4FB7">
              <w:rPr>
                <w:rFonts w:asciiTheme="majorHAnsi" w:hAnsiTheme="majorHAnsi" w:cstheme="majorHAnsi"/>
                <w:color w:val="000000"/>
                <w:sz w:val="20"/>
                <w:szCs w:val="20"/>
                <w:lang w:val="en-US" w:eastAsia="en-US"/>
              </w:rPr>
              <w:t>GILLIS</w:t>
            </w:r>
            <w:r w:rsidR="00D7117A" w:rsidRPr="00CB4FB7">
              <w:rPr>
                <w:rFonts w:asciiTheme="majorHAnsi" w:hAnsiTheme="majorHAnsi" w:cstheme="majorHAnsi"/>
                <w:color w:val="000000"/>
                <w:sz w:val="20"/>
                <w:szCs w:val="20"/>
                <w:lang w:val="en-US" w:eastAsia="en-US"/>
              </w:rPr>
              <w:t xml:space="preserve">, </w:t>
            </w:r>
            <w:r w:rsidRPr="00CB4FB7">
              <w:rPr>
                <w:rFonts w:asciiTheme="majorHAnsi" w:hAnsiTheme="majorHAnsi" w:cstheme="majorHAnsi"/>
                <w:color w:val="000000"/>
                <w:sz w:val="20"/>
                <w:szCs w:val="20"/>
                <w:lang w:val="en-US" w:eastAsia="en-US"/>
              </w:rPr>
              <w:t>Chris</w:t>
            </w:r>
          </w:p>
        </w:tc>
        <w:tc>
          <w:tcPr>
            <w:tcW w:w="7111" w:type="dxa"/>
            <w:tcBorders>
              <w:top w:val="single" w:sz="4" w:space="0" w:color="auto"/>
              <w:left w:val="nil"/>
              <w:bottom w:val="single" w:sz="4" w:space="0" w:color="auto"/>
              <w:right w:val="single" w:sz="8" w:space="0" w:color="auto"/>
            </w:tcBorders>
            <w:shd w:val="clear" w:color="000000" w:fill="DCE6F1"/>
            <w:vAlign w:val="center"/>
            <w:hideMark/>
          </w:tcPr>
          <w:p w14:paraId="704F1EA1" w14:textId="77777777" w:rsidR="00D7117A" w:rsidRPr="00CB4FB7" w:rsidRDefault="00D7117A" w:rsidP="00922FCD">
            <w:pPr>
              <w:rPr>
                <w:rFonts w:asciiTheme="majorHAnsi" w:hAnsiTheme="majorHAnsi" w:cstheme="majorHAnsi"/>
                <w:color w:val="000000"/>
                <w:sz w:val="20"/>
                <w:szCs w:val="20"/>
                <w:lang w:val="en-US" w:eastAsia="en-US"/>
              </w:rPr>
            </w:pPr>
            <w:r w:rsidRPr="00CB4FB7">
              <w:rPr>
                <w:rFonts w:asciiTheme="majorHAnsi" w:hAnsiTheme="majorHAnsi" w:cstheme="majorHAnsi"/>
                <w:color w:val="000000"/>
                <w:sz w:val="20"/>
                <w:szCs w:val="20"/>
                <w:lang w:val="en-US" w:eastAsia="en-US"/>
              </w:rPr>
              <w:t>Skills and Employment Branch</w:t>
            </w:r>
          </w:p>
        </w:tc>
      </w:tr>
      <w:tr w:rsidR="00D7117A" w:rsidRPr="00C20DDB" w14:paraId="0B6142EF" w14:textId="77777777" w:rsidTr="00953E3C">
        <w:trPr>
          <w:trHeight w:val="342"/>
        </w:trPr>
        <w:tc>
          <w:tcPr>
            <w:tcW w:w="3134" w:type="dxa"/>
            <w:vMerge w:val="restart"/>
            <w:tcBorders>
              <w:top w:val="nil"/>
              <w:left w:val="single" w:sz="8" w:space="0" w:color="auto"/>
              <w:right w:val="single" w:sz="4" w:space="0" w:color="auto"/>
            </w:tcBorders>
            <w:shd w:val="clear" w:color="auto" w:fill="auto"/>
            <w:noWrap/>
            <w:vAlign w:val="center"/>
            <w:hideMark/>
          </w:tcPr>
          <w:p w14:paraId="72FC0DCE" w14:textId="77777777" w:rsidR="00D7117A" w:rsidRPr="00CB4FB7" w:rsidRDefault="00D7117A" w:rsidP="00922FCD">
            <w:pPr>
              <w:rPr>
                <w:rFonts w:asciiTheme="majorHAnsi" w:hAnsiTheme="majorHAnsi" w:cstheme="majorHAnsi"/>
                <w:color w:val="000000"/>
                <w:sz w:val="20"/>
                <w:szCs w:val="20"/>
                <w:lang w:val="en-US" w:eastAsia="en-US"/>
              </w:rPr>
            </w:pPr>
            <w:r w:rsidRPr="00CB4FB7">
              <w:rPr>
                <w:rFonts w:asciiTheme="majorHAnsi" w:hAnsiTheme="majorHAnsi" w:cstheme="majorHAnsi"/>
                <w:sz w:val="20"/>
                <w:szCs w:val="20"/>
                <w:lang w:val="fr-CA" w:eastAsia="en-US"/>
              </w:rPr>
              <w:t>WANG, Jennifer</w:t>
            </w:r>
          </w:p>
        </w:tc>
        <w:tc>
          <w:tcPr>
            <w:tcW w:w="7111" w:type="dxa"/>
            <w:tcBorders>
              <w:top w:val="nil"/>
              <w:left w:val="nil"/>
              <w:bottom w:val="single" w:sz="4" w:space="0" w:color="auto"/>
              <w:right w:val="single" w:sz="8" w:space="0" w:color="auto"/>
            </w:tcBorders>
            <w:shd w:val="clear" w:color="auto" w:fill="auto"/>
            <w:vAlign w:val="center"/>
            <w:hideMark/>
          </w:tcPr>
          <w:p w14:paraId="4AAA8947" w14:textId="77777777" w:rsidR="00D7117A" w:rsidRPr="00CB4FB7" w:rsidRDefault="00D7117A" w:rsidP="00922FCD">
            <w:pPr>
              <w:rPr>
                <w:rFonts w:asciiTheme="majorHAnsi" w:hAnsiTheme="majorHAnsi" w:cstheme="majorHAnsi"/>
                <w:color w:val="000000"/>
                <w:sz w:val="20"/>
                <w:szCs w:val="20"/>
                <w:lang w:val="en-US" w:eastAsia="en-US"/>
              </w:rPr>
            </w:pPr>
            <w:r w:rsidRPr="00CB4FB7">
              <w:rPr>
                <w:rFonts w:asciiTheme="majorHAnsi" w:hAnsiTheme="majorHAnsi" w:cstheme="majorHAnsi"/>
                <w:color w:val="000000"/>
                <w:sz w:val="20"/>
                <w:szCs w:val="20"/>
                <w:lang w:val="en-US" w:eastAsia="en-US"/>
              </w:rPr>
              <w:t>Income Security and Social Development Branch</w:t>
            </w:r>
          </w:p>
        </w:tc>
      </w:tr>
      <w:tr w:rsidR="00D7117A" w:rsidRPr="00C20DDB" w14:paraId="1BD95994" w14:textId="77777777" w:rsidTr="00953E3C">
        <w:trPr>
          <w:trHeight w:val="342"/>
        </w:trPr>
        <w:tc>
          <w:tcPr>
            <w:tcW w:w="3134" w:type="dxa"/>
            <w:vMerge/>
            <w:tcBorders>
              <w:left w:val="single" w:sz="8" w:space="0" w:color="auto"/>
              <w:right w:val="single" w:sz="4" w:space="0" w:color="auto"/>
            </w:tcBorders>
            <w:vAlign w:val="center"/>
            <w:hideMark/>
          </w:tcPr>
          <w:p w14:paraId="2D519202" w14:textId="77777777" w:rsidR="00D7117A" w:rsidRPr="00CB4FB7" w:rsidRDefault="00D7117A" w:rsidP="00922FCD">
            <w:pPr>
              <w:rPr>
                <w:rFonts w:asciiTheme="majorHAnsi" w:hAnsiTheme="majorHAnsi" w:cstheme="majorHAnsi"/>
                <w:color w:val="000000"/>
                <w:sz w:val="20"/>
                <w:szCs w:val="20"/>
                <w:lang w:val="en-US" w:eastAsia="en-US"/>
              </w:rPr>
            </w:pPr>
          </w:p>
        </w:tc>
        <w:tc>
          <w:tcPr>
            <w:tcW w:w="7111" w:type="dxa"/>
            <w:tcBorders>
              <w:top w:val="nil"/>
              <w:left w:val="nil"/>
              <w:bottom w:val="single" w:sz="4" w:space="0" w:color="auto"/>
              <w:right w:val="single" w:sz="8" w:space="0" w:color="auto"/>
            </w:tcBorders>
            <w:shd w:val="clear" w:color="auto" w:fill="auto"/>
            <w:vAlign w:val="center"/>
            <w:hideMark/>
          </w:tcPr>
          <w:p w14:paraId="2D5B1FA2" w14:textId="77777777" w:rsidR="00D7117A" w:rsidRPr="00CB4FB7" w:rsidRDefault="00D7117A" w:rsidP="00922FCD">
            <w:pPr>
              <w:rPr>
                <w:rFonts w:asciiTheme="majorHAnsi" w:hAnsiTheme="majorHAnsi" w:cstheme="majorHAnsi"/>
                <w:color w:val="000000"/>
                <w:sz w:val="20"/>
                <w:szCs w:val="20"/>
                <w:lang w:val="en-US" w:eastAsia="en-US"/>
              </w:rPr>
            </w:pPr>
            <w:r w:rsidRPr="00CB4FB7">
              <w:rPr>
                <w:rFonts w:asciiTheme="majorHAnsi" w:hAnsiTheme="majorHAnsi" w:cstheme="majorHAnsi"/>
                <w:color w:val="000000"/>
                <w:sz w:val="20"/>
                <w:szCs w:val="20"/>
                <w:lang w:val="en-US" w:eastAsia="en-US"/>
              </w:rPr>
              <w:t>Learning Branch</w:t>
            </w:r>
          </w:p>
        </w:tc>
      </w:tr>
      <w:tr w:rsidR="00D7117A" w:rsidRPr="00C20DDB" w14:paraId="70F32AD5" w14:textId="77777777" w:rsidTr="00953E3C">
        <w:trPr>
          <w:trHeight w:val="342"/>
        </w:trPr>
        <w:tc>
          <w:tcPr>
            <w:tcW w:w="3134" w:type="dxa"/>
            <w:vMerge/>
            <w:tcBorders>
              <w:left w:val="single" w:sz="8" w:space="0" w:color="auto"/>
              <w:bottom w:val="single" w:sz="4" w:space="0" w:color="000000"/>
              <w:right w:val="single" w:sz="4" w:space="0" w:color="auto"/>
            </w:tcBorders>
            <w:vAlign w:val="center"/>
          </w:tcPr>
          <w:p w14:paraId="7C4E406E" w14:textId="77777777" w:rsidR="00D7117A" w:rsidRPr="00CB4FB7" w:rsidRDefault="00D7117A" w:rsidP="00922FCD">
            <w:pPr>
              <w:rPr>
                <w:rFonts w:asciiTheme="majorHAnsi" w:hAnsiTheme="majorHAnsi" w:cstheme="majorHAnsi"/>
                <w:color w:val="000000"/>
                <w:sz w:val="20"/>
                <w:szCs w:val="20"/>
                <w:lang w:val="en-US" w:eastAsia="en-US"/>
              </w:rPr>
            </w:pPr>
          </w:p>
        </w:tc>
        <w:tc>
          <w:tcPr>
            <w:tcW w:w="7111" w:type="dxa"/>
            <w:tcBorders>
              <w:top w:val="nil"/>
              <w:left w:val="nil"/>
              <w:bottom w:val="single" w:sz="4" w:space="0" w:color="auto"/>
              <w:right w:val="single" w:sz="8" w:space="0" w:color="auto"/>
            </w:tcBorders>
            <w:shd w:val="clear" w:color="auto" w:fill="auto"/>
            <w:vAlign w:val="center"/>
          </w:tcPr>
          <w:p w14:paraId="610AA89B" w14:textId="77777777" w:rsidR="00D7117A" w:rsidRPr="00CB4FB7" w:rsidRDefault="00D7117A" w:rsidP="00922FCD">
            <w:pPr>
              <w:rPr>
                <w:rFonts w:asciiTheme="majorHAnsi" w:hAnsiTheme="majorHAnsi" w:cstheme="majorHAnsi"/>
                <w:color w:val="000000"/>
                <w:sz w:val="20"/>
                <w:szCs w:val="20"/>
                <w:lang w:val="en-US" w:eastAsia="en-US"/>
              </w:rPr>
            </w:pPr>
            <w:r w:rsidRPr="00CB4FB7">
              <w:rPr>
                <w:rFonts w:asciiTheme="majorHAnsi" w:hAnsiTheme="majorHAnsi" w:cstheme="majorHAnsi"/>
                <w:color w:val="000000"/>
                <w:sz w:val="20"/>
                <w:szCs w:val="20"/>
                <w:lang w:val="en-US" w:eastAsia="en-US"/>
              </w:rPr>
              <w:t>Policy Horizons Canada</w:t>
            </w:r>
          </w:p>
        </w:tc>
      </w:tr>
      <w:tr w:rsidR="00D7117A" w:rsidRPr="00C20DDB" w14:paraId="7AAF9FD3" w14:textId="77777777" w:rsidTr="00953E3C">
        <w:trPr>
          <w:trHeight w:val="342"/>
        </w:trPr>
        <w:tc>
          <w:tcPr>
            <w:tcW w:w="3134" w:type="dxa"/>
            <w:vMerge w:val="restart"/>
            <w:tcBorders>
              <w:top w:val="nil"/>
              <w:left w:val="single" w:sz="8" w:space="0" w:color="auto"/>
              <w:right w:val="single" w:sz="4" w:space="0" w:color="auto"/>
            </w:tcBorders>
            <w:shd w:val="clear" w:color="000000" w:fill="DCE6F1"/>
            <w:noWrap/>
            <w:vAlign w:val="center"/>
            <w:hideMark/>
          </w:tcPr>
          <w:p w14:paraId="3BBF1621" w14:textId="77777777" w:rsidR="00D7117A" w:rsidRPr="00CB4FB7" w:rsidRDefault="00D7117A" w:rsidP="00922FCD">
            <w:pPr>
              <w:rPr>
                <w:rFonts w:asciiTheme="majorHAnsi" w:hAnsiTheme="majorHAnsi" w:cstheme="majorHAnsi"/>
                <w:color w:val="000000"/>
                <w:sz w:val="20"/>
                <w:szCs w:val="20"/>
                <w:lang w:val="fr-CA" w:eastAsia="en-US"/>
              </w:rPr>
            </w:pPr>
            <w:r w:rsidRPr="00CB4FB7">
              <w:rPr>
                <w:rFonts w:asciiTheme="majorHAnsi" w:hAnsiTheme="majorHAnsi" w:cstheme="majorHAnsi"/>
                <w:color w:val="000000"/>
                <w:sz w:val="20"/>
                <w:szCs w:val="20"/>
                <w:lang w:val="en-US" w:eastAsia="en-US"/>
              </w:rPr>
              <w:t>MADRID, André</w:t>
            </w:r>
          </w:p>
        </w:tc>
        <w:tc>
          <w:tcPr>
            <w:tcW w:w="7111" w:type="dxa"/>
            <w:tcBorders>
              <w:top w:val="single" w:sz="4" w:space="0" w:color="auto"/>
              <w:left w:val="nil"/>
              <w:bottom w:val="single" w:sz="4" w:space="0" w:color="auto"/>
              <w:right w:val="single" w:sz="8" w:space="0" w:color="auto"/>
            </w:tcBorders>
            <w:shd w:val="clear" w:color="000000" w:fill="DCE6F1"/>
            <w:noWrap/>
            <w:vAlign w:val="center"/>
            <w:hideMark/>
          </w:tcPr>
          <w:p w14:paraId="2CC0C76E" w14:textId="77777777" w:rsidR="00D7117A" w:rsidRPr="00CB4FB7" w:rsidRDefault="00D7117A" w:rsidP="00922FCD">
            <w:pPr>
              <w:rPr>
                <w:rFonts w:asciiTheme="majorHAnsi" w:hAnsiTheme="majorHAnsi" w:cstheme="majorHAnsi"/>
                <w:color w:val="000000"/>
                <w:sz w:val="20"/>
                <w:szCs w:val="20"/>
                <w:lang w:val="en-US" w:eastAsia="en-US"/>
              </w:rPr>
            </w:pPr>
            <w:r w:rsidRPr="00CB4FB7">
              <w:rPr>
                <w:rFonts w:asciiTheme="majorHAnsi" w:hAnsiTheme="majorHAnsi" w:cstheme="majorHAnsi"/>
                <w:color w:val="000000"/>
                <w:sz w:val="20"/>
                <w:szCs w:val="20"/>
                <w:lang w:val="en-US" w:eastAsia="en-US"/>
              </w:rPr>
              <w:t>Labour Program</w:t>
            </w:r>
          </w:p>
        </w:tc>
      </w:tr>
      <w:tr w:rsidR="00D7117A" w:rsidRPr="00C20DDB" w14:paraId="6B5554D6" w14:textId="77777777" w:rsidTr="00953E3C">
        <w:trPr>
          <w:trHeight w:val="342"/>
        </w:trPr>
        <w:tc>
          <w:tcPr>
            <w:tcW w:w="3134" w:type="dxa"/>
            <w:vMerge/>
            <w:tcBorders>
              <w:left w:val="single" w:sz="8" w:space="0" w:color="auto"/>
              <w:bottom w:val="single" w:sz="4" w:space="0" w:color="auto"/>
              <w:right w:val="single" w:sz="4" w:space="0" w:color="auto"/>
            </w:tcBorders>
            <w:shd w:val="clear" w:color="000000" w:fill="DCE6F1"/>
            <w:noWrap/>
            <w:vAlign w:val="center"/>
          </w:tcPr>
          <w:p w14:paraId="3E934BD3" w14:textId="77777777" w:rsidR="00D7117A" w:rsidRPr="00CB4FB7" w:rsidRDefault="00D7117A" w:rsidP="00922FCD">
            <w:pPr>
              <w:rPr>
                <w:rFonts w:asciiTheme="majorHAnsi" w:hAnsiTheme="majorHAnsi" w:cstheme="majorHAnsi"/>
                <w:color w:val="000000"/>
                <w:sz w:val="20"/>
                <w:szCs w:val="20"/>
                <w:lang w:val="en-US" w:eastAsia="en-US"/>
              </w:rPr>
            </w:pPr>
          </w:p>
        </w:tc>
        <w:tc>
          <w:tcPr>
            <w:tcW w:w="7111" w:type="dxa"/>
            <w:tcBorders>
              <w:top w:val="single" w:sz="4" w:space="0" w:color="auto"/>
              <w:left w:val="nil"/>
              <w:bottom w:val="single" w:sz="4" w:space="0" w:color="auto"/>
              <w:right w:val="single" w:sz="8" w:space="0" w:color="auto"/>
            </w:tcBorders>
            <w:shd w:val="clear" w:color="000000" w:fill="DCE6F1"/>
            <w:noWrap/>
            <w:vAlign w:val="center"/>
          </w:tcPr>
          <w:p w14:paraId="33D0C654" w14:textId="77777777" w:rsidR="00D7117A" w:rsidRPr="00CB4FB7" w:rsidRDefault="00D7117A" w:rsidP="00922FCD">
            <w:pPr>
              <w:rPr>
                <w:rFonts w:asciiTheme="majorHAnsi" w:hAnsiTheme="majorHAnsi" w:cstheme="majorHAnsi"/>
                <w:color w:val="000000"/>
                <w:sz w:val="20"/>
                <w:szCs w:val="20"/>
                <w:lang w:val="en-US" w:eastAsia="en-US"/>
              </w:rPr>
            </w:pPr>
            <w:r w:rsidRPr="00CB4FB7">
              <w:rPr>
                <w:rFonts w:asciiTheme="majorHAnsi" w:hAnsiTheme="majorHAnsi" w:cstheme="majorHAnsi"/>
                <w:color w:val="000000"/>
                <w:sz w:val="20"/>
                <w:szCs w:val="20"/>
                <w:lang w:val="en-US" w:eastAsia="en-US"/>
              </w:rPr>
              <w:t>Strategic and Service Policy Branch</w:t>
            </w:r>
          </w:p>
        </w:tc>
      </w:tr>
      <w:tr w:rsidR="00D56CD4" w:rsidRPr="00C20DDB" w14:paraId="06B74180" w14:textId="77777777" w:rsidTr="00BC62A8">
        <w:trPr>
          <w:trHeight w:val="342"/>
        </w:trPr>
        <w:tc>
          <w:tcPr>
            <w:tcW w:w="3134" w:type="dxa"/>
            <w:vMerge w:val="restart"/>
            <w:tcBorders>
              <w:top w:val="nil"/>
              <w:left w:val="single" w:sz="8" w:space="0" w:color="auto"/>
              <w:right w:val="single" w:sz="4" w:space="0" w:color="auto"/>
            </w:tcBorders>
            <w:shd w:val="clear" w:color="auto" w:fill="auto"/>
            <w:noWrap/>
            <w:vAlign w:val="center"/>
            <w:hideMark/>
          </w:tcPr>
          <w:p w14:paraId="43A48B28" w14:textId="77777777" w:rsidR="00D56CD4" w:rsidRPr="00CB4FB7" w:rsidRDefault="00D56CD4" w:rsidP="00922FCD">
            <w:pPr>
              <w:rPr>
                <w:rFonts w:asciiTheme="majorHAnsi" w:hAnsiTheme="majorHAnsi" w:cstheme="majorHAnsi"/>
                <w:color w:val="000000"/>
                <w:sz w:val="20"/>
                <w:szCs w:val="20"/>
                <w:lang w:val="en-US" w:eastAsia="en-US"/>
              </w:rPr>
            </w:pPr>
            <w:r w:rsidRPr="00CB4FB7">
              <w:rPr>
                <w:rFonts w:asciiTheme="majorHAnsi" w:hAnsiTheme="majorHAnsi" w:cstheme="majorHAnsi"/>
                <w:sz w:val="20"/>
                <w:szCs w:val="20"/>
                <w:lang w:val="fr-CA" w:eastAsia="en-US"/>
              </w:rPr>
              <w:t xml:space="preserve">ERDMAN, Adam </w:t>
            </w:r>
          </w:p>
        </w:tc>
        <w:tc>
          <w:tcPr>
            <w:tcW w:w="7111" w:type="dxa"/>
            <w:tcBorders>
              <w:top w:val="nil"/>
              <w:left w:val="nil"/>
              <w:bottom w:val="single" w:sz="4" w:space="0" w:color="auto"/>
              <w:right w:val="single" w:sz="8" w:space="0" w:color="auto"/>
            </w:tcBorders>
            <w:shd w:val="clear" w:color="auto" w:fill="auto"/>
            <w:vAlign w:val="center"/>
            <w:hideMark/>
          </w:tcPr>
          <w:p w14:paraId="1A7B4949" w14:textId="77777777" w:rsidR="00D56CD4" w:rsidRPr="00CB4FB7" w:rsidRDefault="00D56CD4" w:rsidP="00922FCD">
            <w:pPr>
              <w:rPr>
                <w:rFonts w:asciiTheme="majorHAnsi" w:hAnsiTheme="majorHAnsi" w:cstheme="majorHAnsi"/>
                <w:color w:val="000000"/>
                <w:sz w:val="20"/>
                <w:szCs w:val="20"/>
                <w:lang w:val="en-US" w:eastAsia="en-US"/>
              </w:rPr>
            </w:pPr>
            <w:r w:rsidRPr="00CB4FB7">
              <w:rPr>
                <w:rFonts w:asciiTheme="majorHAnsi" w:hAnsiTheme="majorHAnsi" w:cstheme="majorHAnsi"/>
                <w:color w:val="000000"/>
                <w:sz w:val="20"/>
                <w:szCs w:val="20"/>
                <w:lang w:val="en-US" w:eastAsia="en-US"/>
              </w:rPr>
              <w:t>Chief Operating Officer</w:t>
            </w:r>
          </w:p>
        </w:tc>
      </w:tr>
      <w:tr w:rsidR="00D56CD4" w:rsidRPr="00C20DDB" w14:paraId="046FB2E4" w14:textId="77777777" w:rsidTr="00BC62A8">
        <w:trPr>
          <w:trHeight w:val="342"/>
        </w:trPr>
        <w:tc>
          <w:tcPr>
            <w:tcW w:w="3134" w:type="dxa"/>
            <w:vMerge/>
            <w:tcBorders>
              <w:left w:val="single" w:sz="8" w:space="0" w:color="auto"/>
              <w:right w:val="single" w:sz="4" w:space="0" w:color="auto"/>
            </w:tcBorders>
            <w:vAlign w:val="center"/>
            <w:hideMark/>
          </w:tcPr>
          <w:p w14:paraId="3F588605" w14:textId="77777777" w:rsidR="00D56CD4" w:rsidRPr="00CB4FB7" w:rsidRDefault="00D56CD4" w:rsidP="00922FCD">
            <w:pPr>
              <w:rPr>
                <w:rFonts w:asciiTheme="majorHAnsi" w:hAnsiTheme="majorHAnsi" w:cstheme="majorHAnsi"/>
                <w:color w:val="000000"/>
                <w:sz w:val="20"/>
                <w:szCs w:val="20"/>
                <w:lang w:val="en-US" w:eastAsia="en-US"/>
              </w:rPr>
            </w:pPr>
          </w:p>
        </w:tc>
        <w:tc>
          <w:tcPr>
            <w:tcW w:w="7111" w:type="dxa"/>
            <w:tcBorders>
              <w:top w:val="single" w:sz="4" w:space="0" w:color="auto"/>
              <w:left w:val="nil"/>
              <w:bottom w:val="single" w:sz="4" w:space="0" w:color="auto"/>
              <w:right w:val="single" w:sz="8" w:space="0" w:color="auto"/>
            </w:tcBorders>
            <w:shd w:val="clear" w:color="auto" w:fill="auto"/>
            <w:vAlign w:val="center"/>
            <w:hideMark/>
          </w:tcPr>
          <w:p w14:paraId="421A4256" w14:textId="77777777" w:rsidR="00D56CD4" w:rsidRPr="00CB4FB7" w:rsidRDefault="00D56CD4" w:rsidP="00922FCD">
            <w:pPr>
              <w:rPr>
                <w:rFonts w:asciiTheme="majorHAnsi" w:hAnsiTheme="majorHAnsi" w:cstheme="majorHAnsi"/>
                <w:color w:val="000000"/>
                <w:sz w:val="20"/>
                <w:szCs w:val="20"/>
                <w:lang w:val="en-US" w:eastAsia="en-US"/>
              </w:rPr>
            </w:pPr>
            <w:r w:rsidRPr="00CB4FB7">
              <w:rPr>
                <w:rFonts w:asciiTheme="majorHAnsi" w:hAnsiTheme="majorHAnsi" w:cstheme="majorHAnsi"/>
                <w:color w:val="000000"/>
                <w:sz w:val="20"/>
                <w:szCs w:val="20"/>
                <w:lang w:val="en-US" w:eastAsia="en-US"/>
              </w:rPr>
              <w:t>Integrity Services Branch</w:t>
            </w:r>
          </w:p>
        </w:tc>
      </w:tr>
      <w:tr w:rsidR="00D56CD4" w:rsidRPr="00C20DDB" w14:paraId="5D01ABA7" w14:textId="77777777" w:rsidTr="00BC62A8">
        <w:trPr>
          <w:trHeight w:val="342"/>
        </w:trPr>
        <w:tc>
          <w:tcPr>
            <w:tcW w:w="3134" w:type="dxa"/>
            <w:vMerge/>
            <w:tcBorders>
              <w:left w:val="single" w:sz="8" w:space="0" w:color="auto"/>
              <w:right w:val="single" w:sz="4" w:space="0" w:color="auto"/>
            </w:tcBorders>
            <w:vAlign w:val="center"/>
            <w:hideMark/>
          </w:tcPr>
          <w:p w14:paraId="4C2E798B" w14:textId="77777777" w:rsidR="00D56CD4" w:rsidRPr="00CB4FB7" w:rsidRDefault="00D56CD4" w:rsidP="00922FCD">
            <w:pPr>
              <w:rPr>
                <w:rFonts w:asciiTheme="majorHAnsi" w:hAnsiTheme="majorHAnsi" w:cstheme="majorHAnsi"/>
                <w:color w:val="000000"/>
                <w:sz w:val="20"/>
                <w:szCs w:val="20"/>
                <w:lang w:val="en-US" w:eastAsia="en-US"/>
              </w:rPr>
            </w:pPr>
          </w:p>
        </w:tc>
        <w:tc>
          <w:tcPr>
            <w:tcW w:w="7111" w:type="dxa"/>
            <w:tcBorders>
              <w:top w:val="nil"/>
              <w:left w:val="nil"/>
              <w:bottom w:val="single" w:sz="4" w:space="0" w:color="auto"/>
              <w:right w:val="single" w:sz="8" w:space="0" w:color="auto"/>
            </w:tcBorders>
            <w:shd w:val="clear" w:color="auto" w:fill="auto"/>
            <w:noWrap/>
            <w:vAlign w:val="center"/>
            <w:hideMark/>
          </w:tcPr>
          <w:p w14:paraId="2DF9A37D" w14:textId="77777777" w:rsidR="00D56CD4" w:rsidRPr="00CB4FB7" w:rsidRDefault="00D56CD4" w:rsidP="00922FCD">
            <w:pPr>
              <w:rPr>
                <w:rFonts w:asciiTheme="majorHAnsi" w:hAnsiTheme="majorHAnsi" w:cstheme="majorHAnsi"/>
                <w:color w:val="000000"/>
                <w:sz w:val="20"/>
                <w:szCs w:val="20"/>
                <w:lang w:val="en-US" w:eastAsia="en-US"/>
              </w:rPr>
            </w:pPr>
            <w:r w:rsidRPr="00CB4FB7">
              <w:rPr>
                <w:rFonts w:asciiTheme="majorHAnsi" w:hAnsiTheme="majorHAnsi" w:cstheme="majorHAnsi"/>
                <w:color w:val="000000"/>
                <w:sz w:val="20"/>
                <w:szCs w:val="20"/>
                <w:lang w:val="en-US" w:eastAsia="en-US"/>
              </w:rPr>
              <w:t>Program Operations Branch</w:t>
            </w:r>
          </w:p>
        </w:tc>
      </w:tr>
      <w:tr w:rsidR="00D56CD4" w:rsidRPr="00C20DDB" w14:paraId="1530BF63" w14:textId="77777777" w:rsidTr="00BC62A8">
        <w:trPr>
          <w:trHeight w:val="342"/>
        </w:trPr>
        <w:tc>
          <w:tcPr>
            <w:tcW w:w="3134" w:type="dxa"/>
            <w:vMerge/>
            <w:tcBorders>
              <w:left w:val="single" w:sz="8" w:space="0" w:color="auto"/>
              <w:right w:val="single" w:sz="4" w:space="0" w:color="auto"/>
            </w:tcBorders>
            <w:vAlign w:val="center"/>
          </w:tcPr>
          <w:p w14:paraId="401E5731" w14:textId="77777777" w:rsidR="00D56CD4" w:rsidRPr="00CB4FB7" w:rsidRDefault="00D56CD4" w:rsidP="00922FCD">
            <w:pPr>
              <w:rPr>
                <w:rFonts w:asciiTheme="majorHAnsi" w:hAnsiTheme="majorHAnsi" w:cstheme="majorHAnsi"/>
                <w:color w:val="000000"/>
                <w:sz w:val="20"/>
                <w:szCs w:val="20"/>
                <w:lang w:val="en-US" w:eastAsia="en-US"/>
              </w:rPr>
            </w:pPr>
          </w:p>
        </w:tc>
        <w:tc>
          <w:tcPr>
            <w:tcW w:w="7111" w:type="dxa"/>
            <w:tcBorders>
              <w:top w:val="nil"/>
              <w:left w:val="nil"/>
              <w:bottom w:val="single" w:sz="4" w:space="0" w:color="auto"/>
              <w:right w:val="single" w:sz="8" w:space="0" w:color="auto"/>
            </w:tcBorders>
            <w:shd w:val="clear" w:color="auto" w:fill="auto"/>
            <w:noWrap/>
            <w:vAlign w:val="center"/>
          </w:tcPr>
          <w:p w14:paraId="6703BB2E" w14:textId="678B71D4" w:rsidR="00D56CD4" w:rsidRPr="00CB4FB7" w:rsidRDefault="002C41C5" w:rsidP="00922FCD">
            <w:pPr>
              <w:rPr>
                <w:rFonts w:asciiTheme="majorHAnsi" w:hAnsiTheme="majorHAnsi" w:cstheme="majorHAnsi"/>
                <w:color w:val="000000"/>
                <w:sz w:val="20"/>
                <w:szCs w:val="20"/>
                <w:lang w:val="en-US" w:eastAsia="en-US"/>
              </w:rPr>
            </w:pPr>
            <w:r>
              <w:rPr>
                <w:rFonts w:asciiTheme="majorHAnsi" w:hAnsiTheme="majorHAnsi" w:cstheme="majorHAnsi"/>
                <w:color w:val="000000"/>
                <w:sz w:val="20"/>
                <w:szCs w:val="20"/>
                <w:lang w:val="en-US" w:eastAsia="en-US"/>
              </w:rPr>
              <w:t xml:space="preserve">CMCP - </w:t>
            </w:r>
            <w:r w:rsidR="00D56CD4">
              <w:rPr>
                <w:rFonts w:asciiTheme="majorHAnsi" w:hAnsiTheme="majorHAnsi" w:cstheme="majorHAnsi"/>
                <w:color w:val="000000"/>
                <w:sz w:val="20"/>
                <w:szCs w:val="20"/>
                <w:lang w:val="en-US" w:eastAsia="en-US"/>
              </w:rPr>
              <w:t>Vital Events</w:t>
            </w:r>
            <w:r w:rsidR="00841A00">
              <w:rPr>
                <w:rFonts w:asciiTheme="majorHAnsi" w:hAnsiTheme="majorHAnsi" w:cstheme="majorHAnsi"/>
                <w:color w:val="000000"/>
                <w:sz w:val="20"/>
                <w:szCs w:val="20"/>
                <w:lang w:val="en-US" w:eastAsia="en-US"/>
              </w:rPr>
              <w:t xml:space="preserve"> Linkages</w:t>
            </w:r>
          </w:p>
        </w:tc>
      </w:tr>
      <w:tr w:rsidR="00D56CD4" w:rsidRPr="00C20DDB" w14:paraId="0D2A30A4" w14:textId="77777777" w:rsidTr="00BC62A8">
        <w:trPr>
          <w:trHeight w:val="342"/>
        </w:trPr>
        <w:tc>
          <w:tcPr>
            <w:tcW w:w="3134" w:type="dxa"/>
            <w:vMerge/>
            <w:tcBorders>
              <w:left w:val="single" w:sz="8" w:space="0" w:color="auto"/>
              <w:bottom w:val="single" w:sz="4" w:space="0" w:color="auto"/>
              <w:right w:val="single" w:sz="4" w:space="0" w:color="auto"/>
            </w:tcBorders>
            <w:vAlign w:val="center"/>
          </w:tcPr>
          <w:p w14:paraId="6CCFB48B" w14:textId="77777777" w:rsidR="00D56CD4" w:rsidRPr="00CB4FB7" w:rsidRDefault="00D56CD4" w:rsidP="00922FCD">
            <w:pPr>
              <w:rPr>
                <w:rFonts w:asciiTheme="majorHAnsi" w:hAnsiTheme="majorHAnsi" w:cstheme="majorHAnsi"/>
                <w:color w:val="000000"/>
                <w:sz w:val="20"/>
                <w:szCs w:val="20"/>
                <w:lang w:val="en-US" w:eastAsia="en-US"/>
              </w:rPr>
            </w:pPr>
          </w:p>
        </w:tc>
        <w:tc>
          <w:tcPr>
            <w:tcW w:w="7111" w:type="dxa"/>
            <w:tcBorders>
              <w:top w:val="nil"/>
              <w:left w:val="nil"/>
              <w:bottom w:val="single" w:sz="4" w:space="0" w:color="auto"/>
              <w:right w:val="single" w:sz="8" w:space="0" w:color="auto"/>
            </w:tcBorders>
            <w:shd w:val="clear" w:color="auto" w:fill="auto"/>
            <w:noWrap/>
            <w:vAlign w:val="center"/>
          </w:tcPr>
          <w:p w14:paraId="774E2D3B" w14:textId="53E03231" w:rsidR="00D56CD4" w:rsidRDefault="002C41C5" w:rsidP="00922FCD">
            <w:pPr>
              <w:rPr>
                <w:rFonts w:asciiTheme="majorHAnsi" w:hAnsiTheme="majorHAnsi" w:cstheme="majorHAnsi"/>
                <w:color w:val="000000"/>
                <w:sz w:val="20"/>
                <w:szCs w:val="20"/>
                <w:lang w:val="en-US" w:eastAsia="en-US"/>
              </w:rPr>
            </w:pPr>
            <w:r>
              <w:rPr>
                <w:rFonts w:asciiTheme="majorHAnsi" w:hAnsiTheme="majorHAnsi" w:cstheme="majorHAnsi"/>
                <w:color w:val="000000"/>
                <w:sz w:val="20"/>
                <w:szCs w:val="20"/>
                <w:lang w:val="en-US" w:eastAsia="en-US"/>
              </w:rPr>
              <w:t xml:space="preserve">CMCP - </w:t>
            </w:r>
            <w:r w:rsidR="00D56CD4">
              <w:rPr>
                <w:rFonts w:asciiTheme="majorHAnsi" w:hAnsiTheme="majorHAnsi" w:cstheme="majorHAnsi"/>
                <w:color w:val="000000"/>
                <w:sz w:val="20"/>
                <w:szCs w:val="20"/>
                <w:lang w:val="en-US" w:eastAsia="en-US"/>
              </w:rPr>
              <w:t>Cyber Authentication</w:t>
            </w:r>
          </w:p>
        </w:tc>
      </w:tr>
      <w:tr w:rsidR="00D7117A" w:rsidRPr="00C20DDB" w14:paraId="4CDBF0A5" w14:textId="77777777" w:rsidTr="00953E3C">
        <w:trPr>
          <w:trHeight w:val="453"/>
        </w:trPr>
        <w:tc>
          <w:tcPr>
            <w:tcW w:w="3134" w:type="dxa"/>
            <w:tcBorders>
              <w:top w:val="single" w:sz="4" w:space="0" w:color="auto"/>
              <w:left w:val="single" w:sz="8" w:space="0" w:color="auto"/>
              <w:bottom w:val="single" w:sz="4" w:space="0" w:color="auto"/>
              <w:right w:val="single" w:sz="4" w:space="0" w:color="auto"/>
            </w:tcBorders>
            <w:shd w:val="clear" w:color="000000" w:fill="DCE6F1"/>
            <w:noWrap/>
            <w:vAlign w:val="center"/>
            <w:hideMark/>
          </w:tcPr>
          <w:p w14:paraId="24231D2E" w14:textId="73177746" w:rsidR="00D7117A" w:rsidRPr="00CB4FB7" w:rsidRDefault="00F757C4" w:rsidP="00F757C4">
            <w:pPr>
              <w:rPr>
                <w:rFonts w:asciiTheme="majorHAnsi" w:hAnsiTheme="majorHAnsi" w:cstheme="majorHAnsi"/>
                <w:color w:val="000000"/>
                <w:sz w:val="20"/>
                <w:szCs w:val="20"/>
                <w:lang w:val="en-US" w:eastAsia="en-US"/>
              </w:rPr>
            </w:pPr>
            <w:r w:rsidRPr="00CB4FB7">
              <w:rPr>
                <w:rFonts w:asciiTheme="majorHAnsi" w:hAnsiTheme="majorHAnsi" w:cstheme="majorHAnsi"/>
                <w:color w:val="000000"/>
                <w:sz w:val="20"/>
                <w:szCs w:val="20"/>
                <w:lang w:val="en-US" w:eastAsia="en-US"/>
              </w:rPr>
              <w:t>DESGAGNÉ</w:t>
            </w:r>
            <w:r w:rsidR="00D7117A" w:rsidRPr="00CB4FB7">
              <w:rPr>
                <w:rFonts w:asciiTheme="majorHAnsi" w:hAnsiTheme="majorHAnsi" w:cstheme="majorHAnsi"/>
                <w:color w:val="000000"/>
                <w:sz w:val="20"/>
                <w:szCs w:val="20"/>
                <w:lang w:val="en-US" w:eastAsia="en-US"/>
              </w:rPr>
              <w:t xml:space="preserve">, </w:t>
            </w:r>
            <w:r w:rsidRPr="00CB4FB7">
              <w:rPr>
                <w:rFonts w:asciiTheme="majorHAnsi" w:hAnsiTheme="majorHAnsi" w:cstheme="majorHAnsi"/>
                <w:sz w:val="20"/>
                <w:szCs w:val="20"/>
                <w:lang w:val="fr-CA" w:eastAsia="en-US"/>
              </w:rPr>
              <w:t>Sébastien</w:t>
            </w:r>
          </w:p>
        </w:tc>
        <w:tc>
          <w:tcPr>
            <w:tcW w:w="7111" w:type="dxa"/>
            <w:tcBorders>
              <w:top w:val="nil"/>
              <w:left w:val="nil"/>
              <w:right w:val="single" w:sz="8" w:space="0" w:color="auto"/>
            </w:tcBorders>
            <w:shd w:val="clear" w:color="000000" w:fill="DCE6F1"/>
            <w:vAlign w:val="center"/>
          </w:tcPr>
          <w:p w14:paraId="72233CAF" w14:textId="77777777" w:rsidR="00D7117A" w:rsidRPr="00CB4FB7" w:rsidRDefault="00D7117A" w:rsidP="00922FCD">
            <w:pPr>
              <w:rPr>
                <w:rFonts w:asciiTheme="majorHAnsi" w:hAnsiTheme="majorHAnsi" w:cstheme="majorHAnsi"/>
                <w:color w:val="000000"/>
                <w:sz w:val="20"/>
                <w:szCs w:val="20"/>
                <w:lang w:val="en-US" w:eastAsia="en-US"/>
              </w:rPr>
            </w:pPr>
            <w:r w:rsidRPr="00CB4FB7">
              <w:rPr>
                <w:rFonts w:asciiTheme="majorHAnsi" w:hAnsiTheme="majorHAnsi" w:cstheme="majorHAnsi"/>
                <w:color w:val="000000"/>
                <w:sz w:val="20"/>
                <w:szCs w:val="20"/>
                <w:lang w:val="en-US" w:eastAsia="en-US"/>
              </w:rPr>
              <w:t>Citizen Services Branch (including Passport)</w:t>
            </w:r>
          </w:p>
        </w:tc>
      </w:tr>
      <w:tr w:rsidR="001F5289" w:rsidRPr="00C20DDB" w14:paraId="236FD48C" w14:textId="77777777" w:rsidTr="00F757C4">
        <w:trPr>
          <w:trHeight w:val="342"/>
        </w:trPr>
        <w:tc>
          <w:tcPr>
            <w:tcW w:w="3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EEFD01A" w14:textId="5610DEC5" w:rsidR="001F5289" w:rsidRPr="00CB4FB7" w:rsidRDefault="001F5289" w:rsidP="00922FCD">
            <w:pPr>
              <w:rPr>
                <w:rFonts w:asciiTheme="majorHAnsi" w:hAnsiTheme="majorHAnsi" w:cstheme="majorHAnsi"/>
                <w:sz w:val="20"/>
                <w:szCs w:val="20"/>
                <w:lang w:val="fr-CA" w:eastAsia="en-US"/>
              </w:rPr>
            </w:pPr>
            <w:r w:rsidRPr="00CB4FB7">
              <w:rPr>
                <w:rFonts w:asciiTheme="majorHAnsi" w:hAnsiTheme="majorHAnsi" w:cstheme="majorHAnsi"/>
                <w:sz w:val="20"/>
                <w:szCs w:val="20"/>
                <w:lang w:val="fr-CA" w:eastAsia="en-US"/>
              </w:rPr>
              <w:t>VINET, Josée</w:t>
            </w:r>
          </w:p>
        </w:tc>
        <w:tc>
          <w:tcPr>
            <w:tcW w:w="7111" w:type="dxa"/>
            <w:tcBorders>
              <w:top w:val="single" w:sz="4" w:space="0" w:color="auto"/>
              <w:left w:val="nil"/>
              <w:bottom w:val="single" w:sz="4" w:space="0" w:color="auto"/>
              <w:right w:val="single" w:sz="8" w:space="0" w:color="auto"/>
            </w:tcBorders>
            <w:shd w:val="clear" w:color="auto" w:fill="auto"/>
            <w:noWrap/>
            <w:vAlign w:val="center"/>
          </w:tcPr>
          <w:p w14:paraId="610F4FA8" w14:textId="6B4505A4" w:rsidR="001F5289" w:rsidRPr="00CB4FB7" w:rsidRDefault="001F5289" w:rsidP="00922FCD">
            <w:pPr>
              <w:rPr>
                <w:rFonts w:asciiTheme="majorHAnsi" w:hAnsiTheme="majorHAnsi" w:cstheme="majorHAnsi"/>
                <w:color w:val="000000"/>
                <w:sz w:val="20"/>
                <w:szCs w:val="20"/>
                <w:lang w:val="en-US" w:eastAsia="en-US"/>
              </w:rPr>
            </w:pPr>
            <w:r w:rsidRPr="00CB4FB7">
              <w:rPr>
                <w:rFonts w:asciiTheme="majorHAnsi" w:hAnsiTheme="majorHAnsi" w:cstheme="majorHAnsi"/>
                <w:color w:val="000000"/>
                <w:sz w:val="20"/>
                <w:szCs w:val="20"/>
                <w:lang w:val="en-US" w:eastAsia="en-US"/>
              </w:rPr>
              <w:t xml:space="preserve">Transformation Management </w:t>
            </w:r>
          </w:p>
        </w:tc>
      </w:tr>
      <w:tr w:rsidR="00D56CD4" w:rsidRPr="00C20DDB" w14:paraId="60C7294F" w14:textId="77777777" w:rsidTr="00BC62A8">
        <w:trPr>
          <w:trHeight w:val="376"/>
        </w:trPr>
        <w:tc>
          <w:tcPr>
            <w:tcW w:w="3134" w:type="dxa"/>
            <w:vMerge w:val="restart"/>
            <w:tcBorders>
              <w:top w:val="single" w:sz="4" w:space="0" w:color="auto"/>
              <w:left w:val="single" w:sz="8" w:space="0" w:color="auto"/>
              <w:right w:val="single" w:sz="4" w:space="0" w:color="auto"/>
            </w:tcBorders>
            <w:shd w:val="clear" w:color="auto" w:fill="auto"/>
            <w:noWrap/>
            <w:vAlign w:val="center"/>
            <w:hideMark/>
          </w:tcPr>
          <w:p w14:paraId="57C43BD3" w14:textId="250F12D8" w:rsidR="00D56CD4" w:rsidRPr="00CB4FB7" w:rsidRDefault="00D56CD4" w:rsidP="006834EC">
            <w:pPr>
              <w:rPr>
                <w:rFonts w:asciiTheme="majorHAnsi" w:hAnsiTheme="majorHAnsi" w:cstheme="majorHAnsi"/>
                <w:color w:val="000000"/>
                <w:sz w:val="20"/>
                <w:szCs w:val="20"/>
                <w:lang w:val="fr-CA" w:eastAsia="en-US"/>
              </w:rPr>
            </w:pPr>
            <w:r w:rsidRPr="00CB4FB7">
              <w:rPr>
                <w:rFonts w:asciiTheme="majorHAnsi" w:hAnsiTheme="majorHAnsi" w:cstheme="majorHAnsi"/>
                <w:sz w:val="20"/>
                <w:szCs w:val="20"/>
                <w:lang w:val="fr-CA" w:eastAsia="en-US"/>
              </w:rPr>
              <w:t>ASSAAD, Ghassan</w:t>
            </w:r>
          </w:p>
        </w:tc>
        <w:tc>
          <w:tcPr>
            <w:tcW w:w="7111" w:type="dxa"/>
            <w:tcBorders>
              <w:top w:val="single" w:sz="4" w:space="0" w:color="auto"/>
              <w:left w:val="nil"/>
              <w:bottom w:val="single" w:sz="4" w:space="0" w:color="auto"/>
              <w:right w:val="single" w:sz="8" w:space="0" w:color="auto"/>
            </w:tcBorders>
            <w:shd w:val="clear" w:color="auto" w:fill="auto"/>
            <w:noWrap/>
            <w:vAlign w:val="center"/>
            <w:hideMark/>
          </w:tcPr>
          <w:p w14:paraId="1E37E133" w14:textId="51F6429D" w:rsidR="00D56CD4" w:rsidRPr="00CB4FB7" w:rsidRDefault="00D56CD4" w:rsidP="00922FCD">
            <w:pPr>
              <w:rPr>
                <w:rFonts w:asciiTheme="majorHAnsi" w:hAnsiTheme="majorHAnsi" w:cstheme="majorHAnsi"/>
                <w:color w:val="000000"/>
                <w:sz w:val="20"/>
                <w:szCs w:val="20"/>
                <w:lang w:val="en-US" w:eastAsia="en-US"/>
              </w:rPr>
            </w:pPr>
            <w:r w:rsidRPr="00CB4FB7">
              <w:rPr>
                <w:rFonts w:asciiTheme="majorHAnsi" w:hAnsiTheme="majorHAnsi" w:cstheme="majorHAnsi"/>
                <w:color w:val="000000"/>
                <w:sz w:val="20"/>
                <w:szCs w:val="20"/>
                <w:lang w:val="en-US" w:eastAsia="en-US"/>
              </w:rPr>
              <w:t xml:space="preserve">Benefits </w:t>
            </w:r>
            <w:r>
              <w:rPr>
                <w:rFonts w:asciiTheme="majorHAnsi" w:hAnsiTheme="majorHAnsi" w:cstheme="majorHAnsi"/>
                <w:color w:val="000000"/>
                <w:sz w:val="20"/>
                <w:szCs w:val="20"/>
                <w:lang w:val="en-US" w:eastAsia="en-US"/>
              </w:rPr>
              <w:t>and Integrated Services</w:t>
            </w:r>
          </w:p>
        </w:tc>
      </w:tr>
      <w:tr w:rsidR="00D56CD4" w:rsidRPr="00C20DDB" w14:paraId="09EC0361" w14:textId="77777777" w:rsidTr="00BC62A8">
        <w:trPr>
          <w:trHeight w:val="376"/>
        </w:trPr>
        <w:tc>
          <w:tcPr>
            <w:tcW w:w="3134" w:type="dxa"/>
            <w:vMerge/>
            <w:tcBorders>
              <w:left w:val="single" w:sz="8" w:space="0" w:color="auto"/>
              <w:right w:val="single" w:sz="4" w:space="0" w:color="auto"/>
            </w:tcBorders>
            <w:shd w:val="clear" w:color="auto" w:fill="auto"/>
            <w:noWrap/>
            <w:vAlign w:val="center"/>
          </w:tcPr>
          <w:p w14:paraId="4C294862" w14:textId="77777777" w:rsidR="00D56CD4" w:rsidRPr="00CB4FB7" w:rsidRDefault="00D56CD4" w:rsidP="006834EC">
            <w:pPr>
              <w:rPr>
                <w:rFonts w:asciiTheme="majorHAnsi" w:hAnsiTheme="majorHAnsi" w:cstheme="majorHAnsi"/>
                <w:sz w:val="20"/>
                <w:szCs w:val="20"/>
                <w:lang w:val="fr-CA" w:eastAsia="en-US"/>
              </w:rPr>
            </w:pPr>
          </w:p>
        </w:tc>
        <w:tc>
          <w:tcPr>
            <w:tcW w:w="7111" w:type="dxa"/>
            <w:tcBorders>
              <w:top w:val="single" w:sz="4" w:space="0" w:color="auto"/>
              <w:left w:val="nil"/>
              <w:bottom w:val="single" w:sz="4" w:space="0" w:color="auto"/>
              <w:right w:val="single" w:sz="8" w:space="0" w:color="auto"/>
            </w:tcBorders>
            <w:shd w:val="clear" w:color="auto" w:fill="auto"/>
            <w:noWrap/>
            <w:vAlign w:val="center"/>
          </w:tcPr>
          <w:p w14:paraId="66CAB76F" w14:textId="276DF86F" w:rsidR="00D56CD4" w:rsidRPr="00CB4FB7" w:rsidRDefault="002C41C5" w:rsidP="00922FCD">
            <w:pPr>
              <w:rPr>
                <w:rFonts w:asciiTheme="majorHAnsi" w:hAnsiTheme="majorHAnsi" w:cstheme="majorHAnsi"/>
                <w:color w:val="000000"/>
                <w:sz w:val="20"/>
                <w:szCs w:val="20"/>
                <w:lang w:val="en-US" w:eastAsia="en-US"/>
              </w:rPr>
            </w:pPr>
            <w:r>
              <w:rPr>
                <w:rFonts w:asciiTheme="majorHAnsi" w:hAnsiTheme="majorHAnsi" w:cstheme="majorHAnsi"/>
                <w:color w:val="000000"/>
                <w:sz w:val="20"/>
                <w:szCs w:val="20"/>
                <w:lang w:val="en-US" w:eastAsia="en-US"/>
              </w:rPr>
              <w:t xml:space="preserve">CMCP - </w:t>
            </w:r>
            <w:r w:rsidR="00D56CD4">
              <w:rPr>
                <w:rFonts w:asciiTheme="majorHAnsi" w:hAnsiTheme="majorHAnsi" w:cstheme="majorHAnsi"/>
                <w:color w:val="000000"/>
                <w:sz w:val="20"/>
                <w:szCs w:val="20"/>
                <w:lang w:val="en-US" w:eastAsia="en-US"/>
              </w:rPr>
              <w:t>CPP Medical</w:t>
            </w:r>
            <w:r w:rsidR="00841A00">
              <w:rPr>
                <w:rFonts w:asciiTheme="majorHAnsi" w:hAnsiTheme="majorHAnsi" w:cstheme="majorHAnsi"/>
                <w:color w:val="000000"/>
                <w:sz w:val="20"/>
                <w:szCs w:val="20"/>
                <w:lang w:val="en-US" w:eastAsia="en-US"/>
              </w:rPr>
              <w:t xml:space="preserve"> Expenses</w:t>
            </w:r>
          </w:p>
        </w:tc>
      </w:tr>
      <w:tr w:rsidR="00D56CD4" w:rsidRPr="00C20DDB" w14:paraId="60B7742F" w14:textId="77777777" w:rsidTr="00BC62A8">
        <w:trPr>
          <w:trHeight w:val="376"/>
        </w:trPr>
        <w:tc>
          <w:tcPr>
            <w:tcW w:w="3134" w:type="dxa"/>
            <w:vMerge/>
            <w:tcBorders>
              <w:left w:val="single" w:sz="8" w:space="0" w:color="auto"/>
              <w:right w:val="single" w:sz="4" w:space="0" w:color="auto"/>
            </w:tcBorders>
            <w:shd w:val="clear" w:color="auto" w:fill="auto"/>
            <w:noWrap/>
            <w:vAlign w:val="center"/>
          </w:tcPr>
          <w:p w14:paraId="032CA0D3" w14:textId="77777777" w:rsidR="00D56CD4" w:rsidRPr="00CB4FB7" w:rsidRDefault="00D56CD4" w:rsidP="006834EC">
            <w:pPr>
              <w:rPr>
                <w:rFonts w:asciiTheme="majorHAnsi" w:hAnsiTheme="majorHAnsi" w:cstheme="majorHAnsi"/>
                <w:sz w:val="20"/>
                <w:szCs w:val="20"/>
                <w:lang w:val="fr-CA" w:eastAsia="en-US"/>
              </w:rPr>
            </w:pPr>
          </w:p>
        </w:tc>
        <w:tc>
          <w:tcPr>
            <w:tcW w:w="7111" w:type="dxa"/>
            <w:tcBorders>
              <w:top w:val="single" w:sz="4" w:space="0" w:color="auto"/>
              <w:left w:val="nil"/>
              <w:bottom w:val="single" w:sz="4" w:space="0" w:color="auto"/>
              <w:right w:val="single" w:sz="8" w:space="0" w:color="auto"/>
            </w:tcBorders>
            <w:shd w:val="clear" w:color="auto" w:fill="auto"/>
            <w:noWrap/>
            <w:vAlign w:val="center"/>
          </w:tcPr>
          <w:p w14:paraId="622280E3" w14:textId="0D503CD3" w:rsidR="00D56CD4" w:rsidRPr="00CB4FB7" w:rsidRDefault="002C41C5" w:rsidP="00922FCD">
            <w:pPr>
              <w:rPr>
                <w:rFonts w:asciiTheme="majorHAnsi" w:hAnsiTheme="majorHAnsi" w:cstheme="majorHAnsi"/>
                <w:color w:val="000000"/>
                <w:sz w:val="20"/>
                <w:szCs w:val="20"/>
                <w:lang w:val="en-US" w:eastAsia="en-US"/>
              </w:rPr>
            </w:pPr>
            <w:r>
              <w:rPr>
                <w:rFonts w:asciiTheme="majorHAnsi" w:hAnsiTheme="majorHAnsi" w:cstheme="majorHAnsi"/>
                <w:color w:val="000000"/>
                <w:sz w:val="20"/>
                <w:szCs w:val="20"/>
                <w:lang w:val="en-US" w:eastAsia="en-US"/>
              </w:rPr>
              <w:t xml:space="preserve">CMCP - </w:t>
            </w:r>
            <w:r w:rsidR="00D56CD4">
              <w:rPr>
                <w:rFonts w:asciiTheme="majorHAnsi" w:hAnsiTheme="majorHAnsi" w:cstheme="majorHAnsi"/>
                <w:color w:val="000000"/>
                <w:sz w:val="20"/>
                <w:szCs w:val="20"/>
                <w:lang w:val="en-US" w:eastAsia="en-US"/>
              </w:rPr>
              <w:t>EI Warrants</w:t>
            </w:r>
          </w:p>
        </w:tc>
      </w:tr>
      <w:tr w:rsidR="00D56CD4" w:rsidRPr="00C20DDB" w14:paraId="106FBCA0" w14:textId="77777777" w:rsidTr="00BC62A8">
        <w:trPr>
          <w:trHeight w:val="376"/>
        </w:trPr>
        <w:tc>
          <w:tcPr>
            <w:tcW w:w="3134" w:type="dxa"/>
            <w:vMerge/>
            <w:tcBorders>
              <w:left w:val="single" w:sz="8" w:space="0" w:color="auto"/>
              <w:bottom w:val="single" w:sz="4" w:space="0" w:color="auto"/>
              <w:right w:val="single" w:sz="4" w:space="0" w:color="auto"/>
            </w:tcBorders>
            <w:shd w:val="clear" w:color="auto" w:fill="auto"/>
            <w:noWrap/>
            <w:vAlign w:val="center"/>
          </w:tcPr>
          <w:p w14:paraId="34DFDA3A" w14:textId="77777777" w:rsidR="00D56CD4" w:rsidRPr="00CB4FB7" w:rsidRDefault="00D56CD4" w:rsidP="006834EC">
            <w:pPr>
              <w:rPr>
                <w:rFonts w:asciiTheme="majorHAnsi" w:hAnsiTheme="majorHAnsi" w:cstheme="majorHAnsi"/>
                <w:sz w:val="20"/>
                <w:szCs w:val="20"/>
                <w:lang w:val="fr-CA" w:eastAsia="en-US"/>
              </w:rPr>
            </w:pPr>
          </w:p>
        </w:tc>
        <w:tc>
          <w:tcPr>
            <w:tcW w:w="7111" w:type="dxa"/>
            <w:tcBorders>
              <w:top w:val="single" w:sz="4" w:space="0" w:color="auto"/>
              <w:left w:val="nil"/>
              <w:bottom w:val="single" w:sz="4" w:space="0" w:color="auto"/>
              <w:right w:val="single" w:sz="8" w:space="0" w:color="auto"/>
            </w:tcBorders>
            <w:shd w:val="clear" w:color="auto" w:fill="auto"/>
            <w:noWrap/>
            <w:vAlign w:val="center"/>
          </w:tcPr>
          <w:p w14:paraId="0AC3B126" w14:textId="200ADF09" w:rsidR="00D56CD4" w:rsidRPr="00CB4FB7" w:rsidRDefault="002C41C5" w:rsidP="00922FCD">
            <w:pPr>
              <w:rPr>
                <w:rFonts w:asciiTheme="majorHAnsi" w:hAnsiTheme="majorHAnsi" w:cstheme="majorHAnsi"/>
                <w:color w:val="000000"/>
                <w:sz w:val="20"/>
                <w:szCs w:val="20"/>
                <w:lang w:val="en-US" w:eastAsia="en-US"/>
              </w:rPr>
            </w:pPr>
            <w:r>
              <w:rPr>
                <w:rFonts w:asciiTheme="majorHAnsi" w:hAnsiTheme="majorHAnsi" w:cstheme="majorHAnsi"/>
                <w:color w:val="000000"/>
                <w:sz w:val="20"/>
                <w:szCs w:val="20"/>
                <w:lang w:val="en-US" w:eastAsia="en-US"/>
              </w:rPr>
              <w:t xml:space="preserve">CMCP - </w:t>
            </w:r>
            <w:r w:rsidR="00D56CD4">
              <w:rPr>
                <w:rFonts w:asciiTheme="majorHAnsi" w:hAnsiTheme="majorHAnsi" w:cstheme="majorHAnsi"/>
                <w:color w:val="000000"/>
                <w:sz w:val="20"/>
                <w:szCs w:val="20"/>
                <w:lang w:val="en-US" w:eastAsia="en-US"/>
              </w:rPr>
              <w:t>Pension Printing &amp; Postage</w:t>
            </w:r>
          </w:p>
        </w:tc>
      </w:tr>
      <w:tr w:rsidR="00D74F0E" w:rsidRPr="00C20DDB" w14:paraId="1C155392" w14:textId="77777777" w:rsidTr="006834EC">
        <w:trPr>
          <w:trHeight w:val="342"/>
        </w:trPr>
        <w:tc>
          <w:tcPr>
            <w:tcW w:w="3134" w:type="dxa"/>
            <w:vMerge w:val="restart"/>
            <w:tcBorders>
              <w:top w:val="single" w:sz="4" w:space="0" w:color="auto"/>
              <w:left w:val="single" w:sz="8" w:space="0" w:color="auto"/>
              <w:right w:val="single" w:sz="4" w:space="0" w:color="auto"/>
            </w:tcBorders>
            <w:shd w:val="clear" w:color="000000" w:fill="DCE6F1"/>
            <w:noWrap/>
            <w:vAlign w:val="center"/>
            <w:hideMark/>
          </w:tcPr>
          <w:p w14:paraId="538895FD" w14:textId="77777777" w:rsidR="00D74F0E" w:rsidRPr="00CB4FB7" w:rsidRDefault="00D74F0E" w:rsidP="00922FCD">
            <w:pPr>
              <w:rPr>
                <w:rFonts w:asciiTheme="majorHAnsi" w:hAnsiTheme="majorHAnsi" w:cstheme="majorHAnsi"/>
                <w:color w:val="000000"/>
                <w:sz w:val="20"/>
                <w:szCs w:val="20"/>
                <w:lang w:val="fr-CA" w:eastAsia="en-US"/>
              </w:rPr>
            </w:pPr>
            <w:r w:rsidRPr="00CB4FB7">
              <w:rPr>
                <w:rFonts w:asciiTheme="majorHAnsi" w:hAnsiTheme="majorHAnsi" w:cstheme="majorHAnsi"/>
                <w:sz w:val="20"/>
                <w:szCs w:val="20"/>
                <w:lang w:val="fr-CA" w:eastAsia="en-US"/>
              </w:rPr>
              <w:lastRenderedPageBreak/>
              <w:t xml:space="preserve">NDIAYE PEREIRA, Rose Marie </w:t>
            </w:r>
          </w:p>
        </w:tc>
        <w:tc>
          <w:tcPr>
            <w:tcW w:w="7111" w:type="dxa"/>
            <w:tcBorders>
              <w:top w:val="single" w:sz="4" w:space="0" w:color="auto"/>
              <w:left w:val="nil"/>
              <w:bottom w:val="single" w:sz="4" w:space="0" w:color="auto"/>
              <w:right w:val="single" w:sz="8" w:space="0" w:color="auto"/>
            </w:tcBorders>
            <w:shd w:val="clear" w:color="000000" w:fill="DCE6F1"/>
            <w:noWrap/>
            <w:vAlign w:val="center"/>
            <w:hideMark/>
          </w:tcPr>
          <w:p w14:paraId="39EEE008" w14:textId="77777777" w:rsidR="00D74F0E" w:rsidRPr="00CB4FB7" w:rsidRDefault="00D74F0E" w:rsidP="00922FCD">
            <w:pPr>
              <w:rPr>
                <w:rFonts w:asciiTheme="majorHAnsi" w:hAnsiTheme="majorHAnsi" w:cstheme="majorHAnsi"/>
                <w:color w:val="000000"/>
                <w:sz w:val="20"/>
                <w:szCs w:val="20"/>
                <w:lang w:val="en-US" w:eastAsia="en-US"/>
              </w:rPr>
            </w:pPr>
            <w:r w:rsidRPr="00CB4FB7">
              <w:rPr>
                <w:rFonts w:asciiTheme="majorHAnsi" w:hAnsiTheme="majorHAnsi" w:cstheme="majorHAnsi"/>
                <w:color w:val="000000"/>
                <w:sz w:val="20"/>
                <w:szCs w:val="20"/>
                <w:lang w:val="en-US" w:eastAsia="en-US"/>
              </w:rPr>
              <w:t>Chief Financial Officer Branch</w:t>
            </w:r>
          </w:p>
        </w:tc>
      </w:tr>
      <w:tr w:rsidR="00D74F0E" w:rsidRPr="00C20DDB" w14:paraId="60D14F46" w14:textId="77777777" w:rsidTr="00BC62A8">
        <w:trPr>
          <w:trHeight w:val="342"/>
        </w:trPr>
        <w:tc>
          <w:tcPr>
            <w:tcW w:w="3134" w:type="dxa"/>
            <w:vMerge/>
            <w:tcBorders>
              <w:left w:val="single" w:sz="8" w:space="0" w:color="auto"/>
              <w:right w:val="single" w:sz="4" w:space="0" w:color="auto"/>
            </w:tcBorders>
            <w:shd w:val="clear" w:color="000000" w:fill="DCE6F1"/>
            <w:noWrap/>
            <w:vAlign w:val="center"/>
          </w:tcPr>
          <w:p w14:paraId="7933D882" w14:textId="77777777" w:rsidR="00D74F0E" w:rsidRPr="00CB4FB7" w:rsidRDefault="00D74F0E" w:rsidP="00922FCD">
            <w:pPr>
              <w:rPr>
                <w:rFonts w:asciiTheme="majorHAnsi" w:hAnsiTheme="majorHAnsi" w:cstheme="majorHAnsi"/>
                <w:color w:val="000000"/>
                <w:sz w:val="20"/>
                <w:szCs w:val="20"/>
                <w:lang w:val="en-US" w:eastAsia="en-US"/>
              </w:rPr>
            </w:pPr>
          </w:p>
        </w:tc>
        <w:tc>
          <w:tcPr>
            <w:tcW w:w="7111" w:type="dxa"/>
            <w:tcBorders>
              <w:top w:val="single" w:sz="4" w:space="0" w:color="auto"/>
              <w:left w:val="nil"/>
              <w:bottom w:val="single" w:sz="4" w:space="0" w:color="auto"/>
              <w:right w:val="single" w:sz="8" w:space="0" w:color="auto"/>
            </w:tcBorders>
            <w:shd w:val="clear" w:color="000000" w:fill="DCE6F1"/>
            <w:noWrap/>
            <w:vAlign w:val="center"/>
          </w:tcPr>
          <w:p w14:paraId="5505F693" w14:textId="64EBC069" w:rsidR="00D74F0E" w:rsidRPr="00CB4FB7" w:rsidRDefault="002C41C5" w:rsidP="00922FCD">
            <w:pPr>
              <w:rPr>
                <w:rFonts w:asciiTheme="majorHAnsi" w:hAnsiTheme="majorHAnsi" w:cstheme="majorHAnsi"/>
                <w:color w:val="000000"/>
                <w:sz w:val="20"/>
                <w:szCs w:val="20"/>
                <w:lang w:val="en-US" w:eastAsia="en-US"/>
              </w:rPr>
            </w:pPr>
            <w:r>
              <w:rPr>
                <w:rFonts w:asciiTheme="majorHAnsi" w:hAnsiTheme="majorHAnsi" w:cstheme="majorHAnsi"/>
                <w:color w:val="000000"/>
                <w:sz w:val="20"/>
                <w:szCs w:val="20"/>
                <w:lang w:val="en-US" w:eastAsia="en-US"/>
              </w:rPr>
              <w:t xml:space="preserve">CMCP - </w:t>
            </w:r>
            <w:r w:rsidR="00841A00">
              <w:rPr>
                <w:rFonts w:asciiTheme="majorHAnsi" w:hAnsiTheme="majorHAnsi" w:cstheme="majorHAnsi"/>
                <w:color w:val="000000"/>
                <w:sz w:val="20"/>
                <w:szCs w:val="20"/>
                <w:lang w:val="en-US" w:eastAsia="en-US"/>
              </w:rPr>
              <w:t xml:space="preserve">Corporate </w:t>
            </w:r>
            <w:r>
              <w:rPr>
                <w:rFonts w:asciiTheme="majorHAnsi" w:hAnsiTheme="majorHAnsi" w:cstheme="majorHAnsi"/>
                <w:color w:val="000000"/>
                <w:sz w:val="20"/>
                <w:szCs w:val="20"/>
                <w:lang w:val="en-US" w:eastAsia="en-US"/>
              </w:rPr>
              <w:t>Fleet</w:t>
            </w:r>
          </w:p>
        </w:tc>
      </w:tr>
      <w:tr w:rsidR="00D74F0E" w:rsidRPr="00C20DDB" w14:paraId="7C14C52E" w14:textId="77777777" w:rsidTr="00BC62A8">
        <w:trPr>
          <w:trHeight w:val="342"/>
        </w:trPr>
        <w:tc>
          <w:tcPr>
            <w:tcW w:w="3134" w:type="dxa"/>
            <w:vMerge/>
            <w:tcBorders>
              <w:left w:val="single" w:sz="8" w:space="0" w:color="auto"/>
              <w:right w:val="single" w:sz="4" w:space="0" w:color="auto"/>
            </w:tcBorders>
            <w:shd w:val="clear" w:color="000000" w:fill="DCE6F1"/>
            <w:noWrap/>
            <w:vAlign w:val="center"/>
          </w:tcPr>
          <w:p w14:paraId="50E5E3E0" w14:textId="77777777" w:rsidR="00D74F0E" w:rsidRPr="00CB4FB7" w:rsidRDefault="00D74F0E" w:rsidP="00922FCD">
            <w:pPr>
              <w:rPr>
                <w:rFonts w:asciiTheme="majorHAnsi" w:hAnsiTheme="majorHAnsi" w:cstheme="majorHAnsi"/>
                <w:color w:val="000000"/>
                <w:sz w:val="20"/>
                <w:szCs w:val="20"/>
                <w:lang w:val="en-US" w:eastAsia="en-US"/>
              </w:rPr>
            </w:pPr>
          </w:p>
        </w:tc>
        <w:tc>
          <w:tcPr>
            <w:tcW w:w="7111" w:type="dxa"/>
            <w:tcBorders>
              <w:top w:val="single" w:sz="4" w:space="0" w:color="auto"/>
              <w:left w:val="nil"/>
              <w:bottom w:val="single" w:sz="4" w:space="0" w:color="auto"/>
              <w:right w:val="single" w:sz="8" w:space="0" w:color="auto"/>
            </w:tcBorders>
            <w:shd w:val="clear" w:color="000000" w:fill="DCE6F1"/>
            <w:noWrap/>
            <w:vAlign w:val="center"/>
          </w:tcPr>
          <w:p w14:paraId="1E63F759" w14:textId="400EC223" w:rsidR="00D74F0E" w:rsidRPr="00CB4FB7" w:rsidRDefault="002C41C5" w:rsidP="00841A00">
            <w:pPr>
              <w:rPr>
                <w:rFonts w:asciiTheme="majorHAnsi" w:hAnsiTheme="majorHAnsi" w:cstheme="majorHAnsi"/>
                <w:color w:val="000000"/>
                <w:sz w:val="20"/>
                <w:szCs w:val="20"/>
                <w:lang w:val="en-US" w:eastAsia="en-US"/>
              </w:rPr>
            </w:pPr>
            <w:r>
              <w:rPr>
                <w:rFonts w:asciiTheme="majorHAnsi" w:hAnsiTheme="majorHAnsi" w:cstheme="majorHAnsi"/>
                <w:color w:val="000000"/>
                <w:sz w:val="20"/>
                <w:szCs w:val="20"/>
                <w:lang w:val="en-US" w:eastAsia="en-US"/>
              </w:rPr>
              <w:t xml:space="preserve">CMCP - NCR </w:t>
            </w:r>
            <w:r w:rsidR="00841A00">
              <w:rPr>
                <w:rFonts w:asciiTheme="majorHAnsi" w:hAnsiTheme="majorHAnsi" w:cstheme="majorHAnsi"/>
                <w:color w:val="000000"/>
                <w:sz w:val="20"/>
                <w:szCs w:val="20"/>
                <w:lang w:val="en-US" w:eastAsia="en-US"/>
              </w:rPr>
              <w:t>Real Property Operations</w:t>
            </w:r>
          </w:p>
        </w:tc>
      </w:tr>
      <w:tr w:rsidR="002C41C5" w:rsidRPr="00C20DDB" w14:paraId="1B8CA8B2" w14:textId="77777777" w:rsidTr="00BC62A8">
        <w:trPr>
          <w:trHeight w:val="342"/>
        </w:trPr>
        <w:tc>
          <w:tcPr>
            <w:tcW w:w="3134" w:type="dxa"/>
            <w:vMerge/>
            <w:tcBorders>
              <w:left w:val="single" w:sz="8" w:space="0" w:color="auto"/>
              <w:right w:val="single" w:sz="4" w:space="0" w:color="auto"/>
            </w:tcBorders>
            <w:shd w:val="clear" w:color="000000" w:fill="DCE6F1"/>
            <w:noWrap/>
            <w:vAlign w:val="center"/>
          </w:tcPr>
          <w:p w14:paraId="6DF273CE" w14:textId="77777777" w:rsidR="002C41C5" w:rsidRPr="00CB4FB7" w:rsidRDefault="002C41C5" w:rsidP="002C41C5">
            <w:pPr>
              <w:rPr>
                <w:rFonts w:asciiTheme="majorHAnsi" w:hAnsiTheme="majorHAnsi" w:cstheme="majorHAnsi"/>
                <w:color w:val="000000"/>
                <w:sz w:val="20"/>
                <w:szCs w:val="20"/>
                <w:lang w:val="en-US" w:eastAsia="en-US"/>
              </w:rPr>
            </w:pPr>
          </w:p>
        </w:tc>
        <w:tc>
          <w:tcPr>
            <w:tcW w:w="7111" w:type="dxa"/>
            <w:tcBorders>
              <w:top w:val="single" w:sz="4" w:space="0" w:color="auto"/>
              <w:left w:val="nil"/>
              <w:bottom w:val="single" w:sz="4" w:space="0" w:color="auto"/>
              <w:right w:val="single" w:sz="8" w:space="0" w:color="auto"/>
            </w:tcBorders>
            <w:shd w:val="clear" w:color="000000" w:fill="DCE6F1"/>
            <w:noWrap/>
            <w:vAlign w:val="center"/>
          </w:tcPr>
          <w:p w14:paraId="0951A0A6" w14:textId="089C7BA2" w:rsidR="002C41C5" w:rsidRPr="00CB4FB7" w:rsidRDefault="002C41C5" w:rsidP="002C41C5">
            <w:pPr>
              <w:rPr>
                <w:rFonts w:asciiTheme="majorHAnsi" w:hAnsiTheme="majorHAnsi" w:cstheme="majorHAnsi"/>
                <w:color w:val="000000"/>
                <w:sz w:val="20"/>
                <w:szCs w:val="20"/>
                <w:lang w:val="en-US" w:eastAsia="en-US"/>
              </w:rPr>
            </w:pPr>
            <w:r>
              <w:rPr>
                <w:rFonts w:asciiTheme="majorHAnsi" w:hAnsiTheme="majorHAnsi" w:cstheme="majorHAnsi"/>
                <w:color w:val="000000"/>
                <w:sz w:val="20"/>
                <w:szCs w:val="20"/>
                <w:lang w:val="en-US" w:eastAsia="en-US"/>
              </w:rPr>
              <w:t xml:space="preserve">OGD </w:t>
            </w:r>
            <w:r w:rsidRPr="00D74F0E">
              <w:rPr>
                <w:rFonts w:asciiTheme="majorHAnsi" w:hAnsiTheme="majorHAnsi" w:cstheme="majorHAnsi"/>
                <w:color w:val="000000"/>
                <w:sz w:val="20"/>
                <w:szCs w:val="20"/>
                <w:lang w:val="en-US" w:eastAsia="en-US"/>
              </w:rPr>
              <w:t>(EI/CPP Recoveries) with Fund B096 - PSPC</w:t>
            </w:r>
          </w:p>
        </w:tc>
      </w:tr>
      <w:tr w:rsidR="002C41C5" w:rsidRPr="00C20DDB" w14:paraId="12538A6B" w14:textId="77777777" w:rsidTr="00BC62A8">
        <w:trPr>
          <w:trHeight w:val="342"/>
        </w:trPr>
        <w:tc>
          <w:tcPr>
            <w:tcW w:w="3134" w:type="dxa"/>
            <w:vMerge/>
            <w:tcBorders>
              <w:left w:val="single" w:sz="8" w:space="0" w:color="auto"/>
              <w:right w:val="single" w:sz="4" w:space="0" w:color="auto"/>
            </w:tcBorders>
            <w:shd w:val="clear" w:color="000000" w:fill="DCE6F1"/>
            <w:noWrap/>
            <w:vAlign w:val="center"/>
          </w:tcPr>
          <w:p w14:paraId="06B63AFD" w14:textId="77777777" w:rsidR="002C41C5" w:rsidRPr="00CB4FB7" w:rsidRDefault="002C41C5" w:rsidP="002C41C5">
            <w:pPr>
              <w:rPr>
                <w:rFonts w:asciiTheme="majorHAnsi" w:hAnsiTheme="majorHAnsi" w:cstheme="majorHAnsi"/>
                <w:color w:val="000000"/>
                <w:sz w:val="20"/>
                <w:szCs w:val="20"/>
                <w:lang w:val="en-US" w:eastAsia="en-US"/>
              </w:rPr>
            </w:pPr>
          </w:p>
        </w:tc>
        <w:tc>
          <w:tcPr>
            <w:tcW w:w="7111" w:type="dxa"/>
            <w:tcBorders>
              <w:top w:val="single" w:sz="4" w:space="0" w:color="auto"/>
              <w:left w:val="nil"/>
              <w:bottom w:val="single" w:sz="4" w:space="0" w:color="auto"/>
              <w:right w:val="single" w:sz="8" w:space="0" w:color="auto"/>
            </w:tcBorders>
            <w:shd w:val="clear" w:color="000000" w:fill="DCE6F1"/>
            <w:noWrap/>
            <w:vAlign w:val="center"/>
          </w:tcPr>
          <w:p w14:paraId="1801A63F" w14:textId="040D84A8" w:rsidR="002C41C5" w:rsidRDefault="002C41C5" w:rsidP="002C41C5">
            <w:pPr>
              <w:rPr>
                <w:rFonts w:asciiTheme="majorHAnsi" w:hAnsiTheme="majorHAnsi" w:cstheme="majorHAnsi"/>
                <w:color w:val="000000"/>
                <w:sz w:val="20"/>
                <w:szCs w:val="20"/>
                <w:lang w:val="en-US" w:eastAsia="en-US"/>
              </w:rPr>
            </w:pPr>
            <w:r w:rsidRPr="00D74F0E">
              <w:rPr>
                <w:rFonts w:asciiTheme="majorHAnsi" w:hAnsiTheme="majorHAnsi" w:cstheme="majorHAnsi"/>
                <w:color w:val="000000"/>
                <w:sz w:val="20"/>
                <w:szCs w:val="20"/>
                <w:lang w:val="en-US" w:eastAsia="en-US"/>
              </w:rPr>
              <w:t>OGD (EI/CPP Recoveries) with Fund B097 - CSPS</w:t>
            </w:r>
          </w:p>
        </w:tc>
      </w:tr>
      <w:tr w:rsidR="002C41C5" w:rsidRPr="00C20DDB" w14:paraId="43625D7B" w14:textId="77777777" w:rsidTr="00BC62A8">
        <w:trPr>
          <w:trHeight w:val="342"/>
        </w:trPr>
        <w:tc>
          <w:tcPr>
            <w:tcW w:w="3134" w:type="dxa"/>
            <w:vMerge/>
            <w:tcBorders>
              <w:left w:val="single" w:sz="8" w:space="0" w:color="auto"/>
              <w:right w:val="single" w:sz="4" w:space="0" w:color="auto"/>
            </w:tcBorders>
            <w:shd w:val="clear" w:color="000000" w:fill="DCE6F1"/>
            <w:noWrap/>
            <w:vAlign w:val="center"/>
          </w:tcPr>
          <w:p w14:paraId="58E6978F" w14:textId="77777777" w:rsidR="002C41C5" w:rsidRPr="00CB4FB7" w:rsidRDefault="002C41C5" w:rsidP="002C41C5">
            <w:pPr>
              <w:rPr>
                <w:rFonts w:asciiTheme="majorHAnsi" w:hAnsiTheme="majorHAnsi" w:cstheme="majorHAnsi"/>
                <w:color w:val="000000"/>
                <w:sz w:val="20"/>
                <w:szCs w:val="20"/>
                <w:lang w:val="en-US" w:eastAsia="en-US"/>
              </w:rPr>
            </w:pPr>
          </w:p>
        </w:tc>
        <w:tc>
          <w:tcPr>
            <w:tcW w:w="7111" w:type="dxa"/>
            <w:tcBorders>
              <w:top w:val="single" w:sz="4" w:space="0" w:color="auto"/>
              <w:left w:val="nil"/>
              <w:bottom w:val="single" w:sz="4" w:space="0" w:color="auto"/>
              <w:right w:val="single" w:sz="8" w:space="0" w:color="auto"/>
            </w:tcBorders>
            <w:shd w:val="clear" w:color="000000" w:fill="DCE6F1"/>
            <w:noWrap/>
            <w:vAlign w:val="center"/>
          </w:tcPr>
          <w:p w14:paraId="215134C6" w14:textId="3B9DD7A0" w:rsidR="002C41C5" w:rsidRDefault="002C41C5" w:rsidP="002C41C5">
            <w:pPr>
              <w:rPr>
                <w:rFonts w:asciiTheme="majorHAnsi" w:hAnsiTheme="majorHAnsi" w:cstheme="majorHAnsi"/>
                <w:color w:val="000000"/>
                <w:sz w:val="20"/>
                <w:szCs w:val="20"/>
                <w:lang w:val="en-US" w:eastAsia="en-US"/>
              </w:rPr>
            </w:pPr>
            <w:r w:rsidRPr="00D74F0E">
              <w:rPr>
                <w:rFonts w:asciiTheme="majorHAnsi" w:hAnsiTheme="majorHAnsi" w:cstheme="majorHAnsi"/>
                <w:color w:val="000000"/>
                <w:sz w:val="20"/>
                <w:szCs w:val="20"/>
                <w:lang w:val="en-US" w:eastAsia="en-US"/>
              </w:rPr>
              <w:t>OGD (EI/CPP Recoveries) with Fund B098 - TBS</w:t>
            </w:r>
          </w:p>
        </w:tc>
      </w:tr>
      <w:tr w:rsidR="002C41C5" w:rsidRPr="00C20DDB" w14:paraId="43CAC771" w14:textId="77777777" w:rsidTr="00BC62A8">
        <w:trPr>
          <w:trHeight w:val="342"/>
        </w:trPr>
        <w:tc>
          <w:tcPr>
            <w:tcW w:w="3134" w:type="dxa"/>
            <w:vMerge/>
            <w:tcBorders>
              <w:left w:val="single" w:sz="8" w:space="0" w:color="auto"/>
              <w:right w:val="single" w:sz="4" w:space="0" w:color="auto"/>
            </w:tcBorders>
            <w:shd w:val="clear" w:color="000000" w:fill="DCE6F1"/>
            <w:noWrap/>
            <w:vAlign w:val="center"/>
          </w:tcPr>
          <w:p w14:paraId="1CB528D6" w14:textId="77777777" w:rsidR="002C41C5" w:rsidRPr="00CB4FB7" w:rsidRDefault="002C41C5" w:rsidP="002C41C5">
            <w:pPr>
              <w:rPr>
                <w:rFonts w:asciiTheme="majorHAnsi" w:hAnsiTheme="majorHAnsi" w:cstheme="majorHAnsi"/>
                <w:color w:val="000000"/>
                <w:sz w:val="20"/>
                <w:szCs w:val="20"/>
                <w:lang w:val="en-US" w:eastAsia="en-US"/>
              </w:rPr>
            </w:pPr>
          </w:p>
        </w:tc>
        <w:tc>
          <w:tcPr>
            <w:tcW w:w="7111" w:type="dxa"/>
            <w:tcBorders>
              <w:top w:val="single" w:sz="4" w:space="0" w:color="auto"/>
              <w:left w:val="nil"/>
              <w:bottom w:val="single" w:sz="4" w:space="0" w:color="auto"/>
              <w:right w:val="single" w:sz="8" w:space="0" w:color="auto"/>
            </w:tcBorders>
            <w:shd w:val="clear" w:color="000000" w:fill="DCE6F1"/>
            <w:noWrap/>
            <w:vAlign w:val="center"/>
          </w:tcPr>
          <w:p w14:paraId="6CEC6425" w14:textId="5E0AA59D" w:rsidR="002C41C5" w:rsidRDefault="002C41C5" w:rsidP="002C41C5">
            <w:pPr>
              <w:rPr>
                <w:rFonts w:asciiTheme="majorHAnsi" w:hAnsiTheme="majorHAnsi" w:cstheme="majorHAnsi"/>
                <w:color w:val="000000"/>
                <w:sz w:val="20"/>
                <w:szCs w:val="20"/>
                <w:lang w:val="en-US" w:eastAsia="en-US"/>
              </w:rPr>
            </w:pPr>
            <w:r w:rsidRPr="00CB4FB7">
              <w:rPr>
                <w:rFonts w:asciiTheme="majorHAnsi" w:hAnsiTheme="majorHAnsi" w:cstheme="majorHAnsi"/>
                <w:color w:val="000000"/>
                <w:sz w:val="20"/>
                <w:szCs w:val="20"/>
                <w:lang w:val="en-US" w:eastAsia="en-US"/>
              </w:rPr>
              <w:t>Human Resources Services Branch (incl. SC College)</w:t>
            </w:r>
          </w:p>
        </w:tc>
      </w:tr>
      <w:tr w:rsidR="002C41C5" w:rsidRPr="00C20DDB" w14:paraId="5DCD2525" w14:textId="77777777" w:rsidTr="002C41C5">
        <w:trPr>
          <w:trHeight w:val="369"/>
        </w:trPr>
        <w:tc>
          <w:tcPr>
            <w:tcW w:w="3134" w:type="dxa"/>
            <w:vMerge/>
            <w:tcBorders>
              <w:left w:val="single" w:sz="8" w:space="0" w:color="auto"/>
              <w:right w:val="single" w:sz="4" w:space="0" w:color="auto"/>
            </w:tcBorders>
            <w:shd w:val="clear" w:color="000000" w:fill="DCE6F1"/>
            <w:noWrap/>
            <w:vAlign w:val="center"/>
          </w:tcPr>
          <w:p w14:paraId="0019F0D4" w14:textId="77777777" w:rsidR="002C41C5" w:rsidRPr="00CB4FB7" w:rsidRDefault="002C41C5" w:rsidP="002C41C5">
            <w:pPr>
              <w:rPr>
                <w:rFonts w:asciiTheme="majorHAnsi" w:hAnsiTheme="majorHAnsi" w:cstheme="majorHAnsi"/>
                <w:color w:val="000000"/>
                <w:sz w:val="20"/>
                <w:szCs w:val="20"/>
                <w:lang w:val="en-US" w:eastAsia="en-US"/>
              </w:rPr>
            </w:pPr>
          </w:p>
        </w:tc>
        <w:tc>
          <w:tcPr>
            <w:tcW w:w="7111" w:type="dxa"/>
            <w:tcBorders>
              <w:top w:val="single" w:sz="4" w:space="0" w:color="auto"/>
              <w:left w:val="nil"/>
              <w:right w:val="single" w:sz="8" w:space="0" w:color="auto"/>
            </w:tcBorders>
            <w:shd w:val="clear" w:color="000000" w:fill="DCE6F1"/>
            <w:noWrap/>
            <w:vAlign w:val="center"/>
          </w:tcPr>
          <w:p w14:paraId="7E38A2DE" w14:textId="1FB835E5" w:rsidR="002C41C5" w:rsidRPr="00D74F0E" w:rsidRDefault="002C41C5" w:rsidP="002C41C5">
            <w:pPr>
              <w:rPr>
                <w:rFonts w:asciiTheme="majorHAnsi" w:hAnsiTheme="majorHAnsi" w:cstheme="majorHAnsi"/>
                <w:color w:val="000000"/>
                <w:sz w:val="20"/>
                <w:szCs w:val="20"/>
                <w:lang w:val="en-US" w:eastAsia="en-US"/>
              </w:rPr>
            </w:pPr>
            <w:r>
              <w:rPr>
                <w:rFonts w:asciiTheme="majorHAnsi" w:hAnsiTheme="majorHAnsi" w:cstheme="majorHAnsi"/>
                <w:color w:val="000000"/>
                <w:sz w:val="20"/>
                <w:szCs w:val="20"/>
                <w:lang w:val="en-US" w:eastAsia="en-US"/>
              </w:rPr>
              <w:t xml:space="preserve">CMCP - </w:t>
            </w:r>
            <w:r w:rsidRPr="00D74F0E">
              <w:rPr>
                <w:rFonts w:asciiTheme="majorHAnsi" w:hAnsiTheme="majorHAnsi" w:cstheme="majorHAnsi"/>
                <w:color w:val="000000"/>
                <w:sz w:val="20"/>
                <w:szCs w:val="20"/>
                <w:lang w:val="en-US" w:eastAsia="en-US"/>
              </w:rPr>
              <w:t>Workers Compensation</w:t>
            </w:r>
          </w:p>
        </w:tc>
      </w:tr>
      <w:tr w:rsidR="002C41C5" w:rsidRPr="00C20DDB" w14:paraId="7D90F333" w14:textId="77777777" w:rsidTr="00BC62A8">
        <w:trPr>
          <w:trHeight w:val="342"/>
        </w:trPr>
        <w:tc>
          <w:tcPr>
            <w:tcW w:w="3134" w:type="dxa"/>
            <w:vMerge w:val="restart"/>
            <w:tcBorders>
              <w:top w:val="single" w:sz="4" w:space="0" w:color="auto"/>
              <w:left w:val="single" w:sz="8" w:space="0" w:color="auto"/>
              <w:right w:val="single" w:sz="4" w:space="0" w:color="auto"/>
            </w:tcBorders>
            <w:shd w:val="clear" w:color="auto" w:fill="auto"/>
            <w:noWrap/>
            <w:vAlign w:val="center"/>
            <w:hideMark/>
          </w:tcPr>
          <w:p w14:paraId="58DB2385" w14:textId="77777777" w:rsidR="002C41C5" w:rsidRPr="00CB4FB7" w:rsidRDefault="002C41C5" w:rsidP="002C41C5">
            <w:pPr>
              <w:rPr>
                <w:rFonts w:asciiTheme="majorHAnsi" w:hAnsiTheme="majorHAnsi" w:cstheme="majorHAnsi"/>
                <w:color w:val="000000"/>
                <w:sz w:val="20"/>
                <w:szCs w:val="20"/>
                <w:lang w:val="en-US" w:eastAsia="en-US"/>
              </w:rPr>
            </w:pPr>
            <w:r w:rsidRPr="00CB4FB7">
              <w:rPr>
                <w:rFonts w:asciiTheme="majorHAnsi" w:hAnsiTheme="majorHAnsi" w:cstheme="majorHAnsi"/>
                <w:sz w:val="20"/>
                <w:szCs w:val="20"/>
                <w:lang w:val="fr-CA" w:eastAsia="en-US"/>
              </w:rPr>
              <w:t xml:space="preserve">NGUYEN, Minou </w:t>
            </w:r>
          </w:p>
        </w:tc>
        <w:tc>
          <w:tcPr>
            <w:tcW w:w="7111" w:type="dxa"/>
            <w:tcBorders>
              <w:top w:val="single" w:sz="4" w:space="0" w:color="auto"/>
              <w:left w:val="nil"/>
              <w:bottom w:val="single" w:sz="4" w:space="0" w:color="auto"/>
              <w:right w:val="single" w:sz="8" w:space="0" w:color="auto"/>
            </w:tcBorders>
            <w:shd w:val="clear" w:color="auto" w:fill="auto"/>
            <w:vAlign w:val="center"/>
            <w:hideMark/>
          </w:tcPr>
          <w:p w14:paraId="69EE7F27" w14:textId="6F66595F" w:rsidR="002C41C5" w:rsidRPr="00CB4FB7" w:rsidRDefault="002C41C5" w:rsidP="002C41C5">
            <w:pPr>
              <w:rPr>
                <w:rFonts w:asciiTheme="majorHAnsi" w:hAnsiTheme="majorHAnsi" w:cstheme="majorHAnsi"/>
                <w:color w:val="000000"/>
                <w:sz w:val="20"/>
                <w:szCs w:val="20"/>
                <w:lang w:val="en-US" w:eastAsia="en-US"/>
              </w:rPr>
            </w:pPr>
            <w:r w:rsidRPr="00CB4FB7">
              <w:rPr>
                <w:rFonts w:asciiTheme="majorHAnsi" w:hAnsiTheme="majorHAnsi" w:cstheme="majorHAnsi"/>
                <w:color w:val="000000"/>
                <w:sz w:val="20"/>
                <w:szCs w:val="20"/>
                <w:lang w:val="en-US" w:eastAsia="en-US"/>
              </w:rPr>
              <w:t>In</w:t>
            </w:r>
            <w:r>
              <w:rPr>
                <w:rFonts w:asciiTheme="majorHAnsi" w:hAnsiTheme="majorHAnsi" w:cstheme="majorHAnsi"/>
                <w:color w:val="000000"/>
                <w:sz w:val="20"/>
                <w:szCs w:val="20"/>
                <w:lang w:val="en-US" w:eastAsia="en-US"/>
              </w:rPr>
              <w:t>novation</w:t>
            </w:r>
            <w:r w:rsidRPr="00CB4FB7">
              <w:rPr>
                <w:rFonts w:asciiTheme="majorHAnsi" w:hAnsiTheme="majorHAnsi" w:cstheme="majorHAnsi"/>
                <w:color w:val="000000"/>
                <w:sz w:val="20"/>
                <w:szCs w:val="20"/>
                <w:lang w:val="en-US" w:eastAsia="en-US"/>
              </w:rPr>
              <w:t xml:space="preserve"> and Information Technology Branch</w:t>
            </w:r>
          </w:p>
        </w:tc>
      </w:tr>
      <w:tr w:rsidR="002C41C5" w:rsidRPr="00C20DDB" w14:paraId="1E77B02E" w14:textId="77777777" w:rsidTr="00BC62A8">
        <w:trPr>
          <w:trHeight w:val="342"/>
        </w:trPr>
        <w:tc>
          <w:tcPr>
            <w:tcW w:w="3134" w:type="dxa"/>
            <w:vMerge/>
            <w:tcBorders>
              <w:left w:val="single" w:sz="8" w:space="0" w:color="auto"/>
              <w:right w:val="single" w:sz="4" w:space="0" w:color="auto"/>
            </w:tcBorders>
            <w:shd w:val="clear" w:color="auto" w:fill="auto"/>
            <w:noWrap/>
            <w:vAlign w:val="center"/>
          </w:tcPr>
          <w:p w14:paraId="25816957" w14:textId="77777777" w:rsidR="002C41C5" w:rsidRPr="002B357F" w:rsidRDefault="002C41C5" w:rsidP="002C41C5">
            <w:pPr>
              <w:rPr>
                <w:rFonts w:asciiTheme="majorHAnsi" w:hAnsiTheme="majorHAnsi" w:cstheme="majorHAnsi"/>
                <w:sz w:val="20"/>
                <w:szCs w:val="20"/>
                <w:lang w:eastAsia="en-US"/>
              </w:rPr>
            </w:pPr>
          </w:p>
        </w:tc>
        <w:tc>
          <w:tcPr>
            <w:tcW w:w="7111" w:type="dxa"/>
            <w:tcBorders>
              <w:top w:val="single" w:sz="4" w:space="0" w:color="auto"/>
              <w:left w:val="nil"/>
              <w:bottom w:val="single" w:sz="4" w:space="0" w:color="auto"/>
              <w:right w:val="single" w:sz="8" w:space="0" w:color="auto"/>
            </w:tcBorders>
            <w:shd w:val="clear" w:color="auto" w:fill="auto"/>
            <w:vAlign w:val="center"/>
          </w:tcPr>
          <w:p w14:paraId="70B3029A" w14:textId="327EA4CA" w:rsidR="002C41C5" w:rsidRPr="002B357F" w:rsidRDefault="002C41C5" w:rsidP="002C41C5">
            <w:pPr>
              <w:rPr>
                <w:rFonts w:asciiTheme="majorHAnsi" w:hAnsiTheme="majorHAnsi" w:cstheme="majorHAnsi"/>
                <w:color w:val="000000"/>
                <w:sz w:val="20"/>
                <w:szCs w:val="20"/>
                <w:lang w:eastAsia="en-US"/>
              </w:rPr>
            </w:pPr>
            <w:r>
              <w:rPr>
                <w:rFonts w:asciiTheme="majorHAnsi" w:hAnsiTheme="majorHAnsi" w:cstheme="majorHAnsi"/>
                <w:color w:val="000000"/>
                <w:sz w:val="20"/>
                <w:szCs w:val="20"/>
                <w:lang w:eastAsia="en-US"/>
              </w:rPr>
              <w:t xml:space="preserve">CMCP - </w:t>
            </w:r>
            <w:r w:rsidRPr="00D74F0E">
              <w:rPr>
                <w:rFonts w:asciiTheme="majorHAnsi" w:hAnsiTheme="majorHAnsi" w:cstheme="majorHAnsi"/>
                <w:color w:val="000000"/>
                <w:sz w:val="20"/>
                <w:szCs w:val="20"/>
                <w:lang w:eastAsia="en-US"/>
              </w:rPr>
              <w:t>Personal Computing Devices</w:t>
            </w:r>
          </w:p>
        </w:tc>
      </w:tr>
      <w:tr w:rsidR="002C41C5" w:rsidRPr="00C20DDB" w14:paraId="1CF2DC56" w14:textId="77777777" w:rsidTr="00BC62A8">
        <w:trPr>
          <w:trHeight w:val="342"/>
        </w:trPr>
        <w:tc>
          <w:tcPr>
            <w:tcW w:w="3134" w:type="dxa"/>
            <w:vMerge/>
            <w:tcBorders>
              <w:left w:val="single" w:sz="8" w:space="0" w:color="auto"/>
              <w:right w:val="single" w:sz="4" w:space="0" w:color="auto"/>
            </w:tcBorders>
            <w:shd w:val="clear" w:color="auto" w:fill="auto"/>
            <w:noWrap/>
            <w:vAlign w:val="center"/>
          </w:tcPr>
          <w:p w14:paraId="64D82A76" w14:textId="77777777" w:rsidR="002C41C5" w:rsidRPr="002B357F" w:rsidRDefault="002C41C5" w:rsidP="002C41C5">
            <w:pPr>
              <w:rPr>
                <w:rFonts w:asciiTheme="majorHAnsi" w:hAnsiTheme="majorHAnsi" w:cstheme="majorHAnsi"/>
                <w:sz w:val="20"/>
                <w:szCs w:val="20"/>
                <w:lang w:eastAsia="en-US"/>
              </w:rPr>
            </w:pPr>
          </w:p>
        </w:tc>
        <w:tc>
          <w:tcPr>
            <w:tcW w:w="7111" w:type="dxa"/>
            <w:tcBorders>
              <w:top w:val="single" w:sz="4" w:space="0" w:color="auto"/>
              <w:left w:val="nil"/>
              <w:bottom w:val="single" w:sz="4" w:space="0" w:color="auto"/>
              <w:right w:val="single" w:sz="8" w:space="0" w:color="auto"/>
            </w:tcBorders>
            <w:shd w:val="clear" w:color="auto" w:fill="auto"/>
            <w:vAlign w:val="center"/>
          </w:tcPr>
          <w:p w14:paraId="53E1EAA0" w14:textId="5FEC12AD" w:rsidR="002C41C5" w:rsidRPr="00CB4FB7" w:rsidRDefault="002C41C5" w:rsidP="00841A00">
            <w:pPr>
              <w:rPr>
                <w:rFonts w:asciiTheme="majorHAnsi" w:hAnsiTheme="majorHAnsi" w:cstheme="majorHAnsi"/>
                <w:color w:val="000000"/>
                <w:sz w:val="20"/>
                <w:szCs w:val="20"/>
                <w:lang w:val="en-US" w:eastAsia="en-US"/>
              </w:rPr>
            </w:pPr>
            <w:r>
              <w:rPr>
                <w:rFonts w:asciiTheme="majorHAnsi" w:hAnsiTheme="majorHAnsi" w:cstheme="majorHAnsi"/>
                <w:color w:val="000000"/>
                <w:sz w:val="20"/>
                <w:szCs w:val="20"/>
                <w:lang w:val="en-US" w:eastAsia="en-US"/>
              </w:rPr>
              <w:t xml:space="preserve">CMCP - </w:t>
            </w:r>
            <w:r w:rsidRPr="00D74F0E">
              <w:rPr>
                <w:rFonts w:asciiTheme="majorHAnsi" w:hAnsiTheme="majorHAnsi" w:cstheme="majorHAnsi"/>
                <w:color w:val="000000"/>
                <w:sz w:val="20"/>
                <w:szCs w:val="20"/>
                <w:lang w:val="en-US" w:eastAsia="en-US"/>
              </w:rPr>
              <w:t>Maintenance</w:t>
            </w:r>
          </w:p>
        </w:tc>
      </w:tr>
      <w:tr w:rsidR="002C41C5" w:rsidRPr="00C20DDB" w14:paraId="2BB5CFAD" w14:textId="77777777" w:rsidTr="00BC62A8">
        <w:trPr>
          <w:trHeight w:val="342"/>
        </w:trPr>
        <w:tc>
          <w:tcPr>
            <w:tcW w:w="3134" w:type="dxa"/>
            <w:vMerge/>
            <w:tcBorders>
              <w:left w:val="single" w:sz="8" w:space="0" w:color="auto"/>
              <w:right w:val="single" w:sz="4" w:space="0" w:color="auto"/>
            </w:tcBorders>
            <w:shd w:val="clear" w:color="auto" w:fill="auto"/>
            <w:noWrap/>
            <w:vAlign w:val="center"/>
          </w:tcPr>
          <w:p w14:paraId="262754E7" w14:textId="77777777" w:rsidR="002C41C5" w:rsidRPr="002B357F" w:rsidRDefault="002C41C5" w:rsidP="002C41C5">
            <w:pPr>
              <w:rPr>
                <w:rFonts w:asciiTheme="majorHAnsi" w:hAnsiTheme="majorHAnsi" w:cstheme="majorHAnsi"/>
                <w:sz w:val="20"/>
                <w:szCs w:val="20"/>
                <w:lang w:eastAsia="en-US"/>
              </w:rPr>
            </w:pPr>
          </w:p>
        </w:tc>
        <w:tc>
          <w:tcPr>
            <w:tcW w:w="7111" w:type="dxa"/>
            <w:tcBorders>
              <w:top w:val="single" w:sz="4" w:space="0" w:color="auto"/>
              <w:left w:val="nil"/>
              <w:bottom w:val="single" w:sz="4" w:space="0" w:color="auto"/>
              <w:right w:val="single" w:sz="8" w:space="0" w:color="auto"/>
            </w:tcBorders>
            <w:shd w:val="clear" w:color="auto" w:fill="auto"/>
            <w:vAlign w:val="center"/>
          </w:tcPr>
          <w:p w14:paraId="4DF0D8B1" w14:textId="5512BE1C" w:rsidR="002C41C5" w:rsidRPr="00CB4FB7" w:rsidRDefault="002C41C5" w:rsidP="002C41C5">
            <w:pPr>
              <w:rPr>
                <w:rFonts w:asciiTheme="majorHAnsi" w:hAnsiTheme="majorHAnsi" w:cstheme="majorHAnsi"/>
                <w:color w:val="000000"/>
                <w:sz w:val="20"/>
                <w:szCs w:val="20"/>
                <w:lang w:val="en-US" w:eastAsia="en-US"/>
              </w:rPr>
            </w:pPr>
            <w:r>
              <w:rPr>
                <w:rFonts w:asciiTheme="majorHAnsi" w:hAnsiTheme="majorHAnsi" w:cstheme="majorHAnsi"/>
                <w:color w:val="000000"/>
                <w:sz w:val="20"/>
                <w:szCs w:val="20"/>
                <w:lang w:eastAsia="en-US"/>
              </w:rPr>
              <w:t xml:space="preserve">CMCP - </w:t>
            </w:r>
            <w:r w:rsidRPr="00D74F0E">
              <w:rPr>
                <w:rFonts w:asciiTheme="majorHAnsi" w:hAnsiTheme="majorHAnsi" w:cstheme="majorHAnsi"/>
                <w:color w:val="000000"/>
                <w:sz w:val="20"/>
                <w:szCs w:val="20"/>
                <w:lang w:val="en-US" w:eastAsia="en-US"/>
              </w:rPr>
              <w:t>Software Acquisition</w:t>
            </w:r>
          </w:p>
        </w:tc>
      </w:tr>
      <w:tr w:rsidR="002C41C5" w:rsidRPr="00C20DDB" w14:paraId="3BB30760" w14:textId="77777777" w:rsidTr="00BC62A8">
        <w:trPr>
          <w:trHeight w:val="342"/>
        </w:trPr>
        <w:tc>
          <w:tcPr>
            <w:tcW w:w="3134" w:type="dxa"/>
            <w:vMerge/>
            <w:tcBorders>
              <w:left w:val="single" w:sz="8" w:space="0" w:color="auto"/>
              <w:right w:val="single" w:sz="4" w:space="0" w:color="auto"/>
            </w:tcBorders>
            <w:shd w:val="clear" w:color="auto" w:fill="auto"/>
            <w:noWrap/>
            <w:vAlign w:val="center"/>
          </w:tcPr>
          <w:p w14:paraId="165D8373" w14:textId="77777777" w:rsidR="002C41C5" w:rsidRPr="002B357F" w:rsidRDefault="002C41C5" w:rsidP="002C41C5">
            <w:pPr>
              <w:rPr>
                <w:rFonts w:asciiTheme="majorHAnsi" w:hAnsiTheme="majorHAnsi" w:cstheme="majorHAnsi"/>
                <w:sz w:val="20"/>
                <w:szCs w:val="20"/>
                <w:lang w:eastAsia="en-US"/>
              </w:rPr>
            </w:pPr>
          </w:p>
        </w:tc>
        <w:tc>
          <w:tcPr>
            <w:tcW w:w="7111" w:type="dxa"/>
            <w:tcBorders>
              <w:top w:val="single" w:sz="4" w:space="0" w:color="auto"/>
              <w:left w:val="nil"/>
              <w:bottom w:val="single" w:sz="4" w:space="0" w:color="auto"/>
              <w:right w:val="single" w:sz="8" w:space="0" w:color="auto"/>
            </w:tcBorders>
            <w:shd w:val="clear" w:color="auto" w:fill="auto"/>
            <w:vAlign w:val="center"/>
          </w:tcPr>
          <w:p w14:paraId="1C888069" w14:textId="09F0539B" w:rsidR="002C41C5" w:rsidRPr="00CB4FB7" w:rsidRDefault="002C41C5" w:rsidP="002C41C5">
            <w:pPr>
              <w:rPr>
                <w:rFonts w:asciiTheme="majorHAnsi" w:hAnsiTheme="majorHAnsi" w:cstheme="majorHAnsi"/>
                <w:color w:val="000000"/>
                <w:sz w:val="20"/>
                <w:szCs w:val="20"/>
                <w:lang w:val="en-US" w:eastAsia="en-US"/>
              </w:rPr>
            </w:pPr>
            <w:r>
              <w:rPr>
                <w:rFonts w:asciiTheme="majorHAnsi" w:hAnsiTheme="majorHAnsi" w:cstheme="majorHAnsi"/>
                <w:color w:val="000000"/>
                <w:sz w:val="20"/>
                <w:szCs w:val="20"/>
                <w:lang w:val="en-US" w:eastAsia="en-US"/>
              </w:rPr>
              <w:t xml:space="preserve">CMCP - </w:t>
            </w:r>
            <w:r w:rsidRPr="00D74F0E">
              <w:rPr>
                <w:rFonts w:asciiTheme="majorHAnsi" w:hAnsiTheme="majorHAnsi" w:cstheme="majorHAnsi"/>
                <w:color w:val="000000"/>
                <w:sz w:val="20"/>
                <w:szCs w:val="20"/>
                <w:lang w:val="en-US" w:eastAsia="en-US"/>
              </w:rPr>
              <w:t>Managed Print Services</w:t>
            </w:r>
          </w:p>
        </w:tc>
      </w:tr>
      <w:tr w:rsidR="002C41C5" w:rsidRPr="00C20DDB" w14:paraId="556C71FB" w14:textId="77777777" w:rsidTr="00BC62A8">
        <w:trPr>
          <w:trHeight w:val="342"/>
        </w:trPr>
        <w:tc>
          <w:tcPr>
            <w:tcW w:w="3134" w:type="dxa"/>
            <w:vMerge/>
            <w:tcBorders>
              <w:left w:val="single" w:sz="8" w:space="0" w:color="auto"/>
              <w:right w:val="single" w:sz="4" w:space="0" w:color="auto"/>
            </w:tcBorders>
            <w:shd w:val="clear" w:color="auto" w:fill="auto"/>
            <w:noWrap/>
            <w:vAlign w:val="center"/>
          </w:tcPr>
          <w:p w14:paraId="5E2EAF70" w14:textId="77777777" w:rsidR="002C41C5" w:rsidRPr="002B357F" w:rsidRDefault="002C41C5" w:rsidP="002C41C5">
            <w:pPr>
              <w:rPr>
                <w:rFonts w:asciiTheme="majorHAnsi" w:hAnsiTheme="majorHAnsi" w:cstheme="majorHAnsi"/>
                <w:sz w:val="20"/>
                <w:szCs w:val="20"/>
                <w:lang w:eastAsia="en-US"/>
              </w:rPr>
            </w:pPr>
          </w:p>
        </w:tc>
        <w:tc>
          <w:tcPr>
            <w:tcW w:w="7111" w:type="dxa"/>
            <w:tcBorders>
              <w:top w:val="single" w:sz="4" w:space="0" w:color="auto"/>
              <w:left w:val="nil"/>
              <w:bottom w:val="single" w:sz="4" w:space="0" w:color="auto"/>
              <w:right w:val="single" w:sz="8" w:space="0" w:color="auto"/>
            </w:tcBorders>
            <w:shd w:val="clear" w:color="auto" w:fill="auto"/>
            <w:vAlign w:val="center"/>
          </w:tcPr>
          <w:p w14:paraId="400D330E" w14:textId="2268A1DF" w:rsidR="002C41C5" w:rsidRPr="00CB4FB7" w:rsidRDefault="002C41C5" w:rsidP="002C41C5">
            <w:pPr>
              <w:rPr>
                <w:rFonts w:asciiTheme="majorHAnsi" w:hAnsiTheme="majorHAnsi" w:cstheme="majorHAnsi"/>
                <w:color w:val="000000"/>
                <w:sz w:val="20"/>
                <w:szCs w:val="20"/>
                <w:lang w:val="en-US" w:eastAsia="en-US"/>
              </w:rPr>
            </w:pPr>
            <w:r w:rsidRPr="00D74F0E">
              <w:rPr>
                <w:rFonts w:asciiTheme="majorHAnsi" w:hAnsiTheme="majorHAnsi" w:cstheme="majorHAnsi"/>
                <w:color w:val="000000"/>
                <w:sz w:val="20"/>
                <w:szCs w:val="20"/>
                <w:lang w:val="en-US" w:eastAsia="en-US"/>
              </w:rPr>
              <w:t>OGD (EI/CPP Recoveries) with Fund B095 - SSC</w:t>
            </w:r>
          </w:p>
        </w:tc>
      </w:tr>
      <w:tr w:rsidR="002C41C5" w:rsidRPr="00C20DDB" w14:paraId="7D4A8FBB" w14:textId="77777777" w:rsidTr="00BC62A8">
        <w:trPr>
          <w:trHeight w:val="342"/>
        </w:trPr>
        <w:tc>
          <w:tcPr>
            <w:tcW w:w="3134" w:type="dxa"/>
            <w:vMerge/>
            <w:tcBorders>
              <w:left w:val="single" w:sz="8" w:space="0" w:color="auto"/>
              <w:bottom w:val="single" w:sz="4" w:space="0" w:color="auto"/>
              <w:right w:val="single" w:sz="4" w:space="0" w:color="auto"/>
            </w:tcBorders>
            <w:shd w:val="clear" w:color="auto" w:fill="auto"/>
            <w:noWrap/>
            <w:vAlign w:val="center"/>
          </w:tcPr>
          <w:p w14:paraId="3C5D987B" w14:textId="77777777" w:rsidR="002C41C5" w:rsidRPr="002B357F" w:rsidRDefault="002C41C5" w:rsidP="002C41C5">
            <w:pPr>
              <w:rPr>
                <w:rFonts w:asciiTheme="majorHAnsi" w:hAnsiTheme="majorHAnsi" w:cstheme="majorHAnsi"/>
                <w:sz w:val="20"/>
                <w:szCs w:val="20"/>
                <w:lang w:eastAsia="en-US"/>
              </w:rPr>
            </w:pPr>
          </w:p>
        </w:tc>
        <w:tc>
          <w:tcPr>
            <w:tcW w:w="7111" w:type="dxa"/>
            <w:tcBorders>
              <w:top w:val="single" w:sz="4" w:space="0" w:color="auto"/>
              <w:left w:val="nil"/>
              <w:bottom w:val="single" w:sz="4" w:space="0" w:color="auto"/>
              <w:right w:val="single" w:sz="8" w:space="0" w:color="auto"/>
            </w:tcBorders>
            <w:shd w:val="clear" w:color="auto" w:fill="auto"/>
            <w:vAlign w:val="center"/>
          </w:tcPr>
          <w:p w14:paraId="6DAF688B" w14:textId="771980F6" w:rsidR="002C41C5" w:rsidRPr="00CB4FB7" w:rsidRDefault="002C41C5" w:rsidP="002C41C5">
            <w:pPr>
              <w:rPr>
                <w:rFonts w:asciiTheme="majorHAnsi" w:hAnsiTheme="majorHAnsi" w:cstheme="majorHAnsi"/>
                <w:color w:val="000000"/>
                <w:sz w:val="20"/>
                <w:szCs w:val="20"/>
                <w:lang w:val="en-US" w:eastAsia="en-US"/>
              </w:rPr>
            </w:pPr>
            <w:r>
              <w:rPr>
                <w:rFonts w:asciiTheme="majorHAnsi" w:hAnsiTheme="majorHAnsi" w:cstheme="majorHAnsi"/>
                <w:color w:val="000000"/>
                <w:sz w:val="20"/>
                <w:szCs w:val="20"/>
                <w:lang w:val="en-US" w:eastAsia="en-US"/>
              </w:rPr>
              <w:t xml:space="preserve">CMCP - </w:t>
            </w:r>
            <w:r w:rsidRPr="00D74F0E">
              <w:rPr>
                <w:rFonts w:asciiTheme="majorHAnsi" w:hAnsiTheme="majorHAnsi" w:cstheme="majorHAnsi"/>
                <w:color w:val="000000"/>
                <w:sz w:val="20"/>
                <w:szCs w:val="20"/>
                <w:lang w:val="en-US" w:eastAsia="en-US"/>
              </w:rPr>
              <w:t>National Accommodation Plan</w:t>
            </w:r>
          </w:p>
        </w:tc>
      </w:tr>
      <w:tr w:rsidR="002C41C5" w:rsidRPr="00C20DDB" w14:paraId="4A361639" w14:textId="77777777" w:rsidTr="00BE2FC0">
        <w:trPr>
          <w:trHeight w:val="342"/>
        </w:trPr>
        <w:tc>
          <w:tcPr>
            <w:tcW w:w="3134" w:type="dxa"/>
            <w:tcBorders>
              <w:top w:val="single" w:sz="4" w:space="0" w:color="auto"/>
              <w:left w:val="single" w:sz="8" w:space="0" w:color="auto"/>
              <w:bottom w:val="single" w:sz="4" w:space="0" w:color="auto"/>
              <w:right w:val="single" w:sz="4" w:space="0" w:color="auto"/>
            </w:tcBorders>
            <w:shd w:val="clear" w:color="auto" w:fill="F1BAC6" w:themeFill="accent2" w:themeFillTint="66"/>
            <w:noWrap/>
            <w:vAlign w:val="center"/>
            <w:hideMark/>
          </w:tcPr>
          <w:p w14:paraId="3CCEEB48" w14:textId="7EF1A79E" w:rsidR="002C41C5" w:rsidRPr="00CB4FB7" w:rsidRDefault="0060233B" w:rsidP="0060233B">
            <w:pPr>
              <w:rPr>
                <w:rFonts w:asciiTheme="majorHAnsi" w:hAnsiTheme="majorHAnsi" w:cstheme="majorHAnsi"/>
                <w:color w:val="000000"/>
                <w:sz w:val="20"/>
                <w:szCs w:val="20"/>
                <w:lang w:val="en-US" w:eastAsia="en-US"/>
              </w:rPr>
            </w:pPr>
            <w:r>
              <w:rPr>
                <w:rFonts w:asciiTheme="majorHAnsi" w:hAnsiTheme="majorHAnsi" w:cstheme="majorHAnsi"/>
                <w:color w:val="000000"/>
                <w:sz w:val="20"/>
                <w:szCs w:val="20"/>
                <w:lang w:val="en-US" w:eastAsia="en-US"/>
              </w:rPr>
              <w:t>SPENCER</w:t>
            </w:r>
            <w:r w:rsidR="002C41C5" w:rsidRPr="00CB4FB7">
              <w:rPr>
                <w:rFonts w:asciiTheme="majorHAnsi" w:hAnsiTheme="majorHAnsi" w:cstheme="majorHAnsi"/>
                <w:color w:val="000000"/>
                <w:sz w:val="20"/>
                <w:szCs w:val="20"/>
                <w:lang w:val="en-US" w:eastAsia="en-US"/>
              </w:rPr>
              <w:t xml:space="preserve">, </w:t>
            </w:r>
            <w:r>
              <w:rPr>
                <w:rFonts w:asciiTheme="majorHAnsi" w:hAnsiTheme="majorHAnsi" w:cstheme="majorHAnsi"/>
                <w:color w:val="000000"/>
                <w:sz w:val="20"/>
                <w:szCs w:val="20"/>
                <w:lang w:val="en-US" w:eastAsia="en-US"/>
              </w:rPr>
              <w:t>Sherry</w:t>
            </w:r>
          </w:p>
        </w:tc>
        <w:tc>
          <w:tcPr>
            <w:tcW w:w="7111" w:type="dxa"/>
            <w:tcBorders>
              <w:top w:val="single" w:sz="4" w:space="0" w:color="auto"/>
              <w:left w:val="nil"/>
              <w:bottom w:val="single" w:sz="4" w:space="0" w:color="auto"/>
              <w:right w:val="single" w:sz="8" w:space="0" w:color="auto"/>
            </w:tcBorders>
            <w:shd w:val="clear" w:color="auto" w:fill="F1BAC6" w:themeFill="accent2" w:themeFillTint="66"/>
            <w:noWrap/>
            <w:vAlign w:val="center"/>
            <w:hideMark/>
          </w:tcPr>
          <w:p w14:paraId="6924F774" w14:textId="77777777" w:rsidR="002C41C5" w:rsidRPr="00CB4FB7" w:rsidRDefault="002C41C5" w:rsidP="002C41C5">
            <w:pPr>
              <w:rPr>
                <w:rFonts w:asciiTheme="majorHAnsi" w:hAnsiTheme="majorHAnsi" w:cstheme="majorHAnsi"/>
                <w:color w:val="000000"/>
                <w:sz w:val="20"/>
                <w:szCs w:val="20"/>
                <w:lang w:val="en-US" w:eastAsia="en-US"/>
              </w:rPr>
            </w:pPr>
            <w:r w:rsidRPr="00CB4FB7">
              <w:rPr>
                <w:rFonts w:asciiTheme="majorHAnsi" w:hAnsiTheme="majorHAnsi" w:cstheme="majorHAnsi"/>
                <w:color w:val="000000"/>
                <w:sz w:val="20"/>
                <w:szCs w:val="20"/>
                <w:lang w:val="en-US" w:eastAsia="en-US"/>
              </w:rPr>
              <w:t>Atlantic Region</w:t>
            </w:r>
          </w:p>
        </w:tc>
      </w:tr>
      <w:tr w:rsidR="002C41C5" w:rsidRPr="00C20DDB" w14:paraId="265ECB0F" w14:textId="77777777" w:rsidTr="00BE2FC0">
        <w:trPr>
          <w:trHeight w:val="342"/>
        </w:trPr>
        <w:tc>
          <w:tcPr>
            <w:tcW w:w="3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7FF76EE" w14:textId="5A139717" w:rsidR="002C41C5" w:rsidRPr="00CB4FB7" w:rsidRDefault="002C41C5" w:rsidP="002C41C5">
            <w:pPr>
              <w:rPr>
                <w:rFonts w:asciiTheme="majorHAnsi" w:hAnsiTheme="majorHAnsi" w:cstheme="majorHAnsi"/>
                <w:color w:val="000000"/>
                <w:sz w:val="20"/>
                <w:szCs w:val="20"/>
                <w:lang w:val="en-US" w:eastAsia="en-US"/>
              </w:rPr>
            </w:pPr>
            <w:r w:rsidRPr="00CB4FB7">
              <w:rPr>
                <w:rFonts w:asciiTheme="majorHAnsi" w:hAnsiTheme="majorHAnsi" w:cstheme="majorHAnsi"/>
                <w:color w:val="000000"/>
                <w:sz w:val="20"/>
                <w:szCs w:val="20"/>
                <w:lang w:val="en-US" w:eastAsia="en-US"/>
              </w:rPr>
              <w:t>THÉRIAULT, Gaston</w:t>
            </w:r>
          </w:p>
        </w:tc>
        <w:tc>
          <w:tcPr>
            <w:tcW w:w="7111" w:type="dxa"/>
            <w:tcBorders>
              <w:top w:val="single" w:sz="4" w:space="0" w:color="auto"/>
              <w:left w:val="nil"/>
              <w:bottom w:val="single" w:sz="4" w:space="0" w:color="auto"/>
              <w:right w:val="single" w:sz="8" w:space="0" w:color="auto"/>
            </w:tcBorders>
            <w:shd w:val="clear" w:color="auto" w:fill="auto"/>
            <w:noWrap/>
            <w:vAlign w:val="center"/>
            <w:hideMark/>
          </w:tcPr>
          <w:p w14:paraId="3E82435B" w14:textId="77777777" w:rsidR="002C41C5" w:rsidRPr="00CB4FB7" w:rsidRDefault="002C41C5" w:rsidP="002C41C5">
            <w:pPr>
              <w:rPr>
                <w:rFonts w:asciiTheme="majorHAnsi" w:hAnsiTheme="majorHAnsi" w:cstheme="majorHAnsi"/>
                <w:color w:val="000000"/>
                <w:sz w:val="20"/>
                <w:szCs w:val="20"/>
                <w:lang w:val="en-US" w:eastAsia="en-US"/>
              </w:rPr>
            </w:pPr>
            <w:r w:rsidRPr="00CB4FB7">
              <w:rPr>
                <w:rFonts w:asciiTheme="majorHAnsi" w:hAnsiTheme="majorHAnsi" w:cstheme="majorHAnsi"/>
                <w:color w:val="000000"/>
                <w:sz w:val="20"/>
                <w:szCs w:val="20"/>
                <w:lang w:val="en-US" w:eastAsia="en-US"/>
              </w:rPr>
              <w:t>Quebec Region</w:t>
            </w:r>
          </w:p>
        </w:tc>
      </w:tr>
      <w:tr w:rsidR="002C41C5" w:rsidRPr="00C20DDB" w14:paraId="14F8172B" w14:textId="77777777" w:rsidTr="00BE2FC0">
        <w:trPr>
          <w:trHeight w:val="342"/>
        </w:trPr>
        <w:tc>
          <w:tcPr>
            <w:tcW w:w="3134" w:type="dxa"/>
            <w:tcBorders>
              <w:top w:val="single" w:sz="4" w:space="0" w:color="auto"/>
              <w:left w:val="single" w:sz="8" w:space="0" w:color="auto"/>
              <w:bottom w:val="single" w:sz="4" w:space="0" w:color="auto"/>
              <w:right w:val="single" w:sz="4" w:space="0" w:color="auto"/>
            </w:tcBorders>
            <w:shd w:val="clear" w:color="auto" w:fill="F1BAC6" w:themeFill="accent2" w:themeFillTint="66"/>
            <w:noWrap/>
            <w:vAlign w:val="center"/>
            <w:hideMark/>
          </w:tcPr>
          <w:p w14:paraId="1DA0BF7D" w14:textId="4296E8EB" w:rsidR="002C41C5" w:rsidRPr="00CB4FB7" w:rsidRDefault="002C41C5" w:rsidP="002C41C5">
            <w:pPr>
              <w:rPr>
                <w:rFonts w:asciiTheme="majorHAnsi" w:hAnsiTheme="majorHAnsi" w:cstheme="majorHAnsi"/>
                <w:color w:val="000000"/>
                <w:sz w:val="20"/>
                <w:szCs w:val="20"/>
                <w:lang w:val="en-US" w:eastAsia="en-US"/>
              </w:rPr>
            </w:pPr>
            <w:r w:rsidRPr="00CB4FB7">
              <w:rPr>
                <w:rFonts w:asciiTheme="majorHAnsi" w:hAnsiTheme="majorHAnsi" w:cstheme="majorHAnsi"/>
                <w:color w:val="000000"/>
                <w:sz w:val="20"/>
                <w:szCs w:val="20"/>
                <w:lang w:val="en-US" w:eastAsia="en-US"/>
              </w:rPr>
              <w:t>DI PALMA, Rose</w:t>
            </w:r>
          </w:p>
        </w:tc>
        <w:tc>
          <w:tcPr>
            <w:tcW w:w="7111" w:type="dxa"/>
            <w:tcBorders>
              <w:top w:val="single" w:sz="4" w:space="0" w:color="auto"/>
              <w:left w:val="nil"/>
              <w:bottom w:val="single" w:sz="4" w:space="0" w:color="auto"/>
              <w:right w:val="single" w:sz="8" w:space="0" w:color="auto"/>
            </w:tcBorders>
            <w:shd w:val="clear" w:color="auto" w:fill="F1BAC6" w:themeFill="accent2" w:themeFillTint="66"/>
            <w:noWrap/>
            <w:vAlign w:val="center"/>
            <w:hideMark/>
          </w:tcPr>
          <w:p w14:paraId="3ADEEB5D" w14:textId="77777777" w:rsidR="002C41C5" w:rsidRPr="00CB4FB7" w:rsidRDefault="002C41C5" w:rsidP="002C41C5">
            <w:pPr>
              <w:rPr>
                <w:rFonts w:asciiTheme="majorHAnsi" w:hAnsiTheme="majorHAnsi" w:cstheme="majorHAnsi"/>
                <w:color w:val="000000"/>
                <w:sz w:val="20"/>
                <w:szCs w:val="20"/>
                <w:lang w:val="en-US" w:eastAsia="en-US"/>
              </w:rPr>
            </w:pPr>
            <w:r w:rsidRPr="00CB4FB7">
              <w:rPr>
                <w:rFonts w:asciiTheme="majorHAnsi" w:hAnsiTheme="majorHAnsi" w:cstheme="majorHAnsi"/>
                <w:color w:val="000000"/>
                <w:sz w:val="20"/>
                <w:szCs w:val="20"/>
                <w:lang w:val="en-US" w:eastAsia="en-US"/>
              </w:rPr>
              <w:t>Ontario Region</w:t>
            </w:r>
          </w:p>
        </w:tc>
      </w:tr>
      <w:tr w:rsidR="002C41C5" w:rsidRPr="00C20DDB" w14:paraId="1A2E077C" w14:textId="77777777" w:rsidTr="00BE2FC0">
        <w:trPr>
          <w:trHeight w:val="342"/>
        </w:trPr>
        <w:tc>
          <w:tcPr>
            <w:tcW w:w="313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C9D91EF" w14:textId="77777777" w:rsidR="002C41C5" w:rsidRPr="00CB4FB7" w:rsidRDefault="002C41C5" w:rsidP="002C41C5">
            <w:pPr>
              <w:rPr>
                <w:rFonts w:asciiTheme="majorHAnsi" w:hAnsiTheme="majorHAnsi" w:cstheme="majorHAnsi"/>
                <w:color w:val="000000"/>
                <w:sz w:val="20"/>
                <w:szCs w:val="20"/>
                <w:lang w:val="en-US" w:eastAsia="en-US"/>
              </w:rPr>
            </w:pPr>
            <w:r w:rsidRPr="00CB4FB7">
              <w:rPr>
                <w:rFonts w:asciiTheme="majorHAnsi" w:hAnsiTheme="majorHAnsi" w:cstheme="majorHAnsi"/>
                <w:color w:val="000000"/>
                <w:sz w:val="20"/>
                <w:szCs w:val="20"/>
                <w:lang w:val="en-US" w:eastAsia="en-US"/>
              </w:rPr>
              <w:t>CHEN, Linda</w:t>
            </w:r>
          </w:p>
        </w:tc>
        <w:tc>
          <w:tcPr>
            <w:tcW w:w="7111" w:type="dxa"/>
            <w:tcBorders>
              <w:top w:val="single" w:sz="4" w:space="0" w:color="auto"/>
              <w:left w:val="nil"/>
              <w:bottom w:val="single" w:sz="8" w:space="0" w:color="auto"/>
              <w:right w:val="single" w:sz="8" w:space="0" w:color="auto"/>
            </w:tcBorders>
            <w:shd w:val="clear" w:color="auto" w:fill="auto"/>
            <w:noWrap/>
            <w:vAlign w:val="center"/>
            <w:hideMark/>
          </w:tcPr>
          <w:p w14:paraId="13F431FA" w14:textId="77777777" w:rsidR="002C41C5" w:rsidRPr="00CB4FB7" w:rsidRDefault="002C41C5" w:rsidP="002C41C5">
            <w:pPr>
              <w:rPr>
                <w:rFonts w:asciiTheme="majorHAnsi" w:hAnsiTheme="majorHAnsi" w:cstheme="majorHAnsi"/>
                <w:color w:val="000000"/>
                <w:sz w:val="20"/>
                <w:szCs w:val="20"/>
                <w:lang w:val="en-US" w:eastAsia="en-US"/>
              </w:rPr>
            </w:pPr>
            <w:r w:rsidRPr="00CB4FB7">
              <w:rPr>
                <w:rFonts w:asciiTheme="majorHAnsi" w:hAnsiTheme="majorHAnsi" w:cstheme="majorHAnsi"/>
                <w:color w:val="000000"/>
                <w:sz w:val="20"/>
                <w:szCs w:val="20"/>
                <w:lang w:val="en-US" w:eastAsia="en-US"/>
              </w:rPr>
              <w:t>Western Region</w:t>
            </w:r>
          </w:p>
        </w:tc>
      </w:tr>
      <w:tr w:rsidR="002C41C5" w:rsidRPr="00C20DDB" w14:paraId="5C9C2BED" w14:textId="77777777" w:rsidTr="006834EC">
        <w:trPr>
          <w:trHeight w:val="357"/>
        </w:trPr>
        <w:tc>
          <w:tcPr>
            <w:tcW w:w="10245" w:type="dxa"/>
            <w:gridSpan w:val="2"/>
            <w:tcBorders>
              <w:top w:val="single" w:sz="8" w:space="0" w:color="auto"/>
              <w:left w:val="single" w:sz="8" w:space="0" w:color="auto"/>
              <w:bottom w:val="single" w:sz="8" w:space="0" w:color="auto"/>
              <w:right w:val="single" w:sz="8" w:space="0" w:color="000000"/>
            </w:tcBorders>
            <w:shd w:val="clear" w:color="000000" w:fill="DDD9C4"/>
            <w:noWrap/>
            <w:vAlign w:val="center"/>
            <w:hideMark/>
          </w:tcPr>
          <w:p w14:paraId="72E1D458" w14:textId="77777777" w:rsidR="002C41C5" w:rsidRPr="00CB4FB7" w:rsidRDefault="002C41C5" w:rsidP="002C41C5">
            <w:pPr>
              <w:jc w:val="center"/>
              <w:rPr>
                <w:rFonts w:asciiTheme="majorHAnsi" w:hAnsiTheme="majorHAnsi" w:cstheme="majorHAnsi"/>
                <w:b/>
                <w:bCs/>
                <w:color w:val="000000"/>
                <w:sz w:val="20"/>
                <w:szCs w:val="20"/>
                <w:lang w:val="en-US" w:eastAsia="en-US"/>
              </w:rPr>
            </w:pPr>
            <w:r w:rsidRPr="00CB4FB7">
              <w:rPr>
                <w:rFonts w:asciiTheme="majorHAnsi" w:hAnsiTheme="majorHAnsi" w:cstheme="majorHAnsi"/>
                <w:b/>
                <w:bCs/>
                <w:color w:val="000000"/>
                <w:sz w:val="20"/>
                <w:szCs w:val="20"/>
                <w:lang w:val="en-US" w:eastAsia="en-US"/>
              </w:rPr>
              <w:t>CRM</w:t>
            </w:r>
          </w:p>
        </w:tc>
      </w:tr>
      <w:tr w:rsidR="002C41C5" w:rsidRPr="00C20DDB" w14:paraId="41BC940C" w14:textId="77777777" w:rsidTr="006834EC">
        <w:trPr>
          <w:trHeight w:val="330"/>
        </w:trPr>
        <w:tc>
          <w:tcPr>
            <w:tcW w:w="3134" w:type="dxa"/>
            <w:tcBorders>
              <w:top w:val="nil"/>
              <w:left w:val="single" w:sz="8" w:space="0" w:color="auto"/>
              <w:bottom w:val="single" w:sz="4" w:space="0" w:color="auto"/>
              <w:right w:val="single" w:sz="4" w:space="0" w:color="auto"/>
            </w:tcBorders>
            <w:shd w:val="clear" w:color="auto" w:fill="auto"/>
            <w:vAlign w:val="center"/>
            <w:hideMark/>
          </w:tcPr>
          <w:p w14:paraId="6E4E1BF4" w14:textId="198E6246" w:rsidR="002C41C5" w:rsidRPr="00CB4FB7" w:rsidRDefault="002C41C5" w:rsidP="002C41C5">
            <w:pPr>
              <w:rPr>
                <w:rFonts w:asciiTheme="majorHAnsi" w:hAnsiTheme="majorHAnsi" w:cstheme="majorHAnsi"/>
                <w:color w:val="000000"/>
                <w:sz w:val="20"/>
                <w:szCs w:val="20"/>
                <w:lang w:val="en-US" w:eastAsia="en-US"/>
              </w:rPr>
            </w:pPr>
            <w:r w:rsidRPr="00CB4FB7">
              <w:rPr>
                <w:rFonts w:asciiTheme="majorHAnsi" w:hAnsiTheme="majorHAnsi" w:cstheme="majorHAnsi"/>
                <w:color w:val="000000"/>
                <w:sz w:val="20"/>
                <w:szCs w:val="20"/>
                <w:lang w:val="en-US" w:eastAsia="en-US"/>
              </w:rPr>
              <w:t xml:space="preserve">LAFLEUR, Annie </w:t>
            </w:r>
          </w:p>
        </w:tc>
        <w:tc>
          <w:tcPr>
            <w:tcW w:w="7111" w:type="dxa"/>
            <w:tcBorders>
              <w:top w:val="nil"/>
              <w:left w:val="nil"/>
              <w:bottom w:val="single" w:sz="4" w:space="0" w:color="auto"/>
              <w:right w:val="single" w:sz="8" w:space="0" w:color="auto"/>
            </w:tcBorders>
            <w:shd w:val="clear" w:color="auto" w:fill="auto"/>
            <w:vAlign w:val="center"/>
            <w:hideMark/>
          </w:tcPr>
          <w:p w14:paraId="45935F52" w14:textId="77777777" w:rsidR="002C41C5" w:rsidRPr="00CB4FB7" w:rsidRDefault="002C41C5" w:rsidP="002C41C5">
            <w:pPr>
              <w:rPr>
                <w:rFonts w:asciiTheme="majorHAnsi" w:hAnsiTheme="majorHAnsi" w:cstheme="majorHAnsi"/>
                <w:color w:val="000000"/>
                <w:sz w:val="20"/>
                <w:szCs w:val="20"/>
                <w:lang w:val="en-US" w:eastAsia="en-US"/>
              </w:rPr>
            </w:pPr>
            <w:r w:rsidRPr="00CB4FB7">
              <w:rPr>
                <w:rFonts w:asciiTheme="majorHAnsi" w:hAnsiTheme="majorHAnsi" w:cstheme="majorHAnsi"/>
                <w:color w:val="000000"/>
                <w:sz w:val="20"/>
                <w:szCs w:val="20"/>
                <w:lang w:val="en-US" w:eastAsia="en-US"/>
              </w:rPr>
              <w:t>Executive Director, Corporate Resource Management</w:t>
            </w:r>
          </w:p>
        </w:tc>
      </w:tr>
      <w:tr w:rsidR="002C41C5" w:rsidRPr="00C20DDB" w14:paraId="037947DF" w14:textId="77777777" w:rsidTr="006859FF">
        <w:trPr>
          <w:trHeight w:val="330"/>
        </w:trPr>
        <w:tc>
          <w:tcPr>
            <w:tcW w:w="3134" w:type="dxa"/>
            <w:tcBorders>
              <w:top w:val="single" w:sz="4" w:space="0" w:color="auto"/>
              <w:left w:val="single" w:sz="8" w:space="0" w:color="auto"/>
              <w:bottom w:val="single" w:sz="8" w:space="0" w:color="auto"/>
              <w:right w:val="single" w:sz="4" w:space="0" w:color="auto"/>
            </w:tcBorders>
            <w:shd w:val="clear" w:color="auto" w:fill="auto"/>
            <w:vAlign w:val="center"/>
          </w:tcPr>
          <w:p w14:paraId="03355B81" w14:textId="75E939F1" w:rsidR="002C41C5" w:rsidRPr="00CB4FB7" w:rsidRDefault="002C41C5" w:rsidP="002C41C5">
            <w:pPr>
              <w:rPr>
                <w:rFonts w:asciiTheme="majorHAnsi" w:hAnsiTheme="majorHAnsi" w:cstheme="majorHAnsi"/>
                <w:color w:val="000000"/>
                <w:sz w:val="20"/>
                <w:szCs w:val="20"/>
                <w:lang w:val="en-US" w:eastAsia="en-US"/>
              </w:rPr>
            </w:pPr>
            <w:r w:rsidRPr="00CB4FB7">
              <w:rPr>
                <w:rFonts w:asciiTheme="majorHAnsi" w:hAnsiTheme="majorHAnsi" w:cstheme="majorHAnsi"/>
                <w:color w:val="000000"/>
                <w:sz w:val="20"/>
                <w:szCs w:val="20"/>
                <w:lang w:val="en-US" w:eastAsia="en-US"/>
              </w:rPr>
              <w:t>GOUDREAU, Isabelle</w:t>
            </w:r>
          </w:p>
        </w:tc>
        <w:tc>
          <w:tcPr>
            <w:tcW w:w="7111" w:type="dxa"/>
            <w:tcBorders>
              <w:top w:val="single" w:sz="4" w:space="0" w:color="auto"/>
              <w:left w:val="nil"/>
              <w:bottom w:val="single" w:sz="8" w:space="0" w:color="auto"/>
              <w:right w:val="single" w:sz="8" w:space="0" w:color="auto"/>
            </w:tcBorders>
            <w:shd w:val="clear" w:color="auto" w:fill="auto"/>
            <w:vAlign w:val="center"/>
          </w:tcPr>
          <w:p w14:paraId="31040D26" w14:textId="678768C2" w:rsidR="002C41C5" w:rsidRPr="00CB4FB7" w:rsidRDefault="002C41C5">
            <w:pPr>
              <w:rPr>
                <w:rFonts w:asciiTheme="majorHAnsi" w:hAnsiTheme="majorHAnsi" w:cstheme="majorHAnsi"/>
                <w:color w:val="000000"/>
                <w:sz w:val="20"/>
                <w:szCs w:val="20"/>
                <w:lang w:val="en-US" w:eastAsia="en-US"/>
              </w:rPr>
            </w:pPr>
            <w:r w:rsidRPr="00CB4FB7">
              <w:rPr>
                <w:rFonts w:asciiTheme="majorHAnsi" w:hAnsiTheme="majorHAnsi" w:cstheme="majorHAnsi"/>
                <w:color w:val="000000"/>
                <w:sz w:val="20"/>
                <w:szCs w:val="20"/>
                <w:lang w:val="en-US" w:eastAsia="en-US"/>
              </w:rPr>
              <w:t>Manager, Corporate Resource Management</w:t>
            </w:r>
            <w:r w:rsidR="00E7761E">
              <w:rPr>
                <w:rFonts w:asciiTheme="majorHAnsi" w:hAnsiTheme="majorHAnsi" w:cstheme="majorHAnsi"/>
                <w:color w:val="000000"/>
                <w:sz w:val="20"/>
                <w:szCs w:val="20"/>
                <w:lang w:val="en-US" w:eastAsia="en-US"/>
              </w:rPr>
              <w:t xml:space="preserve"> </w:t>
            </w:r>
          </w:p>
        </w:tc>
      </w:tr>
      <w:tr w:rsidR="00EA38E7" w:rsidRPr="00C20DDB" w14:paraId="4979CD02" w14:textId="77777777" w:rsidTr="006859FF">
        <w:trPr>
          <w:trHeight w:val="330"/>
        </w:trPr>
        <w:tc>
          <w:tcPr>
            <w:tcW w:w="3134" w:type="dxa"/>
            <w:tcBorders>
              <w:top w:val="single" w:sz="4" w:space="0" w:color="auto"/>
              <w:left w:val="single" w:sz="8" w:space="0" w:color="auto"/>
              <w:bottom w:val="single" w:sz="8" w:space="0" w:color="auto"/>
              <w:right w:val="single" w:sz="4" w:space="0" w:color="auto"/>
            </w:tcBorders>
            <w:shd w:val="clear" w:color="auto" w:fill="auto"/>
            <w:vAlign w:val="center"/>
          </w:tcPr>
          <w:p w14:paraId="1F910196" w14:textId="256BD36D" w:rsidR="00EA38E7" w:rsidRPr="00CB4FB7" w:rsidRDefault="00EA38E7" w:rsidP="002C41C5">
            <w:pPr>
              <w:rPr>
                <w:rFonts w:asciiTheme="majorHAnsi" w:hAnsiTheme="majorHAnsi" w:cstheme="majorHAnsi"/>
                <w:color w:val="000000"/>
                <w:sz w:val="20"/>
                <w:szCs w:val="20"/>
                <w:lang w:val="en-US" w:eastAsia="en-US"/>
              </w:rPr>
            </w:pPr>
            <w:r>
              <w:rPr>
                <w:rFonts w:asciiTheme="majorHAnsi" w:hAnsiTheme="majorHAnsi" w:cstheme="majorHAnsi"/>
                <w:color w:val="000000"/>
                <w:sz w:val="20"/>
                <w:szCs w:val="20"/>
                <w:lang w:val="en-US" w:eastAsia="en-US"/>
              </w:rPr>
              <w:t>BÉLEC, Valérie</w:t>
            </w:r>
          </w:p>
        </w:tc>
        <w:tc>
          <w:tcPr>
            <w:tcW w:w="7111" w:type="dxa"/>
            <w:tcBorders>
              <w:top w:val="single" w:sz="4" w:space="0" w:color="auto"/>
              <w:left w:val="nil"/>
              <w:bottom w:val="single" w:sz="8" w:space="0" w:color="auto"/>
              <w:right w:val="single" w:sz="8" w:space="0" w:color="auto"/>
            </w:tcBorders>
            <w:shd w:val="clear" w:color="auto" w:fill="auto"/>
            <w:vAlign w:val="center"/>
          </w:tcPr>
          <w:p w14:paraId="18F6A738" w14:textId="345E355B" w:rsidR="00EA38E7" w:rsidRPr="00CB4FB7" w:rsidRDefault="00EA38E7" w:rsidP="00E7761E">
            <w:pPr>
              <w:rPr>
                <w:rFonts w:asciiTheme="majorHAnsi" w:hAnsiTheme="majorHAnsi" w:cstheme="majorHAnsi"/>
                <w:color w:val="000000"/>
                <w:sz w:val="20"/>
                <w:szCs w:val="20"/>
                <w:lang w:val="en-US" w:eastAsia="en-US"/>
              </w:rPr>
            </w:pPr>
            <w:r>
              <w:rPr>
                <w:rFonts w:asciiTheme="majorHAnsi" w:hAnsiTheme="majorHAnsi" w:cstheme="majorHAnsi"/>
                <w:color w:val="000000"/>
                <w:sz w:val="20"/>
                <w:szCs w:val="20"/>
                <w:lang w:val="en-US" w:eastAsia="en-US"/>
              </w:rPr>
              <w:t>Team Lead, Corporate Resource Management</w:t>
            </w:r>
          </w:p>
        </w:tc>
      </w:tr>
      <w:tr w:rsidR="002C41C5" w:rsidRPr="00660AE1" w14:paraId="0E05A1FE" w14:textId="77777777" w:rsidTr="006859FF">
        <w:trPr>
          <w:trHeight w:val="330"/>
        </w:trPr>
        <w:tc>
          <w:tcPr>
            <w:tcW w:w="3134" w:type="dxa"/>
            <w:tcBorders>
              <w:top w:val="single" w:sz="4" w:space="0" w:color="auto"/>
              <w:left w:val="single" w:sz="8" w:space="0" w:color="auto"/>
              <w:bottom w:val="single" w:sz="8" w:space="0" w:color="auto"/>
              <w:right w:val="single" w:sz="4" w:space="0" w:color="auto"/>
            </w:tcBorders>
            <w:shd w:val="clear" w:color="auto" w:fill="C0E8EA" w:themeFill="background2" w:themeFillTint="99"/>
            <w:vAlign w:val="center"/>
          </w:tcPr>
          <w:p w14:paraId="3670AE84" w14:textId="4C2D88D4" w:rsidR="002C41C5" w:rsidRPr="00CB4FB7" w:rsidRDefault="002C41C5" w:rsidP="002C41C5">
            <w:pPr>
              <w:rPr>
                <w:rFonts w:asciiTheme="majorHAnsi" w:hAnsiTheme="majorHAnsi" w:cstheme="majorHAnsi"/>
                <w:color w:val="000000"/>
                <w:sz w:val="20"/>
                <w:szCs w:val="20"/>
                <w:lang w:val="en-US" w:eastAsia="en-US"/>
              </w:rPr>
            </w:pPr>
            <w:r w:rsidRPr="00CB4FB7">
              <w:rPr>
                <w:rFonts w:asciiTheme="majorHAnsi" w:hAnsiTheme="majorHAnsi" w:cstheme="majorHAnsi"/>
                <w:color w:val="000000"/>
                <w:sz w:val="20"/>
                <w:szCs w:val="20"/>
                <w:lang w:val="en-US" w:eastAsia="en-US"/>
              </w:rPr>
              <w:t>CRM Forecasting Mailbox</w:t>
            </w:r>
          </w:p>
        </w:tc>
        <w:tc>
          <w:tcPr>
            <w:tcW w:w="7111" w:type="dxa"/>
            <w:tcBorders>
              <w:top w:val="single" w:sz="4" w:space="0" w:color="auto"/>
              <w:left w:val="nil"/>
              <w:bottom w:val="single" w:sz="8" w:space="0" w:color="auto"/>
              <w:right w:val="single" w:sz="8" w:space="0" w:color="auto"/>
            </w:tcBorders>
            <w:shd w:val="clear" w:color="auto" w:fill="C0E8EA" w:themeFill="background2" w:themeFillTint="99"/>
            <w:vAlign w:val="center"/>
          </w:tcPr>
          <w:p w14:paraId="1BE3D240" w14:textId="579EF86D" w:rsidR="002C41C5" w:rsidRPr="006859FF" w:rsidRDefault="00660AE1" w:rsidP="002C41C5">
            <w:pPr>
              <w:rPr>
                <w:rFonts w:asciiTheme="majorHAnsi" w:hAnsiTheme="majorHAnsi" w:cstheme="majorHAnsi"/>
                <w:sz w:val="20"/>
                <w:szCs w:val="20"/>
                <w:lang w:val="fr-CA"/>
              </w:rPr>
            </w:pPr>
            <w:hyperlink r:id="rId51" w:history="1">
              <w:r w:rsidR="002C41C5" w:rsidRPr="00CB4FB7">
                <w:rPr>
                  <w:rFonts w:asciiTheme="majorHAnsi" w:hAnsiTheme="majorHAnsi" w:cstheme="majorHAnsi"/>
                  <w:color w:val="0000FF"/>
                  <w:sz w:val="20"/>
                  <w:szCs w:val="20"/>
                  <w:u w:val="single"/>
                  <w:lang w:val="fr-CA" w:eastAsia="en-US"/>
                </w:rPr>
                <w:t>NC-Forecasting-Mailbox-CRM_Boîtes-aux-lettres-Prévisions-GRM-GD</w:t>
              </w:r>
            </w:hyperlink>
          </w:p>
        </w:tc>
      </w:tr>
    </w:tbl>
    <w:p w14:paraId="319C1786" w14:textId="77777777" w:rsidR="001C5300" w:rsidRPr="00D7117A" w:rsidRDefault="001C5300" w:rsidP="00D7117A">
      <w:pPr>
        <w:rPr>
          <w:lang w:val="fr-CA"/>
        </w:rPr>
      </w:pPr>
    </w:p>
    <w:sectPr w:rsidR="001C5300" w:rsidRPr="00D7117A" w:rsidSect="005A2022">
      <w:pgSz w:w="12240" w:h="15840"/>
      <w:pgMar w:top="1800" w:right="180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1AFCC" w14:textId="77777777" w:rsidR="0060233B" w:rsidRDefault="0060233B" w:rsidP="005A2022">
      <w:r>
        <w:separator/>
      </w:r>
    </w:p>
  </w:endnote>
  <w:endnote w:type="continuationSeparator" w:id="0">
    <w:p w14:paraId="6477FF5C" w14:textId="77777777" w:rsidR="0060233B" w:rsidRDefault="0060233B"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6AA1A" w14:textId="77777777" w:rsidR="0060233B" w:rsidRDefault="0060233B"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286111" w14:textId="77777777" w:rsidR="0060233B" w:rsidRDefault="00602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88F81" w14:textId="6A8E5A44" w:rsidR="0060233B" w:rsidRPr="005A2022" w:rsidRDefault="0060233B"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660AE1">
      <w:rPr>
        <w:rStyle w:val="PageNumber"/>
        <w:rFonts w:ascii="Century Gothic" w:hAnsi="Century Gothic"/>
        <w:b/>
        <w:bCs/>
        <w:noProof/>
        <w:color w:val="808080" w:themeColor="background1" w:themeShade="80"/>
      </w:rPr>
      <w:t>21</w:t>
    </w:r>
    <w:r w:rsidRPr="005A2022">
      <w:rPr>
        <w:rStyle w:val="PageNumber"/>
        <w:rFonts w:ascii="Century Gothic" w:hAnsi="Century Gothic"/>
        <w:b/>
        <w:bCs/>
        <w:color w:val="808080" w:themeColor="background1" w:themeShade="80"/>
      </w:rPr>
      <w:fldChar w:fldCharType="end"/>
    </w:r>
  </w:p>
  <w:p w14:paraId="10660F46" w14:textId="77777777" w:rsidR="0060233B" w:rsidRDefault="0060233B">
    <w:pPr>
      <w:pStyle w:val="Footer"/>
    </w:pPr>
    <w:r>
      <w:rPr>
        <w:noProof/>
      </w:rPr>
      <w:drawing>
        <wp:anchor distT="0" distB="0" distL="114300" distR="114300" simplePos="0" relativeHeight="251661312" behindDoc="1" locked="0" layoutInCell="1" allowOverlap="1" wp14:anchorId="31EDBBFB" wp14:editId="085154A5">
          <wp:simplePos x="0" y="0"/>
          <wp:positionH relativeFrom="column">
            <wp:posOffset>-914400</wp:posOffset>
          </wp:positionH>
          <wp:positionV relativeFrom="paragraph">
            <wp:posOffset>-393065</wp:posOffset>
          </wp:positionV>
          <wp:extent cx="7772400" cy="1085088"/>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850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7C555" w14:textId="77777777" w:rsidR="0060233B" w:rsidRDefault="0060233B" w:rsidP="005A2022">
      <w:r>
        <w:separator/>
      </w:r>
    </w:p>
  </w:footnote>
  <w:footnote w:type="continuationSeparator" w:id="0">
    <w:p w14:paraId="396CC55F" w14:textId="77777777" w:rsidR="0060233B" w:rsidRDefault="0060233B" w:rsidP="005A2022">
      <w:r>
        <w:continuationSeparator/>
      </w:r>
    </w:p>
  </w:footnote>
  <w:footnote w:id="1">
    <w:p w14:paraId="79423AAC" w14:textId="77777777" w:rsidR="0060233B" w:rsidRPr="00E92BB6" w:rsidRDefault="0060233B" w:rsidP="00DB44B8">
      <w:pPr>
        <w:pStyle w:val="FootnoteText"/>
        <w:ind w:left="142" w:hanging="142"/>
        <w:rPr>
          <w:rFonts w:ascii="Times New Roman" w:hAnsi="Times New Roman" w:cs="Times New Roman"/>
          <w:sz w:val="18"/>
          <w:szCs w:val="18"/>
        </w:rPr>
      </w:pPr>
      <w:r w:rsidRPr="00E92BB6">
        <w:rPr>
          <w:rStyle w:val="FootnoteReference"/>
          <w:rFonts w:ascii="Times New Roman" w:eastAsiaTheme="majorEastAsia" w:hAnsi="Times New Roman" w:cs="Times New Roman"/>
          <w:sz w:val="18"/>
          <w:szCs w:val="18"/>
        </w:rPr>
        <w:footnoteRef/>
      </w:r>
      <w:r w:rsidRPr="00E92BB6">
        <w:rPr>
          <w:rFonts w:ascii="Times New Roman" w:hAnsi="Times New Roman" w:cs="Times New Roman"/>
          <w:sz w:val="18"/>
          <w:szCs w:val="18"/>
        </w:rPr>
        <w:t xml:space="preserve"> Regional Management Services (RMS) may or may not be included in certain steps depending on determined roles and responsibilities.</w:t>
      </w:r>
    </w:p>
  </w:footnote>
  <w:footnote w:id="2">
    <w:p w14:paraId="7CD1D5FC" w14:textId="77777777" w:rsidR="0060233B" w:rsidRPr="00E81757" w:rsidRDefault="0060233B" w:rsidP="00DB44B8">
      <w:pPr>
        <w:pStyle w:val="FootnoteText"/>
      </w:pPr>
      <w:r w:rsidRPr="00E92BB6">
        <w:rPr>
          <w:rStyle w:val="FootnoteReference"/>
          <w:rFonts w:ascii="Times New Roman" w:eastAsiaTheme="majorEastAsia" w:hAnsi="Times New Roman" w:cs="Times New Roman"/>
          <w:sz w:val="18"/>
          <w:szCs w:val="18"/>
        </w:rPr>
        <w:footnoteRef/>
      </w:r>
      <w:r w:rsidRPr="00E92BB6">
        <w:rPr>
          <w:rFonts w:ascii="Times New Roman" w:hAnsi="Times New Roman" w:cs="Times New Roman"/>
          <w:sz w:val="18"/>
          <w:szCs w:val="18"/>
        </w:rPr>
        <w:t xml:space="preserve"> Throughout this document, the term Fund Center Manager (FCM) may also include designates.</w:t>
      </w:r>
    </w:p>
  </w:footnote>
  <w:footnote w:id="3">
    <w:p w14:paraId="190B2E58" w14:textId="77777777" w:rsidR="0060233B" w:rsidRPr="00E92BB6" w:rsidRDefault="0060233B" w:rsidP="00DB44B8">
      <w:pPr>
        <w:pStyle w:val="FootnoteText"/>
        <w:rPr>
          <w:rFonts w:ascii="Times New Roman" w:hAnsi="Times New Roman" w:cs="Times New Roman"/>
          <w:sz w:val="18"/>
          <w:szCs w:val="18"/>
        </w:rPr>
      </w:pPr>
      <w:r w:rsidRPr="00E92BB6">
        <w:rPr>
          <w:rStyle w:val="FootnoteReference"/>
          <w:rFonts w:ascii="Times New Roman" w:eastAsiaTheme="majorEastAsia" w:hAnsi="Times New Roman" w:cs="Times New Roman"/>
          <w:sz w:val="18"/>
          <w:szCs w:val="18"/>
        </w:rPr>
        <w:footnoteRef/>
      </w:r>
      <w:r w:rsidRPr="00E92BB6">
        <w:rPr>
          <w:rFonts w:ascii="Times New Roman" w:hAnsi="Times New Roman" w:cs="Times New Roman"/>
          <w:sz w:val="18"/>
          <w:szCs w:val="18"/>
        </w:rPr>
        <w:t xml:space="preserve"> In SFT, Fund Center (FC) is referred to as Cost Center (CC).</w:t>
      </w:r>
    </w:p>
  </w:footnote>
  <w:footnote w:id="4">
    <w:p w14:paraId="5CFD9AF1" w14:textId="77777777" w:rsidR="0060233B" w:rsidRDefault="0060233B" w:rsidP="00DB44B8">
      <w:pPr>
        <w:pStyle w:val="FootnoteText"/>
      </w:pPr>
      <w:r>
        <w:rPr>
          <w:rStyle w:val="FootnoteReference"/>
          <w:rFonts w:eastAsiaTheme="majorEastAsia"/>
        </w:rPr>
        <w:footnoteRef/>
      </w:r>
      <w:r>
        <w:t xml:space="preserve"> </w:t>
      </w:r>
      <w:r w:rsidRPr="008F5CE3">
        <w:rPr>
          <w:sz w:val="18"/>
          <w:szCs w:val="18"/>
        </w:rPr>
        <w:t>In SFT, Commitment Items (CI) are refe</w:t>
      </w:r>
      <w:r>
        <w:rPr>
          <w:sz w:val="18"/>
          <w:szCs w:val="18"/>
        </w:rPr>
        <w:t>r</w:t>
      </w:r>
      <w:r w:rsidRPr="008F5CE3">
        <w:rPr>
          <w:sz w:val="18"/>
          <w:szCs w:val="18"/>
        </w:rPr>
        <w:t>red to as Forecast Group Codes (FGC).</w:t>
      </w:r>
    </w:p>
  </w:footnote>
  <w:footnote w:id="5">
    <w:p w14:paraId="082DF981" w14:textId="43D8BD07" w:rsidR="0060233B" w:rsidRPr="00E24643" w:rsidRDefault="0060233B" w:rsidP="00DB44B8">
      <w:pPr>
        <w:pStyle w:val="FootnoteText"/>
        <w:rPr>
          <w:rFonts w:ascii="Times New Roman" w:hAnsi="Times New Roman" w:cs="Times New Roman"/>
          <w:sz w:val="18"/>
          <w:szCs w:val="18"/>
        </w:rPr>
      </w:pPr>
      <w:r w:rsidRPr="00E24643">
        <w:rPr>
          <w:rStyle w:val="FootnoteReference"/>
          <w:rFonts w:ascii="Times New Roman" w:eastAsiaTheme="majorEastAsia" w:hAnsi="Times New Roman" w:cs="Times New Roman"/>
          <w:sz w:val="18"/>
          <w:szCs w:val="18"/>
        </w:rPr>
        <w:footnoteRef/>
      </w:r>
      <w:r w:rsidRPr="00E24643">
        <w:rPr>
          <w:rFonts w:ascii="Times New Roman" w:hAnsi="Times New Roman" w:cs="Times New Roman"/>
          <w:sz w:val="18"/>
          <w:szCs w:val="18"/>
        </w:rPr>
        <w:t xml:space="preserve"> In SFT, Funds Center (FC) is referred to as Cost Center (CC).</w:t>
      </w:r>
    </w:p>
  </w:footnote>
  <w:footnote w:id="6">
    <w:p w14:paraId="66C97731" w14:textId="77777777" w:rsidR="0060233B" w:rsidRPr="00BB7687" w:rsidRDefault="0060233B" w:rsidP="00DB44B8">
      <w:pPr>
        <w:pStyle w:val="FootnoteText"/>
        <w:rPr>
          <w:rFonts w:ascii="Times New Roman" w:hAnsi="Times New Roman" w:cs="Times New Roman"/>
          <w:sz w:val="18"/>
          <w:szCs w:val="18"/>
        </w:rPr>
      </w:pPr>
      <w:r w:rsidRPr="00BB7687">
        <w:rPr>
          <w:rStyle w:val="FootnoteReference"/>
          <w:rFonts w:ascii="Times New Roman" w:eastAsiaTheme="majorEastAsia" w:hAnsi="Times New Roman" w:cs="Times New Roman"/>
          <w:sz w:val="18"/>
          <w:szCs w:val="18"/>
        </w:rPr>
        <w:footnoteRef/>
      </w:r>
      <w:r w:rsidRPr="00BB7687">
        <w:rPr>
          <w:rFonts w:ascii="Times New Roman" w:hAnsi="Times New Roman" w:cs="Times New Roman"/>
          <w:sz w:val="18"/>
          <w:szCs w:val="18"/>
        </w:rPr>
        <w:t xml:space="preserve"> Expenditures must be </w:t>
      </w:r>
      <w:r w:rsidRPr="00BB7687">
        <w:rPr>
          <w:rFonts w:ascii="Times New Roman" w:hAnsi="Times New Roman" w:cs="Times New Roman"/>
          <w:sz w:val="18"/>
          <w:szCs w:val="18"/>
          <w:lang w:val="en-US"/>
        </w:rPr>
        <w:t>realigned to Fund A449 on a monthly basis through a JV at the latest 5 working days before the end of the month.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45267" w14:textId="77777777" w:rsidR="0060233B" w:rsidRDefault="0060233B">
    <w:pPr>
      <w:pStyle w:val="Header"/>
    </w:pPr>
    <w:r>
      <w:rPr>
        <w:noProof/>
      </w:rPr>
      <w:drawing>
        <wp:anchor distT="0" distB="0" distL="114300" distR="114300" simplePos="0" relativeHeight="251660288" behindDoc="1" locked="0" layoutInCell="1" allowOverlap="1" wp14:anchorId="16BD0DBD" wp14:editId="6DC4CCB2">
          <wp:simplePos x="0" y="0"/>
          <wp:positionH relativeFrom="column">
            <wp:posOffset>-914400</wp:posOffset>
          </wp:positionH>
          <wp:positionV relativeFrom="paragraph">
            <wp:posOffset>373380</wp:posOffset>
          </wp:positionV>
          <wp:extent cx="7772400" cy="201168"/>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5BDDE" w14:textId="5DCE00D4" w:rsidR="0060233B" w:rsidRDefault="0060233B">
    <w:pPr>
      <w:pStyle w:val="Header"/>
    </w:pPr>
    <w:r>
      <w:rPr>
        <w:noProof/>
      </w:rPr>
      <w:drawing>
        <wp:anchor distT="0" distB="0" distL="114300" distR="114300" simplePos="0" relativeHeight="251662336" behindDoc="1" locked="0" layoutInCell="1" allowOverlap="1" wp14:anchorId="206C2F01" wp14:editId="3650230A">
          <wp:simplePos x="0" y="0"/>
          <wp:positionH relativeFrom="page">
            <wp:align>right</wp:align>
          </wp:positionH>
          <wp:positionV relativeFrom="paragraph">
            <wp:posOffset>-474345</wp:posOffset>
          </wp:positionV>
          <wp:extent cx="7772400" cy="10058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2DF"/>
    <w:multiLevelType w:val="hybridMultilevel"/>
    <w:tmpl w:val="B67EA8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084621"/>
    <w:multiLevelType w:val="hybridMultilevel"/>
    <w:tmpl w:val="3AECBD1A"/>
    <w:lvl w:ilvl="0" w:tplc="1A5EFB18">
      <w:start w:val="1"/>
      <w:numFmt w:val="decimal"/>
      <w:lvlText w:val="%1."/>
      <w:lvlJc w:val="left"/>
      <w:pPr>
        <w:tabs>
          <w:tab w:val="num" w:pos="720"/>
        </w:tabs>
        <w:ind w:left="720" w:hanging="360"/>
      </w:pPr>
    </w:lvl>
    <w:lvl w:ilvl="1" w:tplc="6BF2A294" w:tentative="1">
      <w:start w:val="1"/>
      <w:numFmt w:val="decimal"/>
      <w:lvlText w:val="%2."/>
      <w:lvlJc w:val="left"/>
      <w:pPr>
        <w:tabs>
          <w:tab w:val="num" w:pos="1440"/>
        </w:tabs>
        <w:ind w:left="1440" w:hanging="360"/>
      </w:pPr>
    </w:lvl>
    <w:lvl w:ilvl="2" w:tplc="A3C40D6A" w:tentative="1">
      <w:start w:val="1"/>
      <w:numFmt w:val="decimal"/>
      <w:lvlText w:val="%3."/>
      <w:lvlJc w:val="left"/>
      <w:pPr>
        <w:tabs>
          <w:tab w:val="num" w:pos="2160"/>
        </w:tabs>
        <w:ind w:left="2160" w:hanging="360"/>
      </w:pPr>
    </w:lvl>
    <w:lvl w:ilvl="3" w:tplc="DA86DA2A" w:tentative="1">
      <w:start w:val="1"/>
      <w:numFmt w:val="decimal"/>
      <w:lvlText w:val="%4."/>
      <w:lvlJc w:val="left"/>
      <w:pPr>
        <w:tabs>
          <w:tab w:val="num" w:pos="2880"/>
        </w:tabs>
        <w:ind w:left="2880" w:hanging="360"/>
      </w:pPr>
    </w:lvl>
    <w:lvl w:ilvl="4" w:tplc="021C23C6" w:tentative="1">
      <w:start w:val="1"/>
      <w:numFmt w:val="decimal"/>
      <w:lvlText w:val="%5."/>
      <w:lvlJc w:val="left"/>
      <w:pPr>
        <w:tabs>
          <w:tab w:val="num" w:pos="3600"/>
        </w:tabs>
        <w:ind w:left="3600" w:hanging="360"/>
      </w:pPr>
    </w:lvl>
    <w:lvl w:ilvl="5" w:tplc="E95044C6" w:tentative="1">
      <w:start w:val="1"/>
      <w:numFmt w:val="decimal"/>
      <w:lvlText w:val="%6."/>
      <w:lvlJc w:val="left"/>
      <w:pPr>
        <w:tabs>
          <w:tab w:val="num" w:pos="4320"/>
        </w:tabs>
        <w:ind w:left="4320" w:hanging="360"/>
      </w:pPr>
    </w:lvl>
    <w:lvl w:ilvl="6" w:tplc="BD48F66C" w:tentative="1">
      <w:start w:val="1"/>
      <w:numFmt w:val="decimal"/>
      <w:lvlText w:val="%7."/>
      <w:lvlJc w:val="left"/>
      <w:pPr>
        <w:tabs>
          <w:tab w:val="num" w:pos="5040"/>
        </w:tabs>
        <w:ind w:left="5040" w:hanging="360"/>
      </w:pPr>
    </w:lvl>
    <w:lvl w:ilvl="7" w:tplc="216EBF96" w:tentative="1">
      <w:start w:val="1"/>
      <w:numFmt w:val="decimal"/>
      <w:lvlText w:val="%8."/>
      <w:lvlJc w:val="left"/>
      <w:pPr>
        <w:tabs>
          <w:tab w:val="num" w:pos="5760"/>
        </w:tabs>
        <w:ind w:left="5760" w:hanging="360"/>
      </w:pPr>
    </w:lvl>
    <w:lvl w:ilvl="8" w:tplc="5518E264" w:tentative="1">
      <w:start w:val="1"/>
      <w:numFmt w:val="decimal"/>
      <w:lvlText w:val="%9."/>
      <w:lvlJc w:val="left"/>
      <w:pPr>
        <w:tabs>
          <w:tab w:val="num" w:pos="6480"/>
        </w:tabs>
        <w:ind w:left="6480" w:hanging="360"/>
      </w:pPr>
    </w:lvl>
  </w:abstractNum>
  <w:abstractNum w:abstractNumId="2" w15:restartNumberingAfterBreak="0">
    <w:nsid w:val="14C6209E"/>
    <w:multiLevelType w:val="hybridMultilevel"/>
    <w:tmpl w:val="458439B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51F7122"/>
    <w:multiLevelType w:val="hybridMultilevel"/>
    <w:tmpl w:val="F4A2889A"/>
    <w:lvl w:ilvl="0" w:tplc="1F5C7268">
      <w:start w:val="1"/>
      <w:numFmt w:val="decimal"/>
      <w:lvlText w:val="%1."/>
      <w:lvlJc w:val="left"/>
      <w:pPr>
        <w:tabs>
          <w:tab w:val="num" w:pos="720"/>
        </w:tabs>
        <w:ind w:left="720" w:hanging="360"/>
      </w:pPr>
    </w:lvl>
    <w:lvl w:ilvl="1" w:tplc="8ECE1370" w:tentative="1">
      <w:start w:val="1"/>
      <w:numFmt w:val="decimal"/>
      <w:lvlText w:val="%2."/>
      <w:lvlJc w:val="left"/>
      <w:pPr>
        <w:tabs>
          <w:tab w:val="num" w:pos="1440"/>
        </w:tabs>
        <w:ind w:left="1440" w:hanging="360"/>
      </w:pPr>
    </w:lvl>
    <w:lvl w:ilvl="2" w:tplc="0ADE68BA" w:tentative="1">
      <w:start w:val="1"/>
      <w:numFmt w:val="decimal"/>
      <w:lvlText w:val="%3."/>
      <w:lvlJc w:val="left"/>
      <w:pPr>
        <w:tabs>
          <w:tab w:val="num" w:pos="2160"/>
        </w:tabs>
        <w:ind w:left="2160" w:hanging="360"/>
      </w:pPr>
    </w:lvl>
    <w:lvl w:ilvl="3" w:tplc="0A2A315C" w:tentative="1">
      <w:start w:val="1"/>
      <w:numFmt w:val="decimal"/>
      <w:lvlText w:val="%4."/>
      <w:lvlJc w:val="left"/>
      <w:pPr>
        <w:tabs>
          <w:tab w:val="num" w:pos="2880"/>
        </w:tabs>
        <w:ind w:left="2880" w:hanging="360"/>
      </w:pPr>
    </w:lvl>
    <w:lvl w:ilvl="4" w:tplc="066842EC" w:tentative="1">
      <w:start w:val="1"/>
      <w:numFmt w:val="decimal"/>
      <w:lvlText w:val="%5."/>
      <w:lvlJc w:val="left"/>
      <w:pPr>
        <w:tabs>
          <w:tab w:val="num" w:pos="3600"/>
        </w:tabs>
        <w:ind w:left="3600" w:hanging="360"/>
      </w:pPr>
    </w:lvl>
    <w:lvl w:ilvl="5" w:tplc="CCC65D4C" w:tentative="1">
      <w:start w:val="1"/>
      <w:numFmt w:val="decimal"/>
      <w:lvlText w:val="%6."/>
      <w:lvlJc w:val="left"/>
      <w:pPr>
        <w:tabs>
          <w:tab w:val="num" w:pos="4320"/>
        </w:tabs>
        <w:ind w:left="4320" w:hanging="360"/>
      </w:pPr>
    </w:lvl>
    <w:lvl w:ilvl="6" w:tplc="8492499A" w:tentative="1">
      <w:start w:val="1"/>
      <w:numFmt w:val="decimal"/>
      <w:lvlText w:val="%7."/>
      <w:lvlJc w:val="left"/>
      <w:pPr>
        <w:tabs>
          <w:tab w:val="num" w:pos="5040"/>
        </w:tabs>
        <w:ind w:left="5040" w:hanging="360"/>
      </w:pPr>
    </w:lvl>
    <w:lvl w:ilvl="7" w:tplc="24E4B612" w:tentative="1">
      <w:start w:val="1"/>
      <w:numFmt w:val="decimal"/>
      <w:lvlText w:val="%8."/>
      <w:lvlJc w:val="left"/>
      <w:pPr>
        <w:tabs>
          <w:tab w:val="num" w:pos="5760"/>
        </w:tabs>
        <w:ind w:left="5760" w:hanging="360"/>
      </w:pPr>
    </w:lvl>
    <w:lvl w:ilvl="8" w:tplc="561CDDFA" w:tentative="1">
      <w:start w:val="1"/>
      <w:numFmt w:val="decimal"/>
      <w:lvlText w:val="%9."/>
      <w:lvlJc w:val="left"/>
      <w:pPr>
        <w:tabs>
          <w:tab w:val="num" w:pos="6480"/>
        </w:tabs>
        <w:ind w:left="6480" w:hanging="360"/>
      </w:pPr>
    </w:lvl>
  </w:abstractNum>
  <w:abstractNum w:abstractNumId="4" w15:restartNumberingAfterBreak="0">
    <w:nsid w:val="22E31513"/>
    <w:multiLevelType w:val="hybridMultilevel"/>
    <w:tmpl w:val="7C94D5D4"/>
    <w:lvl w:ilvl="0" w:tplc="04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3AE7A78"/>
    <w:multiLevelType w:val="hybridMultilevel"/>
    <w:tmpl w:val="43E4E66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B915DC"/>
    <w:multiLevelType w:val="hybridMultilevel"/>
    <w:tmpl w:val="DB025C5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2A1C3393"/>
    <w:multiLevelType w:val="hybridMultilevel"/>
    <w:tmpl w:val="031E0732"/>
    <w:lvl w:ilvl="0" w:tplc="8B4ED6B0">
      <w:numFmt w:val="bullet"/>
      <w:lvlText w:val="-"/>
      <w:lvlJc w:val="left"/>
      <w:pPr>
        <w:ind w:left="1220" w:hanging="360"/>
      </w:pPr>
      <w:rPr>
        <w:rFonts w:ascii="Calibri" w:eastAsia="Arial Unicode MS" w:hAnsi="Calibri" w:cs="Arial" w:hint="default"/>
      </w:rPr>
    </w:lvl>
    <w:lvl w:ilvl="1" w:tplc="10090003" w:tentative="1">
      <w:start w:val="1"/>
      <w:numFmt w:val="bullet"/>
      <w:lvlText w:val="o"/>
      <w:lvlJc w:val="left"/>
      <w:pPr>
        <w:ind w:left="1940" w:hanging="360"/>
      </w:pPr>
      <w:rPr>
        <w:rFonts w:ascii="Courier New" w:hAnsi="Courier New" w:cs="Courier New" w:hint="default"/>
      </w:rPr>
    </w:lvl>
    <w:lvl w:ilvl="2" w:tplc="10090005" w:tentative="1">
      <w:start w:val="1"/>
      <w:numFmt w:val="bullet"/>
      <w:lvlText w:val=""/>
      <w:lvlJc w:val="left"/>
      <w:pPr>
        <w:ind w:left="2660" w:hanging="360"/>
      </w:pPr>
      <w:rPr>
        <w:rFonts w:ascii="Wingdings" w:hAnsi="Wingdings" w:hint="default"/>
      </w:rPr>
    </w:lvl>
    <w:lvl w:ilvl="3" w:tplc="10090001" w:tentative="1">
      <w:start w:val="1"/>
      <w:numFmt w:val="bullet"/>
      <w:lvlText w:val=""/>
      <w:lvlJc w:val="left"/>
      <w:pPr>
        <w:ind w:left="3380" w:hanging="360"/>
      </w:pPr>
      <w:rPr>
        <w:rFonts w:ascii="Symbol" w:hAnsi="Symbol" w:hint="default"/>
      </w:rPr>
    </w:lvl>
    <w:lvl w:ilvl="4" w:tplc="10090003" w:tentative="1">
      <w:start w:val="1"/>
      <w:numFmt w:val="bullet"/>
      <w:lvlText w:val="o"/>
      <w:lvlJc w:val="left"/>
      <w:pPr>
        <w:ind w:left="4100" w:hanging="360"/>
      </w:pPr>
      <w:rPr>
        <w:rFonts w:ascii="Courier New" w:hAnsi="Courier New" w:cs="Courier New" w:hint="default"/>
      </w:rPr>
    </w:lvl>
    <w:lvl w:ilvl="5" w:tplc="10090005" w:tentative="1">
      <w:start w:val="1"/>
      <w:numFmt w:val="bullet"/>
      <w:lvlText w:val=""/>
      <w:lvlJc w:val="left"/>
      <w:pPr>
        <w:ind w:left="4820" w:hanging="360"/>
      </w:pPr>
      <w:rPr>
        <w:rFonts w:ascii="Wingdings" w:hAnsi="Wingdings" w:hint="default"/>
      </w:rPr>
    </w:lvl>
    <w:lvl w:ilvl="6" w:tplc="10090001" w:tentative="1">
      <w:start w:val="1"/>
      <w:numFmt w:val="bullet"/>
      <w:lvlText w:val=""/>
      <w:lvlJc w:val="left"/>
      <w:pPr>
        <w:ind w:left="5540" w:hanging="360"/>
      </w:pPr>
      <w:rPr>
        <w:rFonts w:ascii="Symbol" w:hAnsi="Symbol" w:hint="default"/>
      </w:rPr>
    </w:lvl>
    <w:lvl w:ilvl="7" w:tplc="10090003" w:tentative="1">
      <w:start w:val="1"/>
      <w:numFmt w:val="bullet"/>
      <w:lvlText w:val="o"/>
      <w:lvlJc w:val="left"/>
      <w:pPr>
        <w:ind w:left="6260" w:hanging="360"/>
      </w:pPr>
      <w:rPr>
        <w:rFonts w:ascii="Courier New" w:hAnsi="Courier New" w:cs="Courier New" w:hint="default"/>
      </w:rPr>
    </w:lvl>
    <w:lvl w:ilvl="8" w:tplc="10090005" w:tentative="1">
      <w:start w:val="1"/>
      <w:numFmt w:val="bullet"/>
      <w:lvlText w:val=""/>
      <w:lvlJc w:val="left"/>
      <w:pPr>
        <w:ind w:left="6980" w:hanging="360"/>
      </w:pPr>
      <w:rPr>
        <w:rFonts w:ascii="Wingdings" w:hAnsi="Wingdings" w:hint="default"/>
      </w:rPr>
    </w:lvl>
  </w:abstractNum>
  <w:abstractNum w:abstractNumId="8" w15:restartNumberingAfterBreak="0">
    <w:nsid w:val="2D4E3D64"/>
    <w:multiLevelType w:val="hybridMultilevel"/>
    <w:tmpl w:val="AF8054D4"/>
    <w:lvl w:ilvl="0" w:tplc="1009000F">
      <w:start w:val="1"/>
      <w:numFmt w:val="decimal"/>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9" w15:restartNumberingAfterBreak="0">
    <w:nsid w:val="312C12BC"/>
    <w:multiLevelType w:val="hybridMultilevel"/>
    <w:tmpl w:val="A0E6448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9DF68A1"/>
    <w:multiLevelType w:val="hybridMultilevel"/>
    <w:tmpl w:val="8CB457F0"/>
    <w:lvl w:ilvl="0" w:tplc="10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0D4E66"/>
    <w:multiLevelType w:val="hybridMultilevel"/>
    <w:tmpl w:val="DC043246"/>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ABE5D5A"/>
    <w:multiLevelType w:val="hybridMultilevel"/>
    <w:tmpl w:val="2236EB0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5116F19"/>
    <w:multiLevelType w:val="multilevel"/>
    <w:tmpl w:val="1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9492934"/>
    <w:multiLevelType w:val="hybridMultilevel"/>
    <w:tmpl w:val="8A3CABAE"/>
    <w:lvl w:ilvl="0" w:tplc="10090001">
      <w:start w:val="1"/>
      <w:numFmt w:val="bullet"/>
      <w:lvlText w:val=""/>
      <w:lvlJc w:val="left"/>
      <w:pPr>
        <w:ind w:left="720" w:hanging="360"/>
      </w:pPr>
      <w:rPr>
        <w:rFonts w:ascii="Symbol" w:hAnsi="Symbol" w:hint="default"/>
      </w:rPr>
    </w:lvl>
    <w:lvl w:ilvl="1" w:tplc="1009000D">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9D1257A"/>
    <w:multiLevelType w:val="hybridMultilevel"/>
    <w:tmpl w:val="BFA23278"/>
    <w:lvl w:ilvl="0" w:tplc="8B4ED6B0">
      <w:numFmt w:val="bullet"/>
      <w:lvlText w:val="-"/>
      <w:lvlJc w:val="left"/>
      <w:pPr>
        <w:ind w:left="1220" w:hanging="360"/>
      </w:pPr>
      <w:rPr>
        <w:rFonts w:ascii="Calibri" w:eastAsia="Arial Unicode MS"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A6F489E"/>
    <w:multiLevelType w:val="hybridMultilevel"/>
    <w:tmpl w:val="4F2470A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50CE25FF"/>
    <w:multiLevelType w:val="hybridMultilevel"/>
    <w:tmpl w:val="9FECB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0002A62"/>
    <w:multiLevelType w:val="hybridMultilevel"/>
    <w:tmpl w:val="777C6E66"/>
    <w:lvl w:ilvl="0" w:tplc="10090001">
      <w:start w:val="1"/>
      <w:numFmt w:val="bullet"/>
      <w:lvlText w:val=""/>
      <w:lvlJc w:val="left"/>
      <w:pPr>
        <w:ind w:left="1797" w:hanging="360"/>
      </w:pPr>
      <w:rPr>
        <w:rFonts w:ascii="Symbol" w:hAnsi="Symbol" w:hint="default"/>
      </w:rPr>
    </w:lvl>
    <w:lvl w:ilvl="1" w:tplc="10090003" w:tentative="1">
      <w:start w:val="1"/>
      <w:numFmt w:val="bullet"/>
      <w:lvlText w:val="o"/>
      <w:lvlJc w:val="left"/>
      <w:pPr>
        <w:ind w:left="2517" w:hanging="360"/>
      </w:pPr>
      <w:rPr>
        <w:rFonts w:ascii="Courier New" w:hAnsi="Courier New" w:cs="Courier New" w:hint="default"/>
      </w:rPr>
    </w:lvl>
    <w:lvl w:ilvl="2" w:tplc="10090005" w:tentative="1">
      <w:start w:val="1"/>
      <w:numFmt w:val="bullet"/>
      <w:lvlText w:val=""/>
      <w:lvlJc w:val="left"/>
      <w:pPr>
        <w:ind w:left="3237" w:hanging="360"/>
      </w:pPr>
      <w:rPr>
        <w:rFonts w:ascii="Wingdings" w:hAnsi="Wingdings" w:hint="default"/>
      </w:rPr>
    </w:lvl>
    <w:lvl w:ilvl="3" w:tplc="10090001" w:tentative="1">
      <w:start w:val="1"/>
      <w:numFmt w:val="bullet"/>
      <w:lvlText w:val=""/>
      <w:lvlJc w:val="left"/>
      <w:pPr>
        <w:ind w:left="3957" w:hanging="360"/>
      </w:pPr>
      <w:rPr>
        <w:rFonts w:ascii="Symbol" w:hAnsi="Symbol" w:hint="default"/>
      </w:rPr>
    </w:lvl>
    <w:lvl w:ilvl="4" w:tplc="10090003" w:tentative="1">
      <w:start w:val="1"/>
      <w:numFmt w:val="bullet"/>
      <w:lvlText w:val="o"/>
      <w:lvlJc w:val="left"/>
      <w:pPr>
        <w:ind w:left="4677" w:hanging="360"/>
      </w:pPr>
      <w:rPr>
        <w:rFonts w:ascii="Courier New" w:hAnsi="Courier New" w:cs="Courier New" w:hint="default"/>
      </w:rPr>
    </w:lvl>
    <w:lvl w:ilvl="5" w:tplc="10090005" w:tentative="1">
      <w:start w:val="1"/>
      <w:numFmt w:val="bullet"/>
      <w:lvlText w:val=""/>
      <w:lvlJc w:val="left"/>
      <w:pPr>
        <w:ind w:left="5397" w:hanging="360"/>
      </w:pPr>
      <w:rPr>
        <w:rFonts w:ascii="Wingdings" w:hAnsi="Wingdings" w:hint="default"/>
      </w:rPr>
    </w:lvl>
    <w:lvl w:ilvl="6" w:tplc="10090001" w:tentative="1">
      <w:start w:val="1"/>
      <w:numFmt w:val="bullet"/>
      <w:lvlText w:val=""/>
      <w:lvlJc w:val="left"/>
      <w:pPr>
        <w:ind w:left="6117" w:hanging="360"/>
      </w:pPr>
      <w:rPr>
        <w:rFonts w:ascii="Symbol" w:hAnsi="Symbol" w:hint="default"/>
      </w:rPr>
    </w:lvl>
    <w:lvl w:ilvl="7" w:tplc="10090003" w:tentative="1">
      <w:start w:val="1"/>
      <w:numFmt w:val="bullet"/>
      <w:lvlText w:val="o"/>
      <w:lvlJc w:val="left"/>
      <w:pPr>
        <w:ind w:left="6837" w:hanging="360"/>
      </w:pPr>
      <w:rPr>
        <w:rFonts w:ascii="Courier New" w:hAnsi="Courier New" w:cs="Courier New" w:hint="default"/>
      </w:rPr>
    </w:lvl>
    <w:lvl w:ilvl="8" w:tplc="10090005" w:tentative="1">
      <w:start w:val="1"/>
      <w:numFmt w:val="bullet"/>
      <w:lvlText w:val=""/>
      <w:lvlJc w:val="left"/>
      <w:pPr>
        <w:ind w:left="7557" w:hanging="360"/>
      </w:pPr>
      <w:rPr>
        <w:rFonts w:ascii="Wingdings" w:hAnsi="Wingdings" w:hint="default"/>
      </w:rPr>
    </w:lvl>
  </w:abstractNum>
  <w:abstractNum w:abstractNumId="19" w15:restartNumberingAfterBreak="0">
    <w:nsid w:val="6D077FCB"/>
    <w:multiLevelType w:val="hybridMultilevel"/>
    <w:tmpl w:val="A3D0100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B732C9A"/>
    <w:multiLevelType w:val="hybridMultilevel"/>
    <w:tmpl w:val="A8C0656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BD618CE"/>
    <w:multiLevelType w:val="hybridMultilevel"/>
    <w:tmpl w:val="88AE0E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4"/>
  </w:num>
  <w:num w:numId="5">
    <w:abstractNumId w:val="10"/>
  </w:num>
  <w:num w:numId="6">
    <w:abstractNumId w:val="4"/>
  </w:num>
  <w:num w:numId="7">
    <w:abstractNumId w:val="11"/>
  </w:num>
  <w:num w:numId="8">
    <w:abstractNumId w:val="20"/>
  </w:num>
  <w:num w:numId="9">
    <w:abstractNumId w:val="19"/>
  </w:num>
  <w:num w:numId="10">
    <w:abstractNumId w:val="12"/>
  </w:num>
  <w:num w:numId="11">
    <w:abstractNumId w:val="16"/>
  </w:num>
  <w:num w:numId="12">
    <w:abstractNumId w:val="15"/>
  </w:num>
  <w:num w:numId="13">
    <w:abstractNumId w:val="7"/>
  </w:num>
  <w:num w:numId="14">
    <w:abstractNumId w:val="18"/>
  </w:num>
  <w:num w:numId="15">
    <w:abstractNumId w:val="9"/>
  </w:num>
  <w:num w:numId="16">
    <w:abstractNumId w:val="5"/>
  </w:num>
  <w:num w:numId="17">
    <w:abstractNumId w:val="1"/>
  </w:num>
  <w:num w:numId="18">
    <w:abstractNumId w:val="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s>
  <w:rsids>
    <w:rsidRoot w:val="00DB44B8"/>
    <w:rsid w:val="00003445"/>
    <w:rsid w:val="00004806"/>
    <w:rsid w:val="0000681F"/>
    <w:rsid w:val="00007280"/>
    <w:rsid w:val="00015FAC"/>
    <w:rsid w:val="000247F0"/>
    <w:rsid w:val="00036622"/>
    <w:rsid w:val="00046B30"/>
    <w:rsid w:val="0005239F"/>
    <w:rsid w:val="0005587E"/>
    <w:rsid w:val="00062776"/>
    <w:rsid w:val="00062995"/>
    <w:rsid w:val="000730E8"/>
    <w:rsid w:val="00073FD1"/>
    <w:rsid w:val="00075ED7"/>
    <w:rsid w:val="000E2B39"/>
    <w:rsid w:val="000F2597"/>
    <w:rsid w:val="000F382C"/>
    <w:rsid w:val="0011043C"/>
    <w:rsid w:val="001205DF"/>
    <w:rsid w:val="00123B36"/>
    <w:rsid w:val="00123D04"/>
    <w:rsid w:val="0012500C"/>
    <w:rsid w:val="00140740"/>
    <w:rsid w:val="0014171F"/>
    <w:rsid w:val="00152758"/>
    <w:rsid w:val="001554FB"/>
    <w:rsid w:val="00163740"/>
    <w:rsid w:val="00163F1D"/>
    <w:rsid w:val="0017320B"/>
    <w:rsid w:val="001A7BD7"/>
    <w:rsid w:val="001B2657"/>
    <w:rsid w:val="001C0D33"/>
    <w:rsid w:val="001C0F47"/>
    <w:rsid w:val="001C5300"/>
    <w:rsid w:val="001E33A0"/>
    <w:rsid w:val="001F0491"/>
    <w:rsid w:val="001F5289"/>
    <w:rsid w:val="001F72BC"/>
    <w:rsid w:val="00201C19"/>
    <w:rsid w:val="002033A9"/>
    <w:rsid w:val="00210BE9"/>
    <w:rsid w:val="00237609"/>
    <w:rsid w:val="002562B1"/>
    <w:rsid w:val="002A32A8"/>
    <w:rsid w:val="002A4535"/>
    <w:rsid w:val="002B26A0"/>
    <w:rsid w:val="002B357F"/>
    <w:rsid w:val="002C41C5"/>
    <w:rsid w:val="002C448B"/>
    <w:rsid w:val="002F39C0"/>
    <w:rsid w:val="002F417E"/>
    <w:rsid w:val="002F5F32"/>
    <w:rsid w:val="00306F3D"/>
    <w:rsid w:val="00310597"/>
    <w:rsid w:val="00316BD9"/>
    <w:rsid w:val="00321E4B"/>
    <w:rsid w:val="0034668B"/>
    <w:rsid w:val="003554F9"/>
    <w:rsid w:val="00360B04"/>
    <w:rsid w:val="00364772"/>
    <w:rsid w:val="00382965"/>
    <w:rsid w:val="00384057"/>
    <w:rsid w:val="003A14A5"/>
    <w:rsid w:val="003A1587"/>
    <w:rsid w:val="003A5561"/>
    <w:rsid w:val="003B30C8"/>
    <w:rsid w:val="003C29FC"/>
    <w:rsid w:val="003D16DD"/>
    <w:rsid w:val="003D558A"/>
    <w:rsid w:val="003F1621"/>
    <w:rsid w:val="003F5603"/>
    <w:rsid w:val="00401F5C"/>
    <w:rsid w:val="00402E0F"/>
    <w:rsid w:val="0040325A"/>
    <w:rsid w:val="004136D0"/>
    <w:rsid w:val="004214CD"/>
    <w:rsid w:val="0042349A"/>
    <w:rsid w:val="004242F3"/>
    <w:rsid w:val="004279D6"/>
    <w:rsid w:val="00432FB5"/>
    <w:rsid w:val="00433CD0"/>
    <w:rsid w:val="00436A19"/>
    <w:rsid w:val="0044602E"/>
    <w:rsid w:val="00446E3B"/>
    <w:rsid w:val="004530A4"/>
    <w:rsid w:val="00457F4C"/>
    <w:rsid w:val="0047060B"/>
    <w:rsid w:val="004734D4"/>
    <w:rsid w:val="0048090B"/>
    <w:rsid w:val="004D6075"/>
    <w:rsid w:val="004F6F33"/>
    <w:rsid w:val="00512027"/>
    <w:rsid w:val="00512A26"/>
    <w:rsid w:val="00533991"/>
    <w:rsid w:val="00536F95"/>
    <w:rsid w:val="005412C9"/>
    <w:rsid w:val="00547EBC"/>
    <w:rsid w:val="00547F35"/>
    <w:rsid w:val="0056246B"/>
    <w:rsid w:val="00565531"/>
    <w:rsid w:val="00571BB3"/>
    <w:rsid w:val="00574122"/>
    <w:rsid w:val="005857B8"/>
    <w:rsid w:val="00591B83"/>
    <w:rsid w:val="00595258"/>
    <w:rsid w:val="005A2022"/>
    <w:rsid w:val="005B3623"/>
    <w:rsid w:val="005B545C"/>
    <w:rsid w:val="005C4685"/>
    <w:rsid w:val="005D4092"/>
    <w:rsid w:val="005E00DD"/>
    <w:rsid w:val="005E1368"/>
    <w:rsid w:val="005F0AA8"/>
    <w:rsid w:val="0060233B"/>
    <w:rsid w:val="00613A63"/>
    <w:rsid w:val="006201E8"/>
    <w:rsid w:val="006242D4"/>
    <w:rsid w:val="00635767"/>
    <w:rsid w:val="00656FD5"/>
    <w:rsid w:val="00660AE1"/>
    <w:rsid w:val="00664FAF"/>
    <w:rsid w:val="006834EC"/>
    <w:rsid w:val="006859FF"/>
    <w:rsid w:val="006948C3"/>
    <w:rsid w:val="00696CB6"/>
    <w:rsid w:val="006A5D73"/>
    <w:rsid w:val="006B38CE"/>
    <w:rsid w:val="006D6FA5"/>
    <w:rsid w:val="006E1926"/>
    <w:rsid w:val="006E5E03"/>
    <w:rsid w:val="006F1F8F"/>
    <w:rsid w:val="006F2226"/>
    <w:rsid w:val="006F5E1A"/>
    <w:rsid w:val="006F6119"/>
    <w:rsid w:val="006F661D"/>
    <w:rsid w:val="00702C72"/>
    <w:rsid w:val="00705B61"/>
    <w:rsid w:val="007255A8"/>
    <w:rsid w:val="007320AB"/>
    <w:rsid w:val="0073381C"/>
    <w:rsid w:val="007563DF"/>
    <w:rsid w:val="00756A2F"/>
    <w:rsid w:val="007741AE"/>
    <w:rsid w:val="007812B1"/>
    <w:rsid w:val="007933B1"/>
    <w:rsid w:val="007945BD"/>
    <w:rsid w:val="007A3A2E"/>
    <w:rsid w:val="007B508F"/>
    <w:rsid w:val="007B664A"/>
    <w:rsid w:val="007D346B"/>
    <w:rsid w:val="007E57B8"/>
    <w:rsid w:val="007E5B28"/>
    <w:rsid w:val="007F18C4"/>
    <w:rsid w:val="00807628"/>
    <w:rsid w:val="00815401"/>
    <w:rsid w:val="00821B72"/>
    <w:rsid w:val="008320FC"/>
    <w:rsid w:val="00832A29"/>
    <w:rsid w:val="00837A11"/>
    <w:rsid w:val="00841A00"/>
    <w:rsid w:val="00860FC2"/>
    <w:rsid w:val="00862CFA"/>
    <w:rsid w:val="00863117"/>
    <w:rsid w:val="008657DC"/>
    <w:rsid w:val="0086617B"/>
    <w:rsid w:val="00877FB2"/>
    <w:rsid w:val="0089037E"/>
    <w:rsid w:val="008A2029"/>
    <w:rsid w:val="008A3B4E"/>
    <w:rsid w:val="008B2CA1"/>
    <w:rsid w:val="008D27B5"/>
    <w:rsid w:val="008D78BC"/>
    <w:rsid w:val="008F331F"/>
    <w:rsid w:val="00904799"/>
    <w:rsid w:val="009052C2"/>
    <w:rsid w:val="00922FCD"/>
    <w:rsid w:val="0092432D"/>
    <w:rsid w:val="009324E6"/>
    <w:rsid w:val="009369FB"/>
    <w:rsid w:val="00936B14"/>
    <w:rsid w:val="00936C6C"/>
    <w:rsid w:val="00942A36"/>
    <w:rsid w:val="00944EEF"/>
    <w:rsid w:val="009461F9"/>
    <w:rsid w:val="00953E3C"/>
    <w:rsid w:val="00962FC9"/>
    <w:rsid w:val="00965E86"/>
    <w:rsid w:val="009668BC"/>
    <w:rsid w:val="00981400"/>
    <w:rsid w:val="009878C0"/>
    <w:rsid w:val="009A1C10"/>
    <w:rsid w:val="009A22DC"/>
    <w:rsid w:val="009B6F45"/>
    <w:rsid w:val="009C2EA8"/>
    <w:rsid w:val="009D2507"/>
    <w:rsid w:val="009E537A"/>
    <w:rsid w:val="009F137E"/>
    <w:rsid w:val="009F1B9A"/>
    <w:rsid w:val="009F6300"/>
    <w:rsid w:val="009F6A65"/>
    <w:rsid w:val="00A0455D"/>
    <w:rsid w:val="00A128EE"/>
    <w:rsid w:val="00A14C8D"/>
    <w:rsid w:val="00A30FA7"/>
    <w:rsid w:val="00A503A5"/>
    <w:rsid w:val="00A5674D"/>
    <w:rsid w:val="00A6375D"/>
    <w:rsid w:val="00A6557A"/>
    <w:rsid w:val="00A67021"/>
    <w:rsid w:val="00A8602A"/>
    <w:rsid w:val="00AA3B3D"/>
    <w:rsid w:val="00AA4B86"/>
    <w:rsid w:val="00AC42B8"/>
    <w:rsid w:val="00AD16FA"/>
    <w:rsid w:val="00AE23B3"/>
    <w:rsid w:val="00AE517F"/>
    <w:rsid w:val="00AF357C"/>
    <w:rsid w:val="00AF4DDC"/>
    <w:rsid w:val="00B0321F"/>
    <w:rsid w:val="00B13449"/>
    <w:rsid w:val="00B13AC5"/>
    <w:rsid w:val="00B2146E"/>
    <w:rsid w:val="00B214B3"/>
    <w:rsid w:val="00B30785"/>
    <w:rsid w:val="00B60927"/>
    <w:rsid w:val="00B61C21"/>
    <w:rsid w:val="00B7580F"/>
    <w:rsid w:val="00B83B83"/>
    <w:rsid w:val="00BA16FF"/>
    <w:rsid w:val="00BB7687"/>
    <w:rsid w:val="00BB7983"/>
    <w:rsid w:val="00BC62A8"/>
    <w:rsid w:val="00BE26B2"/>
    <w:rsid w:val="00BE2FC0"/>
    <w:rsid w:val="00BE633E"/>
    <w:rsid w:val="00BF1B20"/>
    <w:rsid w:val="00C0301B"/>
    <w:rsid w:val="00C10C01"/>
    <w:rsid w:val="00C1392D"/>
    <w:rsid w:val="00C1457C"/>
    <w:rsid w:val="00C16FDE"/>
    <w:rsid w:val="00C3456B"/>
    <w:rsid w:val="00C552E0"/>
    <w:rsid w:val="00C6183D"/>
    <w:rsid w:val="00C64B48"/>
    <w:rsid w:val="00C812F6"/>
    <w:rsid w:val="00CA1CC7"/>
    <w:rsid w:val="00CA31CE"/>
    <w:rsid w:val="00CB006A"/>
    <w:rsid w:val="00CB2D46"/>
    <w:rsid w:val="00CB4FB7"/>
    <w:rsid w:val="00CB622A"/>
    <w:rsid w:val="00CD7F7C"/>
    <w:rsid w:val="00CE498F"/>
    <w:rsid w:val="00CF20F0"/>
    <w:rsid w:val="00D00BAA"/>
    <w:rsid w:val="00D04A5F"/>
    <w:rsid w:val="00D04E7C"/>
    <w:rsid w:val="00D060E6"/>
    <w:rsid w:val="00D5296C"/>
    <w:rsid w:val="00D56CD4"/>
    <w:rsid w:val="00D61F5D"/>
    <w:rsid w:val="00D7117A"/>
    <w:rsid w:val="00D71866"/>
    <w:rsid w:val="00D74F0E"/>
    <w:rsid w:val="00D75099"/>
    <w:rsid w:val="00D96BC0"/>
    <w:rsid w:val="00DB18E2"/>
    <w:rsid w:val="00DB2D9D"/>
    <w:rsid w:val="00DB44B8"/>
    <w:rsid w:val="00DC277B"/>
    <w:rsid w:val="00DD2095"/>
    <w:rsid w:val="00E003A2"/>
    <w:rsid w:val="00E01CEC"/>
    <w:rsid w:val="00E17246"/>
    <w:rsid w:val="00E2100E"/>
    <w:rsid w:val="00E2368B"/>
    <w:rsid w:val="00E24643"/>
    <w:rsid w:val="00E26B1D"/>
    <w:rsid w:val="00E41DE0"/>
    <w:rsid w:val="00E41E1D"/>
    <w:rsid w:val="00E42622"/>
    <w:rsid w:val="00E46D2F"/>
    <w:rsid w:val="00E50860"/>
    <w:rsid w:val="00E70CCA"/>
    <w:rsid w:val="00E7761E"/>
    <w:rsid w:val="00E81C38"/>
    <w:rsid w:val="00E92BB6"/>
    <w:rsid w:val="00EA2ABB"/>
    <w:rsid w:val="00EA38E7"/>
    <w:rsid w:val="00ED793D"/>
    <w:rsid w:val="00EE6E76"/>
    <w:rsid w:val="00EF112B"/>
    <w:rsid w:val="00EF65D7"/>
    <w:rsid w:val="00F004E5"/>
    <w:rsid w:val="00F10AA0"/>
    <w:rsid w:val="00F13779"/>
    <w:rsid w:val="00F17012"/>
    <w:rsid w:val="00F317D4"/>
    <w:rsid w:val="00F50F6D"/>
    <w:rsid w:val="00F576AC"/>
    <w:rsid w:val="00F6090D"/>
    <w:rsid w:val="00F74514"/>
    <w:rsid w:val="00F757C4"/>
    <w:rsid w:val="00F76345"/>
    <w:rsid w:val="00F90992"/>
    <w:rsid w:val="00FA3E68"/>
    <w:rsid w:val="00FB00C1"/>
    <w:rsid w:val="00FB51DD"/>
    <w:rsid w:val="00FF386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ecimalSymbol w:val="."/>
  <w:listSeparator w:val=","/>
  <w14:docId w14:val="164BF5AD"/>
  <w14:defaultImageDpi w14:val="330"/>
  <w15:docId w15:val="{E78D1D6A-D750-4139-B823-B725DE69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4B8"/>
    <w:rPr>
      <w:rFonts w:ascii="Arial" w:eastAsia="Times New Roman" w:hAnsi="Arial" w:cs="Times New Roman"/>
      <w:lang w:eastAsia="en-CA"/>
    </w:rPr>
  </w:style>
  <w:style w:type="paragraph" w:styleId="Heading1">
    <w:name w:val="heading 1"/>
    <w:basedOn w:val="Normal"/>
    <w:next w:val="Normal"/>
    <w:link w:val="Heading1Char"/>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paragraph" w:styleId="Heading2">
    <w:name w:val="heading 2"/>
    <w:basedOn w:val="Normal"/>
    <w:next w:val="Normal"/>
    <w:link w:val="Heading2Char"/>
    <w:uiPriority w:val="9"/>
    <w:unhideWhenUsed/>
    <w:qFormat/>
    <w:rsid w:val="00DB44B8"/>
    <w:pPr>
      <w:keepNext/>
      <w:keepLines/>
      <w:spacing w:before="200"/>
      <w:ind w:left="576" w:hanging="576"/>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DB44B8"/>
    <w:pPr>
      <w:keepNext/>
      <w:keepLines/>
      <w:spacing w:before="200"/>
      <w:ind w:left="862" w:hanging="720"/>
      <w:outlineLvl w:val="2"/>
    </w:pPr>
    <w:rPr>
      <w:rFonts w:eastAsiaTheme="majorEastAsia" w:cstheme="majorBidi"/>
      <w:b/>
      <w:bCs/>
    </w:rPr>
  </w:style>
  <w:style w:type="paragraph" w:styleId="Heading4">
    <w:name w:val="heading 4"/>
    <w:basedOn w:val="Normal"/>
    <w:next w:val="Normal"/>
    <w:link w:val="Heading4Char"/>
    <w:uiPriority w:val="9"/>
    <w:unhideWhenUsed/>
    <w:qFormat/>
    <w:rsid w:val="00DB44B8"/>
    <w:pPr>
      <w:keepNext/>
      <w:keepLines/>
      <w:spacing w:before="200"/>
      <w:ind w:left="864" w:hanging="864"/>
      <w:outlineLvl w:val="3"/>
    </w:pPr>
    <w:rPr>
      <w:rFonts w:asciiTheme="majorHAnsi" w:eastAsiaTheme="majorEastAsia" w:hAnsiTheme="majorHAnsi" w:cstheme="majorBidi"/>
      <w:b/>
      <w:bCs/>
      <w:i/>
      <w:iCs/>
      <w:color w:val="C90031" w:themeColor="accent1"/>
    </w:rPr>
  </w:style>
  <w:style w:type="paragraph" w:styleId="Heading5">
    <w:name w:val="heading 5"/>
    <w:basedOn w:val="Normal"/>
    <w:next w:val="Normal"/>
    <w:link w:val="Heading5Char"/>
    <w:uiPriority w:val="9"/>
    <w:semiHidden/>
    <w:unhideWhenUsed/>
    <w:qFormat/>
    <w:rsid w:val="00DB44B8"/>
    <w:pPr>
      <w:keepNext/>
      <w:keepLines/>
      <w:spacing w:before="200"/>
      <w:ind w:left="1008" w:hanging="1008"/>
      <w:outlineLvl w:val="4"/>
    </w:pPr>
    <w:rPr>
      <w:rFonts w:asciiTheme="majorHAnsi" w:eastAsiaTheme="majorEastAsia" w:hAnsiTheme="majorHAnsi" w:cstheme="majorBidi"/>
      <w:color w:val="640018" w:themeColor="accent1" w:themeShade="7F"/>
    </w:rPr>
  </w:style>
  <w:style w:type="paragraph" w:styleId="Heading6">
    <w:name w:val="heading 6"/>
    <w:basedOn w:val="Normal"/>
    <w:next w:val="Normal"/>
    <w:link w:val="Heading6Char"/>
    <w:qFormat/>
    <w:rsid w:val="00DB44B8"/>
    <w:pPr>
      <w:spacing w:before="240" w:after="60"/>
      <w:ind w:left="1152" w:hanging="1152"/>
      <w:outlineLvl w:val="5"/>
    </w:pPr>
    <w:rPr>
      <w:b/>
      <w:bCs/>
      <w:sz w:val="22"/>
      <w:szCs w:val="22"/>
    </w:rPr>
  </w:style>
  <w:style w:type="paragraph" w:styleId="Heading7">
    <w:name w:val="heading 7"/>
    <w:basedOn w:val="Normal"/>
    <w:next w:val="Normal"/>
    <w:link w:val="Heading7Char"/>
    <w:uiPriority w:val="9"/>
    <w:semiHidden/>
    <w:unhideWhenUsed/>
    <w:qFormat/>
    <w:rsid w:val="00DB44B8"/>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44B8"/>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B44B8"/>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character" w:customStyle="1" w:styleId="Heading2Char">
    <w:name w:val="Heading 2 Char"/>
    <w:basedOn w:val="DefaultParagraphFont"/>
    <w:link w:val="Heading2"/>
    <w:uiPriority w:val="9"/>
    <w:rsid w:val="00DB44B8"/>
    <w:rPr>
      <w:rFonts w:ascii="Arial" w:eastAsiaTheme="majorEastAsia" w:hAnsi="Arial" w:cstheme="majorBidi"/>
      <w:b/>
      <w:bCs/>
      <w:sz w:val="28"/>
      <w:szCs w:val="26"/>
      <w:lang w:eastAsia="en-CA"/>
    </w:rPr>
  </w:style>
  <w:style w:type="character" w:customStyle="1" w:styleId="Heading3Char">
    <w:name w:val="Heading 3 Char"/>
    <w:basedOn w:val="DefaultParagraphFont"/>
    <w:link w:val="Heading3"/>
    <w:uiPriority w:val="9"/>
    <w:rsid w:val="00DB44B8"/>
    <w:rPr>
      <w:rFonts w:ascii="Arial" w:eastAsiaTheme="majorEastAsia" w:hAnsi="Arial" w:cstheme="majorBidi"/>
      <w:b/>
      <w:bCs/>
      <w:lang w:eastAsia="en-CA"/>
    </w:rPr>
  </w:style>
  <w:style w:type="character" w:customStyle="1" w:styleId="Heading4Char">
    <w:name w:val="Heading 4 Char"/>
    <w:basedOn w:val="DefaultParagraphFont"/>
    <w:link w:val="Heading4"/>
    <w:uiPriority w:val="9"/>
    <w:rsid w:val="00DB44B8"/>
    <w:rPr>
      <w:rFonts w:asciiTheme="majorHAnsi" w:eastAsiaTheme="majorEastAsia" w:hAnsiTheme="majorHAnsi" w:cstheme="majorBidi"/>
      <w:b/>
      <w:bCs/>
      <w:i/>
      <w:iCs/>
      <w:color w:val="C90031" w:themeColor="accent1"/>
      <w:lang w:eastAsia="en-CA"/>
    </w:rPr>
  </w:style>
  <w:style w:type="character" w:customStyle="1" w:styleId="Heading5Char">
    <w:name w:val="Heading 5 Char"/>
    <w:basedOn w:val="DefaultParagraphFont"/>
    <w:link w:val="Heading5"/>
    <w:uiPriority w:val="9"/>
    <w:semiHidden/>
    <w:rsid w:val="00DB44B8"/>
    <w:rPr>
      <w:rFonts w:asciiTheme="majorHAnsi" w:eastAsiaTheme="majorEastAsia" w:hAnsiTheme="majorHAnsi" w:cstheme="majorBidi"/>
      <w:color w:val="640018" w:themeColor="accent1" w:themeShade="7F"/>
      <w:lang w:eastAsia="en-CA"/>
    </w:rPr>
  </w:style>
  <w:style w:type="character" w:customStyle="1" w:styleId="Heading6Char">
    <w:name w:val="Heading 6 Char"/>
    <w:basedOn w:val="DefaultParagraphFont"/>
    <w:link w:val="Heading6"/>
    <w:rsid w:val="00DB44B8"/>
    <w:rPr>
      <w:rFonts w:ascii="Arial" w:eastAsia="Times New Roman" w:hAnsi="Arial" w:cs="Times New Roman"/>
      <w:b/>
      <w:bCs/>
      <w:sz w:val="22"/>
      <w:szCs w:val="22"/>
      <w:lang w:eastAsia="en-CA"/>
    </w:rPr>
  </w:style>
  <w:style w:type="character" w:customStyle="1" w:styleId="Heading7Char">
    <w:name w:val="Heading 7 Char"/>
    <w:basedOn w:val="DefaultParagraphFont"/>
    <w:link w:val="Heading7"/>
    <w:uiPriority w:val="9"/>
    <w:semiHidden/>
    <w:rsid w:val="00DB44B8"/>
    <w:rPr>
      <w:rFonts w:asciiTheme="majorHAnsi" w:eastAsiaTheme="majorEastAsia" w:hAnsiTheme="majorHAnsi" w:cstheme="majorBidi"/>
      <w:i/>
      <w:iCs/>
      <w:color w:val="404040" w:themeColor="text1" w:themeTint="BF"/>
      <w:lang w:eastAsia="en-CA"/>
    </w:rPr>
  </w:style>
  <w:style w:type="character" w:customStyle="1" w:styleId="Heading8Char">
    <w:name w:val="Heading 8 Char"/>
    <w:basedOn w:val="DefaultParagraphFont"/>
    <w:link w:val="Heading8"/>
    <w:uiPriority w:val="9"/>
    <w:semiHidden/>
    <w:rsid w:val="00DB44B8"/>
    <w:rPr>
      <w:rFonts w:asciiTheme="majorHAnsi" w:eastAsiaTheme="majorEastAsia" w:hAnsiTheme="majorHAnsi" w:cstheme="majorBidi"/>
      <w:color w:val="404040" w:themeColor="text1" w:themeTint="BF"/>
      <w:sz w:val="20"/>
      <w:szCs w:val="20"/>
      <w:lang w:eastAsia="en-CA"/>
    </w:rPr>
  </w:style>
  <w:style w:type="character" w:customStyle="1" w:styleId="Heading9Char">
    <w:name w:val="Heading 9 Char"/>
    <w:basedOn w:val="DefaultParagraphFont"/>
    <w:link w:val="Heading9"/>
    <w:uiPriority w:val="9"/>
    <w:semiHidden/>
    <w:rsid w:val="00DB44B8"/>
    <w:rPr>
      <w:rFonts w:asciiTheme="majorHAnsi" w:eastAsiaTheme="majorEastAsia" w:hAnsiTheme="majorHAnsi" w:cstheme="majorBidi"/>
      <w:i/>
      <w:iCs/>
      <w:color w:val="404040" w:themeColor="text1" w:themeTint="BF"/>
      <w:sz w:val="20"/>
      <w:szCs w:val="20"/>
      <w:lang w:eastAsia="en-CA"/>
    </w:rPr>
  </w:style>
  <w:style w:type="character" w:styleId="CommentReference">
    <w:name w:val="annotation reference"/>
    <w:semiHidden/>
    <w:rsid w:val="00DB44B8"/>
    <w:rPr>
      <w:sz w:val="16"/>
      <w:szCs w:val="16"/>
    </w:rPr>
  </w:style>
  <w:style w:type="paragraph" w:styleId="CommentText">
    <w:name w:val="annotation text"/>
    <w:basedOn w:val="Normal"/>
    <w:link w:val="CommentTextChar"/>
    <w:semiHidden/>
    <w:rsid w:val="00DB44B8"/>
    <w:rPr>
      <w:sz w:val="20"/>
      <w:szCs w:val="20"/>
    </w:rPr>
  </w:style>
  <w:style w:type="character" w:customStyle="1" w:styleId="CommentTextChar">
    <w:name w:val="Comment Text Char"/>
    <w:basedOn w:val="DefaultParagraphFont"/>
    <w:link w:val="CommentText"/>
    <w:semiHidden/>
    <w:rsid w:val="00DB44B8"/>
    <w:rPr>
      <w:rFonts w:ascii="Arial" w:eastAsia="Times New Roman" w:hAnsi="Arial" w:cs="Times New Roman"/>
      <w:sz w:val="20"/>
      <w:szCs w:val="20"/>
      <w:lang w:eastAsia="en-CA"/>
    </w:rPr>
  </w:style>
  <w:style w:type="paragraph" w:customStyle="1" w:styleId="CharChar">
    <w:name w:val="Char Char"/>
    <w:basedOn w:val="Normal"/>
    <w:rsid w:val="00DB44B8"/>
    <w:pPr>
      <w:spacing w:after="160" w:line="240" w:lineRule="exact"/>
    </w:pPr>
    <w:rPr>
      <w:rFonts w:ascii="Verdana" w:hAnsi="Verdana"/>
      <w:sz w:val="20"/>
      <w:szCs w:val="20"/>
      <w:lang w:eastAsia="en-US"/>
    </w:rPr>
  </w:style>
  <w:style w:type="paragraph" w:styleId="ListParagraph">
    <w:name w:val="List Paragraph"/>
    <w:basedOn w:val="Normal"/>
    <w:uiPriority w:val="34"/>
    <w:qFormat/>
    <w:rsid w:val="00DB44B8"/>
    <w:pPr>
      <w:ind w:left="720"/>
      <w:contextualSpacing/>
    </w:pPr>
  </w:style>
  <w:style w:type="paragraph" w:styleId="BodyText">
    <w:name w:val="Body Text"/>
    <w:basedOn w:val="Normal"/>
    <w:link w:val="BodyTextChar"/>
    <w:rsid w:val="00DB44B8"/>
    <w:pPr>
      <w:widowControl w:val="0"/>
      <w:tabs>
        <w:tab w:val="left" w:pos="-1080"/>
        <w:tab w:val="left" w:pos="-720"/>
        <w:tab w:val="left" w:pos="0"/>
      </w:tabs>
      <w:autoSpaceDE w:val="0"/>
      <w:autoSpaceDN w:val="0"/>
      <w:adjustRightInd w:val="0"/>
    </w:pPr>
    <w:rPr>
      <w:rFonts w:cs="Arial"/>
      <w:color w:val="000000"/>
      <w:lang w:val="en-GB" w:eastAsia="en-US"/>
    </w:rPr>
  </w:style>
  <w:style w:type="character" w:customStyle="1" w:styleId="BodyTextChar">
    <w:name w:val="Body Text Char"/>
    <w:basedOn w:val="DefaultParagraphFont"/>
    <w:link w:val="BodyText"/>
    <w:rsid w:val="00DB44B8"/>
    <w:rPr>
      <w:rFonts w:ascii="Arial" w:eastAsia="Times New Roman" w:hAnsi="Arial" w:cs="Arial"/>
      <w:color w:val="000000"/>
      <w:lang w:val="en-GB"/>
    </w:rPr>
  </w:style>
  <w:style w:type="character" w:styleId="Hyperlink">
    <w:name w:val="Hyperlink"/>
    <w:uiPriority w:val="99"/>
    <w:rsid w:val="00DB44B8"/>
    <w:rPr>
      <w:color w:val="0000FF"/>
      <w:u w:val="single"/>
    </w:rPr>
  </w:style>
  <w:style w:type="paragraph" w:styleId="FootnoteText">
    <w:name w:val="footnote text"/>
    <w:basedOn w:val="Normal"/>
    <w:link w:val="FootnoteTextChar"/>
    <w:semiHidden/>
    <w:rsid w:val="00DB44B8"/>
    <w:rPr>
      <w:rFonts w:cs="Arial"/>
      <w:color w:val="000000"/>
      <w:sz w:val="20"/>
      <w:szCs w:val="20"/>
    </w:rPr>
  </w:style>
  <w:style w:type="character" w:customStyle="1" w:styleId="FootnoteTextChar">
    <w:name w:val="Footnote Text Char"/>
    <w:basedOn w:val="DefaultParagraphFont"/>
    <w:link w:val="FootnoteText"/>
    <w:semiHidden/>
    <w:rsid w:val="00DB44B8"/>
    <w:rPr>
      <w:rFonts w:ascii="Arial" w:eastAsia="Times New Roman" w:hAnsi="Arial" w:cs="Arial"/>
      <w:color w:val="000000"/>
      <w:sz w:val="20"/>
      <w:szCs w:val="20"/>
      <w:lang w:eastAsia="en-CA"/>
    </w:rPr>
  </w:style>
  <w:style w:type="character" w:styleId="FootnoteReference">
    <w:name w:val="footnote reference"/>
    <w:semiHidden/>
    <w:rsid w:val="00DB44B8"/>
    <w:rPr>
      <w:vertAlign w:val="superscript"/>
    </w:rPr>
  </w:style>
  <w:style w:type="paragraph" w:styleId="CommentSubject">
    <w:name w:val="annotation subject"/>
    <w:basedOn w:val="CommentText"/>
    <w:next w:val="CommentText"/>
    <w:link w:val="CommentSubjectChar"/>
    <w:uiPriority w:val="99"/>
    <w:semiHidden/>
    <w:unhideWhenUsed/>
    <w:rsid w:val="00DB44B8"/>
    <w:rPr>
      <w:b/>
      <w:bCs/>
    </w:rPr>
  </w:style>
  <w:style w:type="character" w:customStyle="1" w:styleId="CommentSubjectChar">
    <w:name w:val="Comment Subject Char"/>
    <w:basedOn w:val="CommentTextChar"/>
    <w:link w:val="CommentSubject"/>
    <w:uiPriority w:val="99"/>
    <w:semiHidden/>
    <w:rsid w:val="00DB44B8"/>
    <w:rPr>
      <w:rFonts w:ascii="Arial" w:eastAsia="Times New Roman" w:hAnsi="Arial" w:cs="Times New Roman"/>
      <w:b/>
      <w:bCs/>
      <w:sz w:val="20"/>
      <w:szCs w:val="20"/>
      <w:lang w:eastAsia="en-CA"/>
    </w:rPr>
  </w:style>
  <w:style w:type="paragraph" w:styleId="BodyTextIndent3">
    <w:name w:val="Body Text Indent 3"/>
    <w:basedOn w:val="Normal"/>
    <w:link w:val="BodyTextIndent3Char"/>
    <w:uiPriority w:val="99"/>
    <w:semiHidden/>
    <w:unhideWhenUsed/>
    <w:rsid w:val="00DB44B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B44B8"/>
    <w:rPr>
      <w:rFonts w:ascii="Arial" w:eastAsia="Times New Roman" w:hAnsi="Arial" w:cs="Times New Roman"/>
      <w:sz w:val="16"/>
      <w:szCs w:val="16"/>
      <w:lang w:eastAsia="en-CA"/>
    </w:rPr>
  </w:style>
  <w:style w:type="character" w:styleId="Strong">
    <w:name w:val="Strong"/>
    <w:uiPriority w:val="22"/>
    <w:qFormat/>
    <w:rsid w:val="00DB44B8"/>
    <w:rPr>
      <w:rFonts w:ascii="Arial" w:hAnsi="Arial" w:cs="Arial" w:hint="default"/>
      <w:b/>
      <w:bCs/>
      <w:sz w:val="20"/>
      <w:szCs w:val="20"/>
    </w:rPr>
  </w:style>
  <w:style w:type="character" w:styleId="FollowedHyperlink">
    <w:name w:val="FollowedHyperlink"/>
    <w:basedOn w:val="DefaultParagraphFont"/>
    <w:uiPriority w:val="99"/>
    <w:semiHidden/>
    <w:unhideWhenUsed/>
    <w:rsid w:val="00DB44B8"/>
    <w:rPr>
      <w:color w:val="96D9DC" w:themeColor="followedHyperlink"/>
      <w:u w:val="single"/>
    </w:rPr>
  </w:style>
  <w:style w:type="paragraph" w:styleId="NoSpacing">
    <w:name w:val="No Spacing"/>
    <w:uiPriority w:val="1"/>
    <w:qFormat/>
    <w:rsid w:val="00DB44B8"/>
    <w:rPr>
      <w:rFonts w:eastAsiaTheme="minorHAnsi"/>
      <w:sz w:val="22"/>
      <w:szCs w:val="22"/>
    </w:rPr>
  </w:style>
  <w:style w:type="table" w:styleId="TableGrid">
    <w:name w:val="Table Grid"/>
    <w:basedOn w:val="TableNormal"/>
    <w:uiPriority w:val="59"/>
    <w:rsid w:val="00DB44B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DB44B8"/>
    <w:pPr>
      <w:spacing w:line="276" w:lineRule="auto"/>
      <w:outlineLvl w:val="9"/>
    </w:pPr>
    <w:rPr>
      <w:color w:val="960024" w:themeColor="accent1" w:themeShade="BF"/>
      <w:sz w:val="28"/>
      <w:szCs w:val="28"/>
      <w:lang w:val="en-US" w:eastAsia="ja-JP"/>
    </w:rPr>
  </w:style>
  <w:style w:type="paragraph" w:styleId="TOC1">
    <w:name w:val="toc 1"/>
    <w:basedOn w:val="Normal"/>
    <w:next w:val="Normal"/>
    <w:autoRedefine/>
    <w:uiPriority w:val="39"/>
    <w:unhideWhenUsed/>
    <w:rsid w:val="005857B8"/>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DB44B8"/>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DB44B8"/>
    <w:pPr>
      <w:ind w:left="480"/>
    </w:pPr>
    <w:rPr>
      <w:rFonts w:asciiTheme="minorHAnsi" w:hAnsiTheme="minorHAnsi" w:cstheme="minorHAnsi"/>
      <w:sz w:val="20"/>
      <w:szCs w:val="20"/>
    </w:rPr>
  </w:style>
  <w:style w:type="paragraph" w:styleId="Revision">
    <w:name w:val="Revision"/>
    <w:hidden/>
    <w:uiPriority w:val="99"/>
    <w:semiHidden/>
    <w:rsid w:val="00DB44B8"/>
    <w:rPr>
      <w:rFonts w:ascii="Arial" w:eastAsia="Times New Roman" w:hAnsi="Arial" w:cs="Times New Roman"/>
      <w:lang w:eastAsia="en-CA"/>
    </w:rPr>
  </w:style>
  <w:style w:type="paragraph" w:styleId="NormalWeb">
    <w:name w:val="Normal (Web)"/>
    <w:basedOn w:val="Normal"/>
    <w:unhideWhenUsed/>
    <w:rsid w:val="00DB44B8"/>
    <w:pPr>
      <w:spacing w:before="100" w:beforeAutospacing="1" w:after="100" w:afterAutospacing="1"/>
    </w:pPr>
    <w:rPr>
      <w:rFonts w:ascii="Times New Roman" w:hAnsi="Times New Roman"/>
    </w:rPr>
  </w:style>
  <w:style w:type="table" w:customStyle="1" w:styleId="TableGrid1">
    <w:name w:val="Table Grid1"/>
    <w:basedOn w:val="TableNormal"/>
    <w:next w:val="TableGrid"/>
    <w:uiPriority w:val="59"/>
    <w:rsid w:val="00DB44B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6Table">
    <w:name w:val="P106_Table"/>
    <w:basedOn w:val="Normal"/>
    <w:rsid w:val="00DB44B8"/>
    <w:pPr>
      <w:spacing w:before="120" w:after="120"/>
    </w:pPr>
    <w:rPr>
      <w:rFonts w:eastAsia="Arial Unicode MS" w:cs="Arial"/>
      <w:sz w:val="18"/>
      <w:szCs w:val="20"/>
      <w:lang w:val="en-US" w:eastAsia="en-US"/>
    </w:rPr>
  </w:style>
  <w:style w:type="paragraph" w:customStyle="1" w:styleId="Default">
    <w:name w:val="Default"/>
    <w:rsid w:val="00DB44B8"/>
    <w:pPr>
      <w:autoSpaceDE w:val="0"/>
      <w:autoSpaceDN w:val="0"/>
      <w:adjustRightInd w:val="0"/>
    </w:pPr>
    <w:rPr>
      <w:rFonts w:ascii="Arial" w:hAnsi="Arial" w:cs="Arial"/>
      <w:color w:val="000000"/>
    </w:rPr>
  </w:style>
  <w:style w:type="paragraph" w:styleId="TOC4">
    <w:name w:val="toc 4"/>
    <w:basedOn w:val="Normal"/>
    <w:next w:val="Normal"/>
    <w:autoRedefine/>
    <w:uiPriority w:val="39"/>
    <w:unhideWhenUsed/>
    <w:rsid w:val="00F6090D"/>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F6090D"/>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F6090D"/>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F6090D"/>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F6090D"/>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F6090D"/>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6999">
      <w:bodyDiv w:val="1"/>
      <w:marLeft w:val="0"/>
      <w:marRight w:val="0"/>
      <w:marTop w:val="0"/>
      <w:marBottom w:val="0"/>
      <w:divBdr>
        <w:top w:val="none" w:sz="0" w:space="0" w:color="auto"/>
        <w:left w:val="none" w:sz="0" w:space="0" w:color="auto"/>
        <w:bottom w:val="none" w:sz="0" w:space="0" w:color="auto"/>
        <w:right w:val="none" w:sz="0" w:space="0" w:color="auto"/>
      </w:divBdr>
    </w:div>
    <w:div w:id="252859250">
      <w:bodyDiv w:val="1"/>
      <w:marLeft w:val="0"/>
      <w:marRight w:val="0"/>
      <w:marTop w:val="0"/>
      <w:marBottom w:val="0"/>
      <w:divBdr>
        <w:top w:val="none" w:sz="0" w:space="0" w:color="auto"/>
        <w:left w:val="none" w:sz="0" w:space="0" w:color="auto"/>
        <w:bottom w:val="none" w:sz="0" w:space="0" w:color="auto"/>
        <w:right w:val="none" w:sz="0" w:space="0" w:color="auto"/>
      </w:divBdr>
      <w:divsChild>
        <w:div w:id="1402286425">
          <w:marLeft w:val="259"/>
          <w:marRight w:val="0"/>
          <w:marTop w:val="0"/>
          <w:marBottom w:val="0"/>
          <w:divBdr>
            <w:top w:val="none" w:sz="0" w:space="0" w:color="auto"/>
            <w:left w:val="none" w:sz="0" w:space="0" w:color="auto"/>
            <w:bottom w:val="none" w:sz="0" w:space="0" w:color="auto"/>
            <w:right w:val="none" w:sz="0" w:space="0" w:color="auto"/>
          </w:divBdr>
        </w:div>
        <w:div w:id="1020667308">
          <w:marLeft w:val="259"/>
          <w:marRight w:val="0"/>
          <w:marTop w:val="0"/>
          <w:marBottom w:val="0"/>
          <w:divBdr>
            <w:top w:val="none" w:sz="0" w:space="0" w:color="auto"/>
            <w:left w:val="none" w:sz="0" w:space="0" w:color="auto"/>
            <w:bottom w:val="none" w:sz="0" w:space="0" w:color="auto"/>
            <w:right w:val="none" w:sz="0" w:space="0" w:color="auto"/>
          </w:divBdr>
        </w:div>
        <w:div w:id="2128810048">
          <w:marLeft w:val="259"/>
          <w:marRight w:val="0"/>
          <w:marTop w:val="0"/>
          <w:marBottom w:val="0"/>
          <w:divBdr>
            <w:top w:val="none" w:sz="0" w:space="0" w:color="auto"/>
            <w:left w:val="none" w:sz="0" w:space="0" w:color="auto"/>
            <w:bottom w:val="none" w:sz="0" w:space="0" w:color="auto"/>
            <w:right w:val="none" w:sz="0" w:space="0" w:color="auto"/>
          </w:divBdr>
        </w:div>
      </w:divsChild>
    </w:div>
    <w:div w:id="308218957">
      <w:bodyDiv w:val="1"/>
      <w:marLeft w:val="0"/>
      <w:marRight w:val="0"/>
      <w:marTop w:val="0"/>
      <w:marBottom w:val="0"/>
      <w:divBdr>
        <w:top w:val="none" w:sz="0" w:space="0" w:color="auto"/>
        <w:left w:val="none" w:sz="0" w:space="0" w:color="auto"/>
        <w:bottom w:val="none" w:sz="0" w:space="0" w:color="auto"/>
        <w:right w:val="none" w:sz="0" w:space="0" w:color="auto"/>
      </w:divBdr>
    </w:div>
    <w:div w:id="363484515">
      <w:bodyDiv w:val="1"/>
      <w:marLeft w:val="0"/>
      <w:marRight w:val="0"/>
      <w:marTop w:val="0"/>
      <w:marBottom w:val="0"/>
      <w:divBdr>
        <w:top w:val="none" w:sz="0" w:space="0" w:color="auto"/>
        <w:left w:val="none" w:sz="0" w:space="0" w:color="auto"/>
        <w:bottom w:val="none" w:sz="0" w:space="0" w:color="auto"/>
        <w:right w:val="none" w:sz="0" w:space="0" w:color="auto"/>
      </w:divBdr>
    </w:div>
    <w:div w:id="409472642">
      <w:bodyDiv w:val="1"/>
      <w:marLeft w:val="0"/>
      <w:marRight w:val="0"/>
      <w:marTop w:val="0"/>
      <w:marBottom w:val="0"/>
      <w:divBdr>
        <w:top w:val="none" w:sz="0" w:space="0" w:color="auto"/>
        <w:left w:val="none" w:sz="0" w:space="0" w:color="auto"/>
        <w:bottom w:val="none" w:sz="0" w:space="0" w:color="auto"/>
        <w:right w:val="none" w:sz="0" w:space="0" w:color="auto"/>
      </w:divBdr>
      <w:divsChild>
        <w:div w:id="1318725700">
          <w:marLeft w:val="274"/>
          <w:marRight w:val="0"/>
          <w:marTop w:val="0"/>
          <w:marBottom w:val="0"/>
          <w:divBdr>
            <w:top w:val="none" w:sz="0" w:space="0" w:color="auto"/>
            <w:left w:val="none" w:sz="0" w:space="0" w:color="auto"/>
            <w:bottom w:val="none" w:sz="0" w:space="0" w:color="auto"/>
            <w:right w:val="none" w:sz="0" w:space="0" w:color="auto"/>
          </w:divBdr>
        </w:div>
        <w:div w:id="1619945556">
          <w:marLeft w:val="274"/>
          <w:marRight w:val="0"/>
          <w:marTop w:val="0"/>
          <w:marBottom w:val="0"/>
          <w:divBdr>
            <w:top w:val="none" w:sz="0" w:space="0" w:color="auto"/>
            <w:left w:val="none" w:sz="0" w:space="0" w:color="auto"/>
            <w:bottom w:val="none" w:sz="0" w:space="0" w:color="auto"/>
            <w:right w:val="none" w:sz="0" w:space="0" w:color="auto"/>
          </w:divBdr>
        </w:div>
      </w:divsChild>
    </w:div>
    <w:div w:id="612252367">
      <w:bodyDiv w:val="1"/>
      <w:marLeft w:val="0"/>
      <w:marRight w:val="0"/>
      <w:marTop w:val="0"/>
      <w:marBottom w:val="0"/>
      <w:divBdr>
        <w:top w:val="none" w:sz="0" w:space="0" w:color="auto"/>
        <w:left w:val="none" w:sz="0" w:space="0" w:color="auto"/>
        <w:bottom w:val="none" w:sz="0" w:space="0" w:color="auto"/>
        <w:right w:val="none" w:sz="0" w:space="0" w:color="auto"/>
      </w:divBdr>
    </w:div>
    <w:div w:id="827213576">
      <w:bodyDiv w:val="1"/>
      <w:marLeft w:val="0"/>
      <w:marRight w:val="0"/>
      <w:marTop w:val="0"/>
      <w:marBottom w:val="0"/>
      <w:divBdr>
        <w:top w:val="none" w:sz="0" w:space="0" w:color="auto"/>
        <w:left w:val="none" w:sz="0" w:space="0" w:color="auto"/>
        <w:bottom w:val="none" w:sz="0" w:space="0" w:color="auto"/>
        <w:right w:val="none" w:sz="0" w:space="0" w:color="auto"/>
      </w:divBdr>
      <w:divsChild>
        <w:div w:id="2033265051">
          <w:marLeft w:val="288"/>
          <w:marRight w:val="0"/>
          <w:marTop w:val="120"/>
          <w:marBottom w:val="120"/>
          <w:divBdr>
            <w:top w:val="none" w:sz="0" w:space="0" w:color="auto"/>
            <w:left w:val="none" w:sz="0" w:space="0" w:color="auto"/>
            <w:bottom w:val="none" w:sz="0" w:space="0" w:color="auto"/>
            <w:right w:val="none" w:sz="0" w:space="0" w:color="auto"/>
          </w:divBdr>
        </w:div>
      </w:divsChild>
    </w:div>
    <w:div w:id="899101462">
      <w:bodyDiv w:val="1"/>
      <w:marLeft w:val="0"/>
      <w:marRight w:val="0"/>
      <w:marTop w:val="0"/>
      <w:marBottom w:val="0"/>
      <w:divBdr>
        <w:top w:val="none" w:sz="0" w:space="0" w:color="auto"/>
        <w:left w:val="none" w:sz="0" w:space="0" w:color="auto"/>
        <w:bottom w:val="none" w:sz="0" w:space="0" w:color="auto"/>
        <w:right w:val="none" w:sz="0" w:space="0" w:color="auto"/>
      </w:divBdr>
    </w:div>
    <w:div w:id="1090158384">
      <w:bodyDiv w:val="1"/>
      <w:marLeft w:val="0"/>
      <w:marRight w:val="0"/>
      <w:marTop w:val="0"/>
      <w:marBottom w:val="0"/>
      <w:divBdr>
        <w:top w:val="none" w:sz="0" w:space="0" w:color="auto"/>
        <w:left w:val="none" w:sz="0" w:space="0" w:color="auto"/>
        <w:bottom w:val="none" w:sz="0" w:space="0" w:color="auto"/>
        <w:right w:val="none" w:sz="0" w:space="0" w:color="auto"/>
      </w:divBdr>
      <w:divsChild>
        <w:div w:id="730202161">
          <w:marLeft w:val="259"/>
          <w:marRight w:val="0"/>
          <w:marTop w:val="0"/>
          <w:marBottom w:val="0"/>
          <w:divBdr>
            <w:top w:val="none" w:sz="0" w:space="0" w:color="auto"/>
            <w:left w:val="none" w:sz="0" w:space="0" w:color="auto"/>
            <w:bottom w:val="none" w:sz="0" w:space="0" w:color="auto"/>
            <w:right w:val="none" w:sz="0" w:space="0" w:color="auto"/>
          </w:divBdr>
        </w:div>
        <w:div w:id="198706926">
          <w:marLeft w:val="259"/>
          <w:marRight w:val="0"/>
          <w:marTop w:val="0"/>
          <w:marBottom w:val="0"/>
          <w:divBdr>
            <w:top w:val="none" w:sz="0" w:space="0" w:color="auto"/>
            <w:left w:val="none" w:sz="0" w:space="0" w:color="auto"/>
            <w:bottom w:val="none" w:sz="0" w:space="0" w:color="auto"/>
            <w:right w:val="none" w:sz="0" w:space="0" w:color="auto"/>
          </w:divBdr>
        </w:div>
        <w:div w:id="1851720791">
          <w:marLeft w:val="259"/>
          <w:marRight w:val="0"/>
          <w:marTop w:val="0"/>
          <w:marBottom w:val="0"/>
          <w:divBdr>
            <w:top w:val="none" w:sz="0" w:space="0" w:color="auto"/>
            <w:left w:val="none" w:sz="0" w:space="0" w:color="auto"/>
            <w:bottom w:val="none" w:sz="0" w:space="0" w:color="auto"/>
            <w:right w:val="none" w:sz="0" w:space="0" w:color="auto"/>
          </w:divBdr>
        </w:div>
      </w:divsChild>
    </w:div>
    <w:div w:id="1207252843">
      <w:bodyDiv w:val="1"/>
      <w:marLeft w:val="0"/>
      <w:marRight w:val="0"/>
      <w:marTop w:val="0"/>
      <w:marBottom w:val="0"/>
      <w:divBdr>
        <w:top w:val="none" w:sz="0" w:space="0" w:color="auto"/>
        <w:left w:val="none" w:sz="0" w:space="0" w:color="auto"/>
        <w:bottom w:val="none" w:sz="0" w:space="0" w:color="auto"/>
        <w:right w:val="none" w:sz="0" w:space="0" w:color="auto"/>
      </w:divBdr>
    </w:div>
    <w:div w:id="1243832908">
      <w:bodyDiv w:val="1"/>
      <w:marLeft w:val="0"/>
      <w:marRight w:val="0"/>
      <w:marTop w:val="0"/>
      <w:marBottom w:val="0"/>
      <w:divBdr>
        <w:top w:val="none" w:sz="0" w:space="0" w:color="auto"/>
        <w:left w:val="none" w:sz="0" w:space="0" w:color="auto"/>
        <w:bottom w:val="none" w:sz="0" w:space="0" w:color="auto"/>
        <w:right w:val="none" w:sz="0" w:space="0" w:color="auto"/>
      </w:divBdr>
    </w:div>
    <w:div w:id="1253706332">
      <w:bodyDiv w:val="1"/>
      <w:marLeft w:val="0"/>
      <w:marRight w:val="0"/>
      <w:marTop w:val="0"/>
      <w:marBottom w:val="0"/>
      <w:divBdr>
        <w:top w:val="none" w:sz="0" w:space="0" w:color="auto"/>
        <w:left w:val="none" w:sz="0" w:space="0" w:color="auto"/>
        <w:bottom w:val="none" w:sz="0" w:space="0" w:color="auto"/>
        <w:right w:val="none" w:sz="0" w:space="0" w:color="auto"/>
      </w:divBdr>
    </w:div>
    <w:div w:id="1263800253">
      <w:bodyDiv w:val="1"/>
      <w:marLeft w:val="0"/>
      <w:marRight w:val="0"/>
      <w:marTop w:val="0"/>
      <w:marBottom w:val="0"/>
      <w:divBdr>
        <w:top w:val="none" w:sz="0" w:space="0" w:color="auto"/>
        <w:left w:val="none" w:sz="0" w:space="0" w:color="auto"/>
        <w:bottom w:val="none" w:sz="0" w:space="0" w:color="auto"/>
        <w:right w:val="none" w:sz="0" w:space="0" w:color="auto"/>
      </w:divBdr>
    </w:div>
    <w:div w:id="1443063684">
      <w:bodyDiv w:val="1"/>
      <w:marLeft w:val="0"/>
      <w:marRight w:val="0"/>
      <w:marTop w:val="0"/>
      <w:marBottom w:val="0"/>
      <w:divBdr>
        <w:top w:val="none" w:sz="0" w:space="0" w:color="auto"/>
        <w:left w:val="none" w:sz="0" w:space="0" w:color="auto"/>
        <w:bottom w:val="none" w:sz="0" w:space="0" w:color="auto"/>
        <w:right w:val="none" w:sz="0" w:space="0" w:color="auto"/>
      </w:divBdr>
    </w:div>
    <w:div w:id="1549141709">
      <w:bodyDiv w:val="1"/>
      <w:marLeft w:val="0"/>
      <w:marRight w:val="0"/>
      <w:marTop w:val="0"/>
      <w:marBottom w:val="0"/>
      <w:divBdr>
        <w:top w:val="none" w:sz="0" w:space="0" w:color="auto"/>
        <w:left w:val="none" w:sz="0" w:space="0" w:color="auto"/>
        <w:bottom w:val="none" w:sz="0" w:space="0" w:color="auto"/>
        <w:right w:val="none" w:sz="0" w:space="0" w:color="auto"/>
      </w:divBdr>
    </w:div>
    <w:div w:id="1575626564">
      <w:bodyDiv w:val="1"/>
      <w:marLeft w:val="0"/>
      <w:marRight w:val="0"/>
      <w:marTop w:val="0"/>
      <w:marBottom w:val="0"/>
      <w:divBdr>
        <w:top w:val="none" w:sz="0" w:space="0" w:color="auto"/>
        <w:left w:val="none" w:sz="0" w:space="0" w:color="auto"/>
        <w:bottom w:val="none" w:sz="0" w:space="0" w:color="auto"/>
        <w:right w:val="none" w:sz="0" w:space="0" w:color="auto"/>
      </w:divBdr>
    </w:div>
    <w:div w:id="1611087287">
      <w:bodyDiv w:val="1"/>
      <w:marLeft w:val="0"/>
      <w:marRight w:val="0"/>
      <w:marTop w:val="0"/>
      <w:marBottom w:val="0"/>
      <w:divBdr>
        <w:top w:val="none" w:sz="0" w:space="0" w:color="auto"/>
        <w:left w:val="none" w:sz="0" w:space="0" w:color="auto"/>
        <w:bottom w:val="none" w:sz="0" w:space="0" w:color="auto"/>
        <w:right w:val="none" w:sz="0" w:space="0" w:color="auto"/>
      </w:divBdr>
    </w:div>
    <w:div w:id="1617373726">
      <w:bodyDiv w:val="1"/>
      <w:marLeft w:val="0"/>
      <w:marRight w:val="0"/>
      <w:marTop w:val="0"/>
      <w:marBottom w:val="0"/>
      <w:divBdr>
        <w:top w:val="none" w:sz="0" w:space="0" w:color="auto"/>
        <w:left w:val="none" w:sz="0" w:space="0" w:color="auto"/>
        <w:bottom w:val="none" w:sz="0" w:space="0" w:color="auto"/>
        <w:right w:val="none" w:sz="0" w:space="0" w:color="auto"/>
      </w:divBdr>
    </w:div>
    <w:div w:id="1903783760">
      <w:bodyDiv w:val="1"/>
      <w:marLeft w:val="0"/>
      <w:marRight w:val="0"/>
      <w:marTop w:val="0"/>
      <w:marBottom w:val="0"/>
      <w:divBdr>
        <w:top w:val="none" w:sz="0" w:space="0" w:color="auto"/>
        <w:left w:val="none" w:sz="0" w:space="0" w:color="auto"/>
        <w:bottom w:val="none" w:sz="0" w:space="0" w:color="auto"/>
        <w:right w:val="none" w:sz="0" w:space="0" w:color="auto"/>
      </w:divBdr>
    </w:div>
    <w:div w:id="1994983411">
      <w:bodyDiv w:val="1"/>
      <w:marLeft w:val="0"/>
      <w:marRight w:val="0"/>
      <w:marTop w:val="0"/>
      <w:marBottom w:val="0"/>
      <w:divBdr>
        <w:top w:val="none" w:sz="0" w:space="0" w:color="auto"/>
        <w:left w:val="none" w:sz="0" w:space="0" w:color="auto"/>
        <w:bottom w:val="none" w:sz="0" w:space="0" w:color="auto"/>
        <w:right w:val="none" w:sz="0" w:space="0" w:color="auto"/>
      </w:divBdr>
    </w:div>
    <w:div w:id="2069186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C-Forecasting-Mailbox-CRM_Bo&#238;tes-aux-lettres-Pr&#233;visions-GRM-GD" TargetMode="External"/><Relationship Id="rId18" Type="http://schemas.openxmlformats.org/officeDocument/2006/relationships/hyperlink" Target="http://nspkipws.service.gc.ca/gm/folder-1.11.261042?mode=EU&amp;originalContext=1.11.201012" TargetMode="External"/><Relationship Id="rId26" Type="http://schemas.openxmlformats.org/officeDocument/2006/relationships/hyperlink" Target="http://nspkipws.service.gc.ca/gm/folder-1.11.3671?mode=EU&amp;originalContext=1.11.199336" TargetMode="External"/><Relationship Id="rId39" Type="http://schemas.openxmlformats.org/officeDocument/2006/relationships/hyperlink" Target="http://nspkipws.service.gc.ca/gm/folder-1.11.234402?mode=EU&amp;originalContext=1.11.197254" TargetMode="External"/><Relationship Id="rId3" Type="http://schemas.openxmlformats.org/officeDocument/2006/relationships/customXml" Target="../customXml/item3.xml"/><Relationship Id="rId21" Type="http://schemas.openxmlformats.org/officeDocument/2006/relationships/hyperlink" Target="https://www.canada.ca/en/treasury-board-secretariat/services/performance-talent-management/performance-management-program-executives.html" TargetMode="External"/><Relationship Id="rId34" Type="http://schemas.openxmlformats.org/officeDocument/2006/relationships/hyperlink" Target="http://dialogue/grp/learning-apprentissage/Shared%20Documents/CLG-ESDC%20Second%20Language%20Learning%20Guidelines%20-%20November2016.pdf" TargetMode="External"/><Relationship Id="rId42" Type="http://schemas.openxmlformats.org/officeDocument/2006/relationships/header" Target="header1.xml"/><Relationship Id="rId47" Type="http://schemas.openxmlformats.org/officeDocument/2006/relationships/hyperlink" Target="https://masge-myems.service.gc.ca/irj/portal" TargetMode="External"/><Relationship Id="rId50" Type="http://schemas.openxmlformats.org/officeDocument/2006/relationships/hyperlink" Target="http://nspkipws.service.gc.ca/gm/folder-1.11.197254?mode=EU" TargetMode="External"/><Relationship Id="rId7" Type="http://schemas.openxmlformats.org/officeDocument/2006/relationships/settings" Target="settings.xml"/><Relationship Id="rId12" Type="http://schemas.openxmlformats.org/officeDocument/2006/relationships/hyperlink" Target="mailto:NC-Forecasting-Mailbox-CRM_Bo&#238;tes-aux-lettres-Pr&#233;visions-GRM-GD" TargetMode="External"/><Relationship Id="rId17" Type="http://schemas.openxmlformats.org/officeDocument/2006/relationships/hyperlink" Target="http://nspkipws.service.gc.ca/gm/folder-1.11.3492?mode=EU&amp;originalContext=1.11.199336" TargetMode="External"/><Relationship Id="rId25" Type="http://schemas.openxmlformats.org/officeDocument/2006/relationships/hyperlink" Target="http://nspkipws.service.gc.ca/gm/folder-1.11.3659?mode=EU&amp;originalContext=1.11.199336" TargetMode="External"/><Relationship Id="rId33" Type="http://schemas.openxmlformats.org/officeDocument/2006/relationships/hyperlink" Target="http://iservice.prv/eng/college/index.shtml" TargetMode="External"/><Relationship Id="rId38" Type="http://schemas.openxmlformats.org/officeDocument/2006/relationships/hyperlink" Target="http://nspkipws.service.gc.ca/gm/folder-1.11.234398?mode=EU&amp;originalContext=1.11.197254" TargetMode="External"/><Relationship Id="rId46"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yperlink" Target="http://iservice.prv/eng/finance/corp_ressource/docs/SFT_Reference_Guide_Business_Process.doc" TargetMode="External"/><Relationship Id="rId20" Type="http://schemas.openxmlformats.org/officeDocument/2006/relationships/hyperlink" Target="http://nspkipws.service.gc.ca/gm/folder-1.11.4523?mode=EU&amp;originalContext=1.11.199336" TargetMode="External"/><Relationship Id="rId29" Type="http://schemas.openxmlformats.org/officeDocument/2006/relationships/hyperlink" Target="http://nspkipws.service.gc.ca/gm/folder-1.11.3675?mode=EU&amp;originalContext=1.11.201012" TargetMode="External"/><Relationship Id="rId41" Type="http://schemas.openxmlformats.org/officeDocument/2006/relationships/hyperlink" Target="mailto:NC-Forecasting-Mailbox-CRM_Bo&#238;tes-aux-lettres-Pr&#233;visions-GRM-G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service.prv/eng/managers/departmental_forecasting/roadmap_index.shtml" TargetMode="External"/><Relationship Id="rId24" Type="http://schemas.openxmlformats.org/officeDocument/2006/relationships/hyperlink" Target="http://nspkipws.service.gc.ca/gm/folder-1.11.3508?mode=EU&amp;originalContext=1.11.199336" TargetMode="External"/><Relationship Id="rId32" Type="http://schemas.openxmlformats.org/officeDocument/2006/relationships/hyperlink" Target="http://nspkipws.service.gc.ca/gm/folder-1.11.316746?mode=EU" TargetMode="External"/><Relationship Id="rId37" Type="http://schemas.openxmlformats.org/officeDocument/2006/relationships/image" Target="media/image1.emf"/><Relationship Id="rId40" Type="http://schemas.openxmlformats.org/officeDocument/2006/relationships/hyperlink" Target="https://iservice.prv/eng/imit/catalogue/dig-elec-signatures/digital/index.shtml" TargetMode="External"/><Relationship Id="rId45" Type="http://schemas.openxmlformats.org/officeDocument/2006/relationships/header" Target="header2.xm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nspkipws.service.gc.ca/gm/folder-1.11.234390?mode=EU&amp;originalContext=1.11.201013" TargetMode="External"/><Relationship Id="rId23" Type="http://schemas.openxmlformats.org/officeDocument/2006/relationships/hyperlink" Target="http://nspkipws.service.gc.ca/gm/folder-1.11.3703?mode=EU&amp;originalContext=1.11.199336" TargetMode="External"/><Relationship Id="rId28" Type="http://schemas.openxmlformats.org/officeDocument/2006/relationships/hyperlink" Target="http://nspkipws.service.gc.ca/gm/folder-1.11.3520?mode=EU&amp;originalContext=1.11.201012" TargetMode="External"/><Relationship Id="rId36" Type="http://schemas.openxmlformats.org/officeDocument/2006/relationships/hyperlink" Target="http://dialogue/grp/learning-apprentissage/Shared%20Documents/CLG-POL-Guidelines-LIF-Mgmt-Jun2019-EN.pptx" TargetMode="External"/><Relationship Id="rId49" Type="http://schemas.openxmlformats.org/officeDocument/2006/relationships/hyperlink" Target="http://nspkipws.service.gc.ca/gm/folder-1.11.197275?mode=EU" TargetMode="External"/><Relationship Id="rId10" Type="http://schemas.openxmlformats.org/officeDocument/2006/relationships/endnotes" Target="endnotes.xml"/><Relationship Id="rId19" Type="http://schemas.openxmlformats.org/officeDocument/2006/relationships/hyperlink" Target="http://nspkipws.service.gc.ca/gm/folder-1.11.3655?mode=EU&amp;originalContext=1.11.199336" TargetMode="External"/><Relationship Id="rId31" Type="http://schemas.openxmlformats.org/officeDocument/2006/relationships/hyperlink" Target="https://dialogue/grp/dfcu-ucfm/FCM_GCF_2122/FCM_GL_Commit_EN.pdf" TargetMode="External"/><Relationship Id="rId44" Type="http://schemas.openxmlformats.org/officeDocument/2006/relationships/footer" Target="footer2.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spkipws.service.gc.ca/gm/folder-1.11.234382?mode=EU&amp;originalContext=1.11.201013" TargetMode="External"/><Relationship Id="rId22" Type="http://schemas.openxmlformats.org/officeDocument/2006/relationships/hyperlink" Target="http://nspkipws.service.gc.ca/gm/folder-1.11.3500?mode=EU&amp;originalContext=1.11.199336" TargetMode="External"/><Relationship Id="rId27" Type="http://schemas.openxmlformats.org/officeDocument/2006/relationships/hyperlink" Target="https://dialogue/grp/dfcu-ucfm/FCM_GCF_2122/FCM_GL_Commit_EN.pdf" TargetMode="External"/><Relationship Id="rId30" Type="http://schemas.openxmlformats.org/officeDocument/2006/relationships/hyperlink" Target="http://nspkipws.service.gc.ca/gm/folder-1.11.3683?mode=EU&amp;originalContext=1.11.201012" TargetMode="External"/><Relationship Id="rId35" Type="http://schemas.openxmlformats.org/officeDocument/2006/relationships/hyperlink" Target="http://dialogue/grp/learning-apprentissage/Shared%20Documents/CLG-POL-LIF-Allowable-Bil.pdf" TargetMode="External"/><Relationship Id="rId43" Type="http://schemas.openxmlformats.org/officeDocument/2006/relationships/footer" Target="footer1.xml"/><Relationship Id="rId48" Type="http://schemas.openxmlformats.org/officeDocument/2006/relationships/hyperlink" Target="https://masge-myems.service.gc.ca/irj/portal" TargetMode="External"/><Relationship Id="rId8" Type="http://schemas.openxmlformats.org/officeDocument/2006/relationships/webSettings" Target="webSettings.xml"/><Relationship Id="rId51" Type="http://schemas.openxmlformats.org/officeDocument/2006/relationships/hyperlink" Target="mailto:NC-Forecasting-Mailb@hrdc-drhc.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dialogue/grp/EUS-SU/LibClient/HRSDC-Templates_Modeles-RHDCC/Corporate/Template%20-%20Labour_Travail/TEMPLATE%20LETTER_Labour_EN.dotx" TargetMode="External"/></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4E70C-4291-4A4D-8DD1-F2293CC9F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01BC16-8073-489D-ACE5-5DEBFF1C4328}">
  <ds:schemaRefs>
    <ds:schemaRef ds:uri="http://schemas.microsoft.com/office/2006/metadata/properties"/>
    <ds:schemaRef ds:uri="4f810ac0-7940-4b47-8510-ccc18747f341"/>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eabe285-28c2-4b4a-a8cd-631679229c94"/>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C84D24A1-AEB4-4E28-9372-04A27D615826}">
  <ds:schemaRefs>
    <ds:schemaRef ds:uri="http://schemas.microsoft.com/sharepoint/v3/contenttype/forms"/>
  </ds:schemaRefs>
</ds:datastoreItem>
</file>

<file path=customXml/itemProps4.xml><?xml version="1.0" encoding="utf-8"?>
<ds:datastoreItem xmlns:ds="http://schemas.openxmlformats.org/officeDocument/2006/customXml" ds:itemID="{130631F0-ABDA-4080-8244-463B75C5E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TEMPLATE%20LETTER_Labour_EN.dotx</Template>
  <TotalTime>0</TotalTime>
  <Pages>34</Pages>
  <Words>9630</Words>
  <Characters>54892</Characters>
  <Application>Microsoft Office Word</Application>
  <DocSecurity>4</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HRSDC</Company>
  <LinksUpToDate>false</LinksUpToDate>
  <CharactersWithSpaces>64394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Perrier, Melanie M [NC]</dc:creator>
  <cp:keywords/>
  <dc:description/>
  <cp:lastModifiedBy>Gervais, Kevin KL [NC]</cp:lastModifiedBy>
  <cp:revision>2</cp:revision>
  <cp:lastPrinted>2019-05-13T19:07:00Z</cp:lastPrinted>
  <dcterms:created xsi:type="dcterms:W3CDTF">2021-05-20T18:05:00Z</dcterms:created>
  <dcterms:modified xsi:type="dcterms:W3CDTF">2021-05-20T18:05:00Z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0x0101040003A63F095AE43C418C5EB8D418AD87E4008A2F70CE93A5824AB942A768F5BED4E8</vt:lpwstr>
  </property>
  <property fmtid="{D5CDD505-2E9C-101B-9397-08002B2CF9AE}" pid="5" name="WorkflowChangePath">
    <vt:lpwstr>7ab30019-3554-4919-b6f6-c90dc74a1bdf,4;</vt:lpwstr>
  </property>
</Properties>
</file>