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8124F" w14:textId="77777777" w:rsidR="00E93AAD" w:rsidRDefault="00E93AAD" w:rsidP="00F05AB6">
      <w:pPr>
        <w:pStyle w:val="Default"/>
        <w:jc w:val="center"/>
        <w:rPr>
          <w:b/>
          <w:bCs/>
          <w:sz w:val="23"/>
          <w:szCs w:val="23"/>
          <w:lang w:val="fr-CA"/>
        </w:rPr>
      </w:pPr>
    </w:p>
    <w:p w14:paraId="02C340D6" w14:textId="77777777" w:rsidR="00E93AAD" w:rsidRDefault="00E93AAD" w:rsidP="00F05AB6">
      <w:pPr>
        <w:pStyle w:val="Default"/>
        <w:jc w:val="center"/>
        <w:rPr>
          <w:b/>
          <w:bCs/>
          <w:sz w:val="23"/>
          <w:szCs w:val="23"/>
          <w:lang w:val="fr-CA"/>
        </w:rPr>
      </w:pPr>
    </w:p>
    <w:p w14:paraId="179B06F2" w14:textId="77777777" w:rsidR="004970AA" w:rsidRDefault="004970AA" w:rsidP="00F05AB6">
      <w:pPr>
        <w:pStyle w:val="Default"/>
        <w:jc w:val="center"/>
        <w:rPr>
          <w:b/>
          <w:bCs/>
          <w:sz w:val="23"/>
          <w:szCs w:val="23"/>
          <w:lang w:val="fr-CA"/>
        </w:rPr>
      </w:pPr>
    </w:p>
    <w:p w14:paraId="3166240B" w14:textId="77777777" w:rsidR="00F05AB6" w:rsidRPr="00F05AB6" w:rsidRDefault="00F05AB6" w:rsidP="00F05AB6">
      <w:pPr>
        <w:pStyle w:val="Default"/>
        <w:jc w:val="center"/>
        <w:rPr>
          <w:sz w:val="23"/>
          <w:szCs w:val="23"/>
          <w:lang w:val="fr-CA"/>
        </w:rPr>
      </w:pPr>
      <w:r w:rsidRPr="00F05AB6">
        <w:rPr>
          <w:b/>
          <w:bCs/>
          <w:sz w:val="23"/>
          <w:szCs w:val="23"/>
          <w:lang w:val="fr-CA"/>
        </w:rPr>
        <w:t>OATH OR SOLEMN AFFIRMATION /</w:t>
      </w:r>
    </w:p>
    <w:p w14:paraId="36819855" w14:textId="77777777" w:rsidR="00F05AB6" w:rsidRDefault="00F05AB6" w:rsidP="00F05AB6">
      <w:pPr>
        <w:pStyle w:val="Default"/>
        <w:jc w:val="center"/>
        <w:rPr>
          <w:b/>
          <w:bCs/>
          <w:sz w:val="23"/>
          <w:szCs w:val="23"/>
          <w:lang w:val="fr-CA"/>
        </w:rPr>
      </w:pPr>
      <w:r w:rsidRPr="00F05AB6">
        <w:rPr>
          <w:b/>
          <w:bCs/>
          <w:sz w:val="23"/>
          <w:szCs w:val="23"/>
          <w:lang w:val="fr-CA"/>
        </w:rPr>
        <w:t>SERMENT OU AFFIRMATION SOLENNELLE</w:t>
      </w:r>
    </w:p>
    <w:p w14:paraId="24BDC2A8" w14:textId="77777777" w:rsidR="00F05AB6" w:rsidRDefault="00F05AB6" w:rsidP="00F05AB6">
      <w:pPr>
        <w:pStyle w:val="Default"/>
        <w:jc w:val="center"/>
        <w:rPr>
          <w:b/>
          <w:bCs/>
          <w:sz w:val="23"/>
          <w:szCs w:val="23"/>
          <w:lang w:val="fr-CA"/>
        </w:rPr>
      </w:pPr>
      <w:r w:rsidRPr="00F05AB6">
        <w:rPr>
          <w:b/>
          <w:bCs/>
          <w:sz w:val="23"/>
          <w:szCs w:val="23"/>
          <w:lang w:val="fr-CA"/>
        </w:rPr>
        <w:t>Instructions / Directives</w:t>
      </w:r>
    </w:p>
    <w:p w14:paraId="1EE16F57" w14:textId="77777777" w:rsidR="00F05AB6" w:rsidRPr="00F05AB6" w:rsidRDefault="00F05AB6" w:rsidP="00AC58BF">
      <w:pPr>
        <w:pStyle w:val="Default"/>
        <w:rPr>
          <w:sz w:val="23"/>
          <w:szCs w:val="23"/>
          <w:lang w:val="fr-CA"/>
        </w:rPr>
      </w:pPr>
    </w:p>
    <w:tbl>
      <w:tblPr>
        <w:tblW w:w="11250" w:type="dxa"/>
        <w:tblInd w:w="-92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431"/>
        <w:gridCol w:w="5819"/>
      </w:tblGrid>
      <w:tr w:rsidR="00F05AB6" w:rsidRPr="00857C7B" w14:paraId="7FBA5C5C" w14:textId="77777777" w:rsidTr="0049182C">
        <w:trPr>
          <w:trHeight w:val="3421"/>
        </w:trPr>
        <w:tc>
          <w:tcPr>
            <w:tcW w:w="5431" w:type="dxa"/>
          </w:tcPr>
          <w:p w14:paraId="49791AF2" w14:textId="77777777" w:rsidR="00A0567D" w:rsidRDefault="00F05AB6" w:rsidP="00A0567D">
            <w:pPr>
              <w:pStyle w:val="Default"/>
              <w:rPr>
                <w:color w:val="auto"/>
                <w:sz w:val="22"/>
                <w:szCs w:val="22"/>
              </w:rPr>
            </w:pPr>
            <w:r w:rsidRPr="0089013F">
              <w:rPr>
                <w:rFonts w:ascii="Wingdings" w:hAnsi="Wingdings" w:cs="Wingdings"/>
                <w:color w:val="auto"/>
                <w:sz w:val="22"/>
                <w:szCs w:val="22"/>
              </w:rPr>
              <w:t></w:t>
            </w:r>
            <w:r w:rsidRPr="0089013F">
              <w:rPr>
                <w:rFonts w:ascii="Wingdings" w:hAnsi="Wingdings" w:cs="Wingdings"/>
                <w:color w:val="auto"/>
                <w:sz w:val="22"/>
                <w:szCs w:val="22"/>
              </w:rPr>
              <w:t></w:t>
            </w:r>
            <w:r w:rsidR="00A0567D">
              <w:t xml:space="preserve"> </w:t>
            </w:r>
            <w:r w:rsidR="00A0567D">
              <w:rPr>
                <w:color w:val="auto"/>
                <w:sz w:val="22"/>
                <w:szCs w:val="22"/>
              </w:rPr>
              <w:t xml:space="preserve">The </w:t>
            </w:r>
            <w:hyperlink r:id="rId8" w:history="1">
              <w:r w:rsidR="00A0567D" w:rsidRPr="00857C7B">
                <w:rPr>
                  <w:rStyle w:val="Hyperlink"/>
                  <w:sz w:val="22"/>
                  <w:szCs w:val="22"/>
                  <w:lang w:val="fr-CA"/>
                </w:rPr>
                <w:t>Oath or Solemn Affirmation</w:t>
              </w:r>
            </w:hyperlink>
            <w:r w:rsidR="00A0567D">
              <w:rPr>
                <w:color w:val="auto"/>
                <w:sz w:val="22"/>
                <w:szCs w:val="22"/>
              </w:rPr>
              <w:t xml:space="preserve"> must be administered in a private setting in person or by </w:t>
            </w:r>
            <w:proofErr w:type="gramStart"/>
            <w:r w:rsidR="00A0567D">
              <w:rPr>
                <w:color w:val="auto"/>
                <w:sz w:val="22"/>
                <w:szCs w:val="22"/>
              </w:rPr>
              <w:t>video-conference</w:t>
            </w:r>
            <w:proofErr w:type="gramEnd"/>
            <w:r w:rsidR="00A0567D">
              <w:rPr>
                <w:color w:val="auto"/>
                <w:sz w:val="22"/>
                <w:szCs w:val="22"/>
              </w:rPr>
              <w:t>, Skype, FaceTime etc</w:t>
            </w:r>
            <w:r w:rsidR="00A0567D" w:rsidRPr="00061DD9">
              <w:rPr>
                <w:color w:val="auto"/>
                <w:sz w:val="22"/>
                <w:szCs w:val="22"/>
              </w:rPr>
              <w:t>., by the direct supervisor</w:t>
            </w:r>
            <w:r w:rsidR="00A0567D">
              <w:rPr>
                <w:color w:val="auto"/>
                <w:sz w:val="22"/>
                <w:szCs w:val="22"/>
              </w:rPr>
              <w:t xml:space="preserve"> (as per the </w:t>
            </w:r>
            <w:hyperlink r:id="rId9" w:history="1">
              <w:r w:rsidR="00A0567D" w:rsidRPr="00857C7B">
                <w:rPr>
                  <w:rStyle w:val="Hyperlink"/>
                  <w:sz w:val="22"/>
                  <w:szCs w:val="22"/>
                  <w:lang w:val="fr-CA"/>
                </w:rPr>
                <w:t>ESDC Table of Human Resources Authorities</w:t>
              </w:r>
            </w:hyperlink>
            <w:r w:rsidR="00A0567D">
              <w:rPr>
                <w:color w:val="auto"/>
                <w:sz w:val="22"/>
                <w:szCs w:val="22"/>
              </w:rPr>
              <w:t>). If the direct supervisor is not available, it may be administered by an employee assigned by management (level 6 or higher for a non-EX position or Level 3 or higher for an EX position) or a Human Resources Consultant.  </w:t>
            </w:r>
          </w:p>
          <w:p w14:paraId="460B948C" w14:textId="77777777" w:rsidR="00F05AB6" w:rsidRPr="0089013F" w:rsidRDefault="00F05AB6">
            <w:pPr>
              <w:pStyle w:val="Default"/>
              <w:rPr>
                <w:color w:val="auto"/>
                <w:sz w:val="22"/>
                <w:szCs w:val="22"/>
              </w:rPr>
            </w:pPr>
          </w:p>
          <w:p w14:paraId="454EA882" w14:textId="77777777" w:rsidR="00F05AB6" w:rsidRPr="0089013F" w:rsidRDefault="00F05AB6">
            <w:pPr>
              <w:pStyle w:val="Default"/>
              <w:rPr>
                <w:color w:val="auto"/>
                <w:sz w:val="22"/>
                <w:szCs w:val="22"/>
              </w:rPr>
            </w:pPr>
            <w:r w:rsidRPr="0089013F">
              <w:rPr>
                <w:rFonts w:ascii="Wingdings" w:hAnsi="Wingdings" w:cs="Wingdings"/>
                <w:color w:val="auto"/>
                <w:sz w:val="22"/>
                <w:szCs w:val="22"/>
              </w:rPr>
              <w:t></w:t>
            </w:r>
            <w:r w:rsidRPr="0089013F">
              <w:rPr>
                <w:rFonts w:ascii="Wingdings" w:hAnsi="Wingdings" w:cs="Wingdings"/>
                <w:color w:val="auto"/>
                <w:sz w:val="22"/>
                <w:szCs w:val="22"/>
              </w:rPr>
              <w:t></w:t>
            </w:r>
            <w:r w:rsidRPr="0089013F">
              <w:rPr>
                <w:color w:val="auto"/>
                <w:sz w:val="22"/>
                <w:szCs w:val="22"/>
              </w:rPr>
              <w:t xml:space="preserve">It </w:t>
            </w:r>
            <w:proofErr w:type="gramStart"/>
            <w:r w:rsidRPr="0089013F">
              <w:rPr>
                <w:b/>
                <w:bCs/>
                <w:color w:val="auto"/>
                <w:sz w:val="22"/>
                <w:szCs w:val="22"/>
              </w:rPr>
              <w:t xml:space="preserve">MUST </w:t>
            </w:r>
            <w:r w:rsidRPr="0089013F">
              <w:rPr>
                <w:color w:val="auto"/>
                <w:sz w:val="22"/>
                <w:szCs w:val="22"/>
              </w:rPr>
              <w:t>be administered</w:t>
            </w:r>
            <w:proofErr w:type="gramEnd"/>
            <w:r w:rsidRPr="0089013F">
              <w:rPr>
                <w:color w:val="auto"/>
                <w:sz w:val="22"/>
                <w:szCs w:val="22"/>
              </w:rPr>
              <w:t xml:space="preserve"> </w:t>
            </w:r>
            <w:r w:rsidRPr="0089013F">
              <w:rPr>
                <w:b/>
                <w:bCs/>
                <w:color w:val="auto"/>
                <w:sz w:val="22"/>
                <w:szCs w:val="22"/>
              </w:rPr>
              <w:t xml:space="preserve">BEFORE </w:t>
            </w:r>
            <w:r w:rsidRPr="0089013F">
              <w:rPr>
                <w:color w:val="auto"/>
                <w:sz w:val="22"/>
                <w:szCs w:val="22"/>
              </w:rPr>
              <w:t xml:space="preserve">the </w:t>
            </w:r>
            <w:r w:rsidR="008F2DD5">
              <w:rPr>
                <w:color w:val="auto"/>
                <w:sz w:val="22"/>
                <w:szCs w:val="22"/>
              </w:rPr>
              <w:t xml:space="preserve">start date </w:t>
            </w:r>
            <w:r w:rsidR="008301EE">
              <w:rPr>
                <w:color w:val="auto"/>
                <w:sz w:val="22"/>
                <w:szCs w:val="22"/>
              </w:rPr>
              <w:t xml:space="preserve">or </w:t>
            </w:r>
            <w:r w:rsidR="008301EE" w:rsidRPr="008301EE">
              <w:rPr>
                <w:b/>
                <w:color w:val="auto"/>
                <w:sz w:val="22"/>
                <w:szCs w:val="22"/>
              </w:rPr>
              <w:t xml:space="preserve">AT THE LATEST </w:t>
            </w:r>
            <w:r w:rsidR="008F2DD5" w:rsidRPr="009C604F">
              <w:rPr>
                <w:color w:val="auto"/>
                <w:sz w:val="22"/>
                <w:szCs w:val="22"/>
              </w:rPr>
              <w:t>on</w:t>
            </w:r>
            <w:r w:rsidR="008301EE" w:rsidRPr="008301EE">
              <w:rPr>
                <w:bCs/>
                <w:color w:val="auto"/>
                <w:sz w:val="22"/>
                <w:szCs w:val="22"/>
              </w:rPr>
              <w:t xml:space="preserve"> the first day</w:t>
            </w:r>
            <w:r w:rsidR="008F2DD5">
              <w:rPr>
                <w:bCs/>
                <w:color w:val="auto"/>
                <w:sz w:val="22"/>
                <w:szCs w:val="22"/>
              </w:rPr>
              <w:t xml:space="preserve"> of work</w:t>
            </w:r>
            <w:r w:rsidRPr="008301EE">
              <w:rPr>
                <w:color w:val="auto"/>
                <w:sz w:val="22"/>
                <w:szCs w:val="22"/>
              </w:rPr>
              <w:t>.</w:t>
            </w:r>
            <w:r w:rsidRPr="0089013F">
              <w:rPr>
                <w:color w:val="auto"/>
                <w:sz w:val="22"/>
                <w:szCs w:val="22"/>
              </w:rPr>
              <w:t xml:space="preserve"> </w:t>
            </w:r>
          </w:p>
          <w:p w14:paraId="75A36169" w14:textId="77777777" w:rsidR="008301EE" w:rsidRPr="0089013F" w:rsidRDefault="008301EE">
            <w:pPr>
              <w:pStyle w:val="Default"/>
              <w:rPr>
                <w:color w:val="auto"/>
                <w:sz w:val="22"/>
                <w:szCs w:val="22"/>
              </w:rPr>
            </w:pPr>
          </w:p>
          <w:p w14:paraId="17DCDF59" w14:textId="77777777" w:rsidR="00AA4FA7" w:rsidRPr="0089013F" w:rsidRDefault="00F05AB6" w:rsidP="00AA4FA7">
            <w:pPr>
              <w:pStyle w:val="Default"/>
              <w:rPr>
                <w:bCs/>
                <w:color w:val="auto"/>
                <w:sz w:val="22"/>
                <w:szCs w:val="22"/>
              </w:rPr>
            </w:pPr>
            <w:r w:rsidRPr="0089013F">
              <w:rPr>
                <w:rFonts w:ascii="Wingdings" w:hAnsi="Wingdings" w:cs="Wingdings"/>
                <w:color w:val="auto"/>
                <w:sz w:val="22"/>
                <w:szCs w:val="22"/>
              </w:rPr>
              <w:t></w:t>
            </w:r>
            <w:r w:rsidRPr="0089013F">
              <w:rPr>
                <w:rFonts w:ascii="Wingdings" w:hAnsi="Wingdings" w:cs="Wingdings"/>
                <w:color w:val="auto"/>
                <w:sz w:val="22"/>
                <w:szCs w:val="22"/>
              </w:rPr>
              <w:t></w:t>
            </w:r>
            <w:r w:rsidR="00AA4FA7" w:rsidRPr="0089013F">
              <w:rPr>
                <w:bCs/>
                <w:color w:val="auto"/>
                <w:sz w:val="22"/>
                <w:szCs w:val="22"/>
              </w:rPr>
              <w:t xml:space="preserve">In accordance with section 54 of the </w:t>
            </w:r>
            <w:r w:rsidR="00AA4FA7" w:rsidRPr="0089013F">
              <w:rPr>
                <w:bCs/>
                <w:i/>
                <w:color w:val="auto"/>
                <w:sz w:val="22"/>
                <w:szCs w:val="22"/>
              </w:rPr>
              <w:t>Public Service Employment Act</w:t>
            </w:r>
            <w:r w:rsidR="00AA4FA7" w:rsidRPr="0089013F">
              <w:rPr>
                <w:bCs/>
                <w:color w:val="auto"/>
                <w:sz w:val="22"/>
                <w:szCs w:val="22"/>
              </w:rPr>
              <w:t xml:space="preserve"> the following persons must subscribe and signed an oath or affirmation as a condition of employment on the agreed date in writing by the Deputy Minister of ESDC (or the delegated supervisor as per the ESDC Table of Authorities) and the person who will be appointed or deployed:</w:t>
            </w:r>
          </w:p>
          <w:p w14:paraId="0F7129E2" w14:textId="77777777" w:rsidR="00AA4FA7" w:rsidRPr="0089013F" w:rsidRDefault="00AA4FA7" w:rsidP="00487C9B">
            <w:pPr>
              <w:pStyle w:val="Default"/>
              <w:numPr>
                <w:ilvl w:val="0"/>
                <w:numId w:val="4"/>
              </w:numPr>
              <w:rPr>
                <w:bCs/>
                <w:color w:val="auto"/>
                <w:sz w:val="22"/>
                <w:szCs w:val="22"/>
              </w:rPr>
            </w:pPr>
            <w:r w:rsidRPr="0089013F">
              <w:rPr>
                <w:bCs/>
                <w:color w:val="auto"/>
                <w:sz w:val="22"/>
                <w:szCs w:val="22"/>
              </w:rPr>
              <w:t xml:space="preserve">Any person </w:t>
            </w:r>
            <w:r w:rsidR="00487C9B" w:rsidRPr="0089013F">
              <w:rPr>
                <w:bCs/>
                <w:color w:val="auto"/>
                <w:sz w:val="22"/>
                <w:szCs w:val="22"/>
              </w:rPr>
              <w:t xml:space="preserve">being </w:t>
            </w:r>
            <w:r w:rsidRPr="0089013F">
              <w:rPr>
                <w:bCs/>
                <w:color w:val="auto"/>
                <w:sz w:val="22"/>
                <w:szCs w:val="22"/>
              </w:rPr>
              <w:t>appoint</w:t>
            </w:r>
            <w:r w:rsidR="000044C8">
              <w:rPr>
                <w:bCs/>
                <w:color w:val="auto"/>
                <w:sz w:val="22"/>
                <w:szCs w:val="22"/>
              </w:rPr>
              <w:t>ed</w:t>
            </w:r>
            <w:r w:rsidRPr="0089013F">
              <w:rPr>
                <w:bCs/>
                <w:color w:val="auto"/>
                <w:sz w:val="22"/>
                <w:szCs w:val="22"/>
              </w:rPr>
              <w:t xml:space="preserve"> </w:t>
            </w:r>
            <w:r w:rsidR="00242BE6" w:rsidRPr="0089013F">
              <w:rPr>
                <w:bCs/>
                <w:color w:val="auto"/>
                <w:sz w:val="22"/>
                <w:szCs w:val="22"/>
              </w:rPr>
              <w:t xml:space="preserve">from </w:t>
            </w:r>
            <w:r w:rsidRPr="0089013F">
              <w:rPr>
                <w:bCs/>
                <w:color w:val="auto"/>
                <w:sz w:val="22"/>
                <w:szCs w:val="22"/>
              </w:rPr>
              <w:t>outside the public service;</w:t>
            </w:r>
          </w:p>
          <w:p w14:paraId="036080B2" w14:textId="77777777" w:rsidR="00AA4FA7" w:rsidRPr="0089013F" w:rsidRDefault="00AA4FA7" w:rsidP="00991432">
            <w:pPr>
              <w:pStyle w:val="Default"/>
              <w:numPr>
                <w:ilvl w:val="0"/>
                <w:numId w:val="4"/>
              </w:numPr>
              <w:rPr>
                <w:bCs/>
                <w:color w:val="auto"/>
                <w:sz w:val="22"/>
                <w:szCs w:val="22"/>
              </w:rPr>
            </w:pPr>
            <w:r w:rsidRPr="0089013F">
              <w:rPr>
                <w:bCs/>
                <w:color w:val="auto"/>
                <w:sz w:val="22"/>
                <w:szCs w:val="22"/>
              </w:rPr>
              <w:t>Every person appoint</w:t>
            </w:r>
            <w:r w:rsidR="000044C8">
              <w:rPr>
                <w:bCs/>
                <w:color w:val="auto"/>
                <w:sz w:val="22"/>
                <w:szCs w:val="22"/>
              </w:rPr>
              <w:t>ed</w:t>
            </w:r>
            <w:r w:rsidRPr="0089013F">
              <w:rPr>
                <w:bCs/>
                <w:color w:val="auto"/>
                <w:sz w:val="22"/>
                <w:szCs w:val="22"/>
              </w:rPr>
              <w:t xml:space="preserve"> or deployed from outside the </w:t>
            </w:r>
            <w:r w:rsidR="00487C9B" w:rsidRPr="0089013F">
              <w:rPr>
                <w:bCs/>
                <w:color w:val="auto"/>
                <w:sz w:val="22"/>
                <w:szCs w:val="22"/>
              </w:rPr>
              <w:t xml:space="preserve">Public </w:t>
            </w:r>
            <w:r w:rsidR="00A338C7" w:rsidRPr="0089013F">
              <w:rPr>
                <w:bCs/>
                <w:color w:val="auto"/>
                <w:sz w:val="22"/>
                <w:szCs w:val="22"/>
              </w:rPr>
              <w:t>S</w:t>
            </w:r>
            <w:r w:rsidRPr="0089013F">
              <w:rPr>
                <w:bCs/>
                <w:color w:val="auto"/>
                <w:sz w:val="22"/>
                <w:szCs w:val="22"/>
              </w:rPr>
              <w:t xml:space="preserve">ervice </w:t>
            </w:r>
            <w:r w:rsidR="00991432" w:rsidRPr="0089013F">
              <w:rPr>
                <w:bCs/>
                <w:color w:val="auto"/>
                <w:sz w:val="22"/>
                <w:szCs w:val="22"/>
              </w:rPr>
              <w:t>in which the Public Service Commission has exclusive authority to make appointments</w:t>
            </w:r>
            <w:r w:rsidRPr="0089013F">
              <w:rPr>
                <w:bCs/>
                <w:color w:val="auto"/>
                <w:sz w:val="22"/>
                <w:szCs w:val="22"/>
              </w:rPr>
              <w:t>;</w:t>
            </w:r>
          </w:p>
          <w:p w14:paraId="2835EBFB" w14:textId="77777777" w:rsidR="00F05AB6" w:rsidRPr="0089013F" w:rsidRDefault="00AA4FA7" w:rsidP="00487C9B">
            <w:pPr>
              <w:pStyle w:val="Default"/>
              <w:numPr>
                <w:ilvl w:val="0"/>
                <w:numId w:val="4"/>
              </w:numPr>
              <w:rPr>
                <w:bCs/>
                <w:color w:val="auto"/>
                <w:sz w:val="22"/>
                <w:szCs w:val="22"/>
              </w:rPr>
            </w:pPr>
            <w:r w:rsidRPr="0089013F">
              <w:rPr>
                <w:bCs/>
                <w:color w:val="auto"/>
                <w:sz w:val="22"/>
                <w:szCs w:val="22"/>
              </w:rPr>
              <w:t xml:space="preserve">All students (including initial </w:t>
            </w:r>
            <w:r w:rsidR="00487C9B" w:rsidRPr="0089013F">
              <w:rPr>
                <w:bCs/>
                <w:color w:val="auto"/>
                <w:sz w:val="22"/>
                <w:szCs w:val="22"/>
              </w:rPr>
              <w:t xml:space="preserve">employment </w:t>
            </w:r>
            <w:r w:rsidRPr="0089013F">
              <w:rPr>
                <w:bCs/>
                <w:color w:val="auto"/>
                <w:sz w:val="22"/>
                <w:szCs w:val="22"/>
              </w:rPr>
              <w:t>and re</w:t>
            </w:r>
            <w:r w:rsidR="00487C9B" w:rsidRPr="0089013F">
              <w:rPr>
                <w:bCs/>
                <w:color w:val="auto"/>
                <w:sz w:val="22"/>
                <w:szCs w:val="22"/>
              </w:rPr>
              <w:t>-employment</w:t>
            </w:r>
            <w:r w:rsidRPr="0089013F">
              <w:rPr>
                <w:bCs/>
                <w:color w:val="auto"/>
                <w:sz w:val="22"/>
                <w:szCs w:val="22"/>
              </w:rPr>
              <w:t xml:space="preserve"> following </w:t>
            </w:r>
            <w:r w:rsidR="00242BE6" w:rsidRPr="0089013F">
              <w:rPr>
                <w:bCs/>
                <w:color w:val="auto"/>
                <w:sz w:val="22"/>
                <w:szCs w:val="22"/>
              </w:rPr>
              <w:t xml:space="preserve">a break in service of </w:t>
            </w:r>
            <w:r w:rsidRPr="0089013F">
              <w:rPr>
                <w:bCs/>
                <w:color w:val="auto"/>
                <w:sz w:val="22"/>
                <w:szCs w:val="22"/>
              </w:rPr>
              <w:t xml:space="preserve">a </w:t>
            </w:r>
            <w:r w:rsidR="000044C8" w:rsidRPr="0089013F">
              <w:rPr>
                <w:bCs/>
                <w:color w:val="auto"/>
                <w:sz w:val="22"/>
                <w:szCs w:val="22"/>
              </w:rPr>
              <w:t>workday</w:t>
            </w:r>
            <w:r w:rsidR="005B3BF3" w:rsidRPr="0089013F">
              <w:rPr>
                <w:bCs/>
                <w:color w:val="auto"/>
                <w:sz w:val="22"/>
                <w:szCs w:val="22"/>
              </w:rPr>
              <w:t xml:space="preserve"> or more</w:t>
            </w:r>
            <w:r w:rsidRPr="0089013F">
              <w:rPr>
                <w:bCs/>
                <w:color w:val="auto"/>
                <w:sz w:val="22"/>
                <w:szCs w:val="22"/>
              </w:rPr>
              <w:t>)</w:t>
            </w:r>
            <w:r w:rsidR="00D020D7">
              <w:rPr>
                <w:bCs/>
                <w:color w:val="auto"/>
                <w:sz w:val="22"/>
                <w:szCs w:val="22"/>
              </w:rPr>
              <w:t>.</w:t>
            </w:r>
          </w:p>
          <w:p w14:paraId="37AAC251" w14:textId="77777777" w:rsidR="009C604F" w:rsidRPr="0089013F" w:rsidRDefault="009C604F" w:rsidP="00AA4FA7">
            <w:pPr>
              <w:pStyle w:val="Default"/>
              <w:rPr>
                <w:color w:val="auto"/>
                <w:sz w:val="22"/>
                <w:szCs w:val="22"/>
              </w:rPr>
            </w:pPr>
          </w:p>
          <w:p w14:paraId="2CED77DE" w14:textId="77777777" w:rsidR="00F05AB6" w:rsidRPr="0089013F" w:rsidRDefault="00F05AB6">
            <w:pPr>
              <w:pStyle w:val="Default"/>
              <w:rPr>
                <w:color w:val="auto"/>
                <w:sz w:val="22"/>
                <w:szCs w:val="22"/>
              </w:rPr>
            </w:pPr>
            <w:r w:rsidRPr="0089013F">
              <w:rPr>
                <w:rFonts w:ascii="Wingdings" w:hAnsi="Wingdings" w:cs="Wingdings"/>
                <w:color w:val="auto"/>
                <w:sz w:val="23"/>
                <w:szCs w:val="23"/>
              </w:rPr>
              <w:t></w:t>
            </w:r>
            <w:r w:rsidRPr="0089013F">
              <w:rPr>
                <w:rFonts w:ascii="Wingdings" w:hAnsi="Wingdings" w:cs="Wingdings"/>
                <w:color w:val="auto"/>
                <w:sz w:val="23"/>
                <w:szCs w:val="23"/>
              </w:rPr>
              <w:t></w:t>
            </w:r>
            <w:r w:rsidRPr="0089013F">
              <w:rPr>
                <w:color w:val="auto"/>
                <w:sz w:val="22"/>
                <w:szCs w:val="22"/>
              </w:rPr>
              <w:t xml:space="preserve">The appointee or the proposed appointee </w:t>
            </w:r>
            <w:r w:rsidR="00407A5F" w:rsidRPr="0089013F">
              <w:rPr>
                <w:b/>
                <w:color w:val="auto"/>
                <w:sz w:val="22"/>
                <w:szCs w:val="22"/>
              </w:rPr>
              <w:t>MUST</w:t>
            </w:r>
            <w:r w:rsidR="00407A5F" w:rsidRPr="0089013F">
              <w:rPr>
                <w:color w:val="auto"/>
                <w:sz w:val="22"/>
                <w:szCs w:val="22"/>
              </w:rPr>
              <w:t xml:space="preserve"> </w:t>
            </w:r>
            <w:r w:rsidRPr="0089013F">
              <w:rPr>
                <w:color w:val="auto"/>
                <w:sz w:val="22"/>
                <w:szCs w:val="22"/>
              </w:rPr>
              <w:t xml:space="preserve">say the Oath </w:t>
            </w:r>
            <w:r w:rsidRPr="0089013F">
              <w:rPr>
                <w:b/>
                <w:bCs/>
                <w:color w:val="auto"/>
                <w:sz w:val="22"/>
                <w:szCs w:val="22"/>
              </w:rPr>
              <w:t xml:space="preserve">OR </w:t>
            </w:r>
            <w:r w:rsidRPr="0089013F">
              <w:rPr>
                <w:color w:val="auto"/>
                <w:sz w:val="22"/>
                <w:szCs w:val="22"/>
              </w:rPr>
              <w:t xml:space="preserve">Solemn Affirmation </w:t>
            </w:r>
            <w:r w:rsidR="00407A5F" w:rsidRPr="0089013F">
              <w:rPr>
                <w:color w:val="auto"/>
                <w:sz w:val="22"/>
                <w:szCs w:val="22"/>
              </w:rPr>
              <w:t>and sign the form.</w:t>
            </w:r>
          </w:p>
          <w:p w14:paraId="2D1C3C58" w14:textId="77777777" w:rsidR="00F05AB6" w:rsidRPr="0089013F" w:rsidRDefault="00F05AB6">
            <w:pPr>
              <w:pStyle w:val="Default"/>
              <w:rPr>
                <w:color w:val="auto"/>
                <w:sz w:val="22"/>
                <w:szCs w:val="22"/>
              </w:rPr>
            </w:pPr>
          </w:p>
          <w:p w14:paraId="536C318D" w14:textId="767A1FB3" w:rsidR="00F05AB6" w:rsidRPr="0089013F" w:rsidRDefault="00F05AB6" w:rsidP="00F05AB6">
            <w:pPr>
              <w:pStyle w:val="Default"/>
              <w:rPr>
                <w:color w:val="auto"/>
                <w:sz w:val="22"/>
                <w:szCs w:val="22"/>
              </w:rPr>
            </w:pPr>
            <w:r w:rsidRPr="0089013F">
              <w:rPr>
                <w:rFonts w:ascii="Wingdings" w:hAnsi="Wingdings" w:cs="Wingdings"/>
                <w:color w:val="auto"/>
                <w:sz w:val="23"/>
                <w:szCs w:val="23"/>
              </w:rPr>
              <w:t></w:t>
            </w:r>
            <w:r w:rsidRPr="0089013F">
              <w:rPr>
                <w:rFonts w:ascii="Wingdings" w:hAnsi="Wingdings" w:cs="Wingdings"/>
                <w:color w:val="auto"/>
                <w:sz w:val="23"/>
                <w:szCs w:val="23"/>
              </w:rPr>
              <w:t></w:t>
            </w:r>
            <w:r w:rsidRPr="0089013F">
              <w:rPr>
                <w:color w:val="auto"/>
                <w:sz w:val="22"/>
                <w:szCs w:val="22"/>
              </w:rPr>
              <w:t xml:space="preserve">It </w:t>
            </w:r>
            <w:proofErr w:type="gramStart"/>
            <w:r w:rsidRPr="0089013F">
              <w:rPr>
                <w:color w:val="auto"/>
                <w:sz w:val="22"/>
                <w:szCs w:val="22"/>
              </w:rPr>
              <w:t>must be administered</w:t>
            </w:r>
            <w:proofErr w:type="gramEnd"/>
            <w:r w:rsidRPr="0089013F">
              <w:rPr>
                <w:color w:val="auto"/>
                <w:sz w:val="22"/>
                <w:szCs w:val="22"/>
              </w:rPr>
              <w:t xml:space="preserve"> in the person’s official language of choice and </w:t>
            </w:r>
            <w:r w:rsidR="00EF4DC9">
              <w:rPr>
                <w:color w:val="auto"/>
                <w:sz w:val="22"/>
                <w:szCs w:val="22"/>
              </w:rPr>
              <w:t>with any accommodation measures, as applicable.</w:t>
            </w:r>
          </w:p>
          <w:p w14:paraId="78B5C42A" w14:textId="77777777" w:rsidR="0049182C" w:rsidRPr="0089013F" w:rsidRDefault="0049182C" w:rsidP="00F05AB6">
            <w:pPr>
              <w:pStyle w:val="Default"/>
              <w:rPr>
                <w:color w:val="auto"/>
                <w:sz w:val="22"/>
                <w:szCs w:val="22"/>
              </w:rPr>
            </w:pPr>
          </w:p>
          <w:p w14:paraId="70336635" w14:textId="1EC3E402" w:rsidR="00F912BD" w:rsidRDefault="00F05AB6">
            <w:pPr>
              <w:pStyle w:val="Default"/>
              <w:rPr>
                <w:color w:val="auto"/>
                <w:sz w:val="22"/>
                <w:szCs w:val="22"/>
              </w:rPr>
            </w:pPr>
            <w:r w:rsidRPr="0089013F">
              <w:rPr>
                <w:rFonts w:ascii="Wingdings" w:hAnsi="Wingdings" w:cs="Wingdings"/>
                <w:color w:val="auto"/>
                <w:sz w:val="23"/>
                <w:szCs w:val="23"/>
              </w:rPr>
              <w:t></w:t>
            </w:r>
            <w:r w:rsidRPr="0089013F">
              <w:rPr>
                <w:rFonts w:ascii="Wingdings" w:hAnsi="Wingdings" w:cs="Wingdings"/>
                <w:color w:val="auto"/>
                <w:sz w:val="23"/>
                <w:szCs w:val="23"/>
              </w:rPr>
              <w:t></w:t>
            </w:r>
            <w:r w:rsidRPr="0089013F">
              <w:rPr>
                <w:color w:val="auto"/>
                <w:sz w:val="22"/>
                <w:szCs w:val="22"/>
              </w:rPr>
              <w:t xml:space="preserve">A copy </w:t>
            </w:r>
            <w:proofErr w:type="gramStart"/>
            <w:r w:rsidRPr="008301EE">
              <w:rPr>
                <w:color w:val="auto"/>
                <w:sz w:val="22"/>
                <w:szCs w:val="22"/>
                <w:u w:val="single"/>
              </w:rPr>
              <w:t>must be sent</w:t>
            </w:r>
            <w:proofErr w:type="gramEnd"/>
            <w:r w:rsidRPr="008301EE">
              <w:rPr>
                <w:color w:val="auto"/>
                <w:sz w:val="22"/>
                <w:szCs w:val="22"/>
                <w:u w:val="single"/>
              </w:rPr>
              <w:t xml:space="preserve"> </w:t>
            </w:r>
            <w:r w:rsidR="0079751C" w:rsidRPr="008301EE">
              <w:rPr>
                <w:color w:val="auto"/>
                <w:sz w:val="22"/>
                <w:szCs w:val="22"/>
                <w:u w:val="single"/>
              </w:rPr>
              <w:t xml:space="preserve">via </w:t>
            </w:r>
            <w:r w:rsidR="00767C55" w:rsidRPr="008301EE">
              <w:rPr>
                <w:color w:val="auto"/>
                <w:sz w:val="22"/>
                <w:szCs w:val="22"/>
                <w:u w:val="single"/>
              </w:rPr>
              <w:t>the</w:t>
            </w:r>
            <w:r w:rsidRPr="008301EE">
              <w:rPr>
                <w:color w:val="auto"/>
                <w:sz w:val="22"/>
                <w:szCs w:val="22"/>
                <w:u w:val="single"/>
              </w:rPr>
              <w:t xml:space="preserve"> </w:t>
            </w:r>
            <w:r w:rsidR="00767C55" w:rsidRPr="008301EE">
              <w:rPr>
                <w:color w:val="auto"/>
                <w:sz w:val="22"/>
                <w:szCs w:val="22"/>
                <w:u w:val="single"/>
              </w:rPr>
              <w:t xml:space="preserve">Human Resources Service Centre </w:t>
            </w:r>
            <w:r w:rsidR="0079751C" w:rsidRPr="008301EE">
              <w:rPr>
                <w:color w:val="auto"/>
                <w:sz w:val="22"/>
                <w:szCs w:val="22"/>
                <w:u w:val="single"/>
              </w:rPr>
              <w:t>Web Application</w:t>
            </w:r>
            <w:r w:rsidR="00EF4DC9">
              <w:rPr>
                <w:color w:val="auto"/>
                <w:sz w:val="22"/>
                <w:szCs w:val="22"/>
                <w:u w:val="single"/>
              </w:rPr>
              <w:t xml:space="preserve"> (HRSC)</w:t>
            </w:r>
            <w:r w:rsidR="0079751C" w:rsidRPr="0089013F">
              <w:rPr>
                <w:color w:val="auto"/>
                <w:sz w:val="22"/>
                <w:szCs w:val="22"/>
              </w:rPr>
              <w:t xml:space="preserve"> </w:t>
            </w:r>
            <w:r w:rsidRPr="0089013F">
              <w:rPr>
                <w:color w:val="auto"/>
                <w:sz w:val="22"/>
                <w:szCs w:val="22"/>
              </w:rPr>
              <w:t>for the staffing file</w:t>
            </w:r>
            <w:r w:rsidR="00EF4DC9">
              <w:rPr>
                <w:color w:val="auto"/>
                <w:sz w:val="22"/>
                <w:szCs w:val="22"/>
              </w:rPr>
              <w:t xml:space="preserve"> at the same time as the letter of offer</w:t>
            </w:r>
            <w:r w:rsidR="00767C55" w:rsidRPr="0089013F">
              <w:rPr>
                <w:color w:val="auto"/>
                <w:sz w:val="22"/>
                <w:szCs w:val="22"/>
              </w:rPr>
              <w:t>.</w:t>
            </w:r>
            <w:r w:rsidRPr="0089013F">
              <w:rPr>
                <w:color w:val="auto"/>
                <w:sz w:val="22"/>
                <w:szCs w:val="22"/>
              </w:rPr>
              <w:t xml:space="preserve"> </w:t>
            </w:r>
          </w:p>
          <w:p w14:paraId="7EE4EF45" w14:textId="77777777" w:rsidR="00F912BD" w:rsidRDefault="00F912BD">
            <w:pPr>
              <w:pStyle w:val="Default"/>
              <w:rPr>
                <w:color w:val="auto"/>
                <w:sz w:val="22"/>
                <w:szCs w:val="22"/>
              </w:rPr>
            </w:pPr>
          </w:p>
          <w:p w14:paraId="678E3ED9" w14:textId="77777777" w:rsidR="00C819AA" w:rsidRDefault="00920559" w:rsidP="00C819AA">
            <w:pPr>
              <w:pStyle w:val="Default"/>
              <w:rPr>
                <w:color w:val="auto"/>
                <w:sz w:val="18"/>
                <w:szCs w:val="22"/>
              </w:rPr>
            </w:pPr>
            <w:r>
              <w:rPr>
                <w:color w:val="auto"/>
                <w:sz w:val="18"/>
                <w:szCs w:val="22"/>
              </w:rPr>
              <w:t>**</w:t>
            </w:r>
            <w:r w:rsidR="00C819AA">
              <w:rPr>
                <w:color w:val="auto"/>
                <w:sz w:val="18"/>
                <w:szCs w:val="22"/>
              </w:rPr>
              <w:t>If it is impossible to administer the Oath/Solemn Affirmation before the employee’s start date, despite all the options available, it is possible to submit an “</w:t>
            </w:r>
            <w:r w:rsidR="00C819AA">
              <w:rPr>
                <w:i/>
                <w:iCs/>
                <w:color w:val="auto"/>
                <w:sz w:val="18"/>
                <w:szCs w:val="22"/>
              </w:rPr>
              <w:t>empty document</w:t>
            </w:r>
            <w:r w:rsidR="00C819AA">
              <w:rPr>
                <w:color w:val="auto"/>
                <w:sz w:val="18"/>
                <w:szCs w:val="22"/>
              </w:rPr>
              <w:t>” in lieu of the signed Oath/Solemn Affirmation in the HRSC request to avoid delays in sending the letter of offer to Compensation. On the first day, at the latest, open a new General HR Enquiry request in the HRSC to submit the signed Oath/Solemn Affirmation using the applicable category.  </w:t>
            </w:r>
          </w:p>
          <w:p w14:paraId="570DF29B" w14:textId="77777777" w:rsidR="00F912BD" w:rsidRDefault="00F912BD">
            <w:pPr>
              <w:pStyle w:val="Default"/>
              <w:rPr>
                <w:color w:val="auto"/>
                <w:sz w:val="22"/>
                <w:szCs w:val="22"/>
              </w:rPr>
            </w:pPr>
          </w:p>
          <w:p w14:paraId="1900C0F6" w14:textId="77777777" w:rsidR="00A322D1" w:rsidRDefault="00A322D1">
            <w:pPr>
              <w:pStyle w:val="Default"/>
              <w:rPr>
                <w:color w:val="auto"/>
                <w:sz w:val="22"/>
                <w:szCs w:val="22"/>
              </w:rPr>
            </w:pPr>
          </w:p>
          <w:p w14:paraId="4D21141A" w14:textId="0D4130FB" w:rsidR="009A02D4" w:rsidRPr="0089013F" w:rsidRDefault="00F05AB6">
            <w:pPr>
              <w:pStyle w:val="Default"/>
              <w:rPr>
                <w:color w:val="auto"/>
                <w:sz w:val="22"/>
                <w:szCs w:val="22"/>
              </w:rPr>
            </w:pPr>
            <w:r w:rsidRPr="0089013F">
              <w:rPr>
                <w:color w:val="auto"/>
                <w:sz w:val="22"/>
                <w:szCs w:val="22"/>
              </w:rPr>
              <w:t xml:space="preserve">The original </w:t>
            </w:r>
            <w:proofErr w:type="gramStart"/>
            <w:r w:rsidRPr="0089013F">
              <w:rPr>
                <w:color w:val="auto"/>
                <w:sz w:val="22"/>
                <w:szCs w:val="22"/>
              </w:rPr>
              <w:t>should be given</w:t>
            </w:r>
            <w:proofErr w:type="gramEnd"/>
            <w:r w:rsidRPr="0089013F">
              <w:rPr>
                <w:color w:val="auto"/>
                <w:sz w:val="22"/>
                <w:szCs w:val="22"/>
              </w:rPr>
              <w:t xml:space="preserve"> to the employee. </w:t>
            </w:r>
          </w:p>
          <w:p w14:paraId="090D0396" w14:textId="77777777" w:rsidR="00F05AB6" w:rsidRDefault="00F05AB6">
            <w:pPr>
              <w:pStyle w:val="Default"/>
              <w:rPr>
                <w:color w:val="auto"/>
                <w:sz w:val="22"/>
                <w:szCs w:val="22"/>
              </w:rPr>
            </w:pPr>
          </w:p>
          <w:p w14:paraId="2609ADC1" w14:textId="77777777" w:rsidR="00F05AB6" w:rsidRPr="0089013F" w:rsidRDefault="0042516C">
            <w:pPr>
              <w:pStyle w:val="Default"/>
              <w:rPr>
                <w:color w:val="auto"/>
                <w:sz w:val="22"/>
                <w:szCs w:val="22"/>
              </w:rPr>
            </w:pPr>
            <w:r w:rsidRPr="0089013F">
              <w:rPr>
                <w:color w:val="auto"/>
                <w:sz w:val="22"/>
                <w:szCs w:val="22"/>
              </w:rPr>
              <w:t>Note:</w:t>
            </w:r>
            <w:r w:rsidR="00AC58BF" w:rsidRPr="0089013F">
              <w:rPr>
                <w:color w:val="auto"/>
                <w:sz w:val="22"/>
                <w:szCs w:val="22"/>
              </w:rPr>
              <w:t xml:space="preserve"> </w:t>
            </w:r>
            <w:r w:rsidR="00665DD4" w:rsidRPr="0089013F">
              <w:rPr>
                <w:color w:val="auto"/>
                <w:sz w:val="22"/>
                <w:szCs w:val="22"/>
              </w:rPr>
              <w:t xml:space="preserve">Persons who begin working without having satisfied this obligation </w:t>
            </w:r>
            <w:proofErr w:type="gramStart"/>
            <w:r w:rsidR="00665DD4" w:rsidRPr="0089013F">
              <w:rPr>
                <w:color w:val="auto"/>
                <w:sz w:val="22"/>
                <w:szCs w:val="22"/>
              </w:rPr>
              <w:t>will be paid</w:t>
            </w:r>
            <w:proofErr w:type="gramEnd"/>
            <w:r w:rsidR="00665DD4" w:rsidRPr="0089013F">
              <w:rPr>
                <w:color w:val="auto"/>
                <w:sz w:val="22"/>
                <w:szCs w:val="22"/>
              </w:rPr>
              <w:t xml:space="preserve"> for the work performed, but will not be considered employees under the </w:t>
            </w:r>
            <w:r w:rsidR="00665DD4" w:rsidRPr="00EF4DC9">
              <w:rPr>
                <w:i/>
                <w:color w:val="auto"/>
                <w:sz w:val="22"/>
                <w:szCs w:val="22"/>
              </w:rPr>
              <w:t>Public Service Employment Act</w:t>
            </w:r>
            <w:r w:rsidR="00665DD4" w:rsidRPr="0089013F">
              <w:rPr>
                <w:color w:val="auto"/>
                <w:sz w:val="22"/>
                <w:szCs w:val="22"/>
              </w:rPr>
              <w:t xml:space="preserve"> (PSEA) until they have met this condition. Timely administration of the oath or solemn affirmation is necessary so as not to adversely affect employee benefit entitlements.</w:t>
            </w:r>
          </w:p>
          <w:p w14:paraId="5C5B94D6" w14:textId="77777777" w:rsidR="00F05AB6" w:rsidRPr="0089013F" w:rsidRDefault="00F05AB6">
            <w:pPr>
              <w:pStyle w:val="Default"/>
              <w:rPr>
                <w:color w:val="auto"/>
                <w:sz w:val="22"/>
                <w:szCs w:val="22"/>
              </w:rPr>
            </w:pPr>
          </w:p>
        </w:tc>
        <w:tc>
          <w:tcPr>
            <w:tcW w:w="5819" w:type="dxa"/>
          </w:tcPr>
          <w:p w14:paraId="4069B9C6" w14:textId="77777777" w:rsidR="00205548" w:rsidRDefault="00F05AB6">
            <w:pPr>
              <w:pStyle w:val="Default"/>
              <w:rPr>
                <w:color w:val="auto"/>
                <w:sz w:val="22"/>
                <w:szCs w:val="22"/>
                <w:lang w:val="fr-CA"/>
              </w:rPr>
            </w:pPr>
            <w:r w:rsidRPr="0089013F">
              <w:rPr>
                <w:rFonts w:ascii="Wingdings" w:hAnsi="Wingdings" w:cs="Wingdings"/>
                <w:color w:val="auto"/>
                <w:sz w:val="22"/>
                <w:szCs w:val="22"/>
              </w:rPr>
              <w:t></w:t>
            </w:r>
            <w:r w:rsidRPr="0089013F">
              <w:rPr>
                <w:rFonts w:ascii="Wingdings" w:hAnsi="Wingdings" w:cs="Wingdings"/>
                <w:color w:val="auto"/>
                <w:sz w:val="22"/>
                <w:szCs w:val="22"/>
              </w:rPr>
              <w:t></w:t>
            </w:r>
            <w:r w:rsidR="008301EE" w:rsidRPr="008301EE">
              <w:rPr>
                <w:color w:val="auto"/>
                <w:sz w:val="22"/>
                <w:szCs w:val="22"/>
                <w:lang w:val="fr-CA"/>
              </w:rPr>
              <w:t xml:space="preserve">Le </w:t>
            </w:r>
            <w:hyperlink r:id="rId10" w:history="1">
              <w:r w:rsidR="008301EE" w:rsidRPr="008301EE">
                <w:rPr>
                  <w:rStyle w:val="Hyperlink"/>
                  <w:sz w:val="22"/>
                  <w:szCs w:val="22"/>
                  <w:lang w:val="fr-CA"/>
                </w:rPr>
                <w:t>serment ou affirmation solennelle</w:t>
              </w:r>
            </w:hyperlink>
            <w:r w:rsidRPr="0089013F">
              <w:rPr>
                <w:color w:val="auto"/>
                <w:sz w:val="22"/>
                <w:szCs w:val="22"/>
                <w:lang w:val="fr-CA"/>
              </w:rPr>
              <w:t xml:space="preserve"> doit être administré </w:t>
            </w:r>
            <w:r w:rsidR="00166F01" w:rsidRPr="0089013F">
              <w:rPr>
                <w:color w:val="auto"/>
                <w:sz w:val="22"/>
                <w:szCs w:val="22"/>
                <w:lang w:val="fr-CA"/>
              </w:rPr>
              <w:t xml:space="preserve">dans un endroit privé </w:t>
            </w:r>
            <w:r w:rsidRPr="0089013F">
              <w:rPr>
                <w:color w:val="auto"/>
                <w:sz w:val="22"/>
                <w:szCs w:val="22"/>
                <w:lang w:val="fr-CA"/>
              </w:rPr>
              <w:t>en</w:t>
            </w:r>
            <w:r w:rsidR="004970AA">
              <w:rPr>
                <w:color w:val="auto"/>
                <w:sz w:val="22"/>
                <w:szCs w:val="22"/>
                <w:lang w:val="fr-CA"/>
              </w:rPr>
              <w:t xml:space="preserve"> personne</w:t>
            </w:r>
            <w:r w:rsidRPr="0089013F">
              <w:rPr>
                <w:color w:val="auto"/>
                <w:sz w:val="22"/>
                <w:szCs w:val="22"/>
                <w:lang w:val="fr-CA"/>
              </w:rPr>
              <w:t xml:space="preserve"> ou par le biais de vidéoconférence</w:t>
            </w:r>
            <w:r w:rsidR="00D020D7">
              <w:rPr>
                <w:color w:val="auto"/>
                <w:sz w:val="22"/>
                <w:szCs w:val="22"/>
                <w:lang w:val="fr-CA"/>
              </w:rPr>
              <w:t xml:space="preserve">, Skype, </w:t>
            </w:r>
            <w:proofErr w:type="spellStart"/>
            <w:r w:rsidR="009C604F">
              <w:rPr>
                <w:color w:val="auto"/>
                <w:sz w:val="22"/>
                <w:szCs w:val="22"/>
                <w:lang w:val="fr-CA"/>
              </w:rPr>
              <w:t>FaceTime</w:t>
            </w:r>
            <w:proofErr w:type="spellEnd"/>
            <w:r w:rsidR="00D020D7">
              <w:rPr>
                <w:color w:val="auto"/>
                <w:sz w:val="22"/>
                <w:szCs w:val="22"/>
                <w:lang w:val="fr-CA"/>
              </w:rPr>
              <w:t xml:space="preserve"> etc.</w:t>
            </w:r>
            <w:r w:rsidRPr="0089013F">
              <w:rPr>
                <w:color w:val="auto"/>
                <w:sz w:val="22"/>
                <w:szCs w:val="22"/>
                <w:lang w:val="fr-CA"/>
              </w:rPr>
              <w:t xml:space="preserve"> </w:t>
            </w:r>
            <w:r w:rsidR="00254D91">
              <w:rPr>
                <w:color w:val="auto"/>
                <w:sz w:val="22"/>
                <w:szCs w:val="22"/>
                <w:lang w:val="fr-CA"/>
              </w:rPr>
              <w:t xml:space="preserve">par </w:t>
            </w:r>
            <w:r w:rsidR="00991A87">
              <w:rPr>
                <w:color w:val="auto"/>
                <w:sz w:val="22"/>
                <w:szCs w:val="22"/>
                <w:lang w:val="fr-CA"/>
              </w:rPr>
              <w:t xml:space="preserve">le </w:t>
            </w:r>
            <w:r w:rsidR="00254D91">
              <w:rPr>
                <w:color w:val="auto"/>
                <w:sz w:val="22"/>
                <w:szCs w:val="22"/>
                <w:lang w:val="fr-CA"/>
              </w:rPr>
              <w:t>superviseur direct</w:t>
            </w:r>
            <w:r w:rsidR="00254D91" w:rsidRPr="0089013F">
              <w:rPr>
                <w:color w:val="auto"/>
                <w:sz w:val="22"/>
                <w:szCs w:val="22"/>
                <w:lang w:val="fr-CA"/>
              </w:rPr>
              <w:t xml:space="preserve"> </w:t>
            </w:r>
            <w:r w:rsidR="00AC58BF" w:rsidRPr="0089013F">
              <w:rPr>
                <w:color w:val="auto"/>
                <w:sz w:val="22"/>
                <w:szCs w:val="22"/>
                <w:lang w:val="fr-CA"/>
              </w:rPr>
              <w:t>(</w:t>
            </w:r>
            <w:hyperlink r:id="rId11" w:history="1">
              <w:r w:rsidR="00AC58BF" w:rsidRPr="00A0567D">
                <w:rPr>
                  <w:rStyle w:val="Hyperlink"/>
                  <w:sz w:val="22"/>
                  <w:szCs w:val="22"/>
                  <w:lang w:val="fr-CA"/>
                </w:rPr>
                <w:t xml:space="preserve">selon le tableau des pouvoirs </w:t>
              </w:r>
              <w:r w:rsidR="00A0567D" w:rsidRPr="00A0567D">
                <w:rPr>
                  <w:rStyle w:val="Hyperlink"/>
                  <w:sz w:val="22"/>
                  <w:szCs w:val="22"/>
                  <w:lang w:val="fr-CA"/>
                </w:rPr>
                <w:t xml:space="preserve">en matière de ressources humaines </w:t>
              </w:r>
              <w:r w:rsidR="00AC58BF" w:rsidRPr="00A0567D">
                <w:rPr>
                  <w:rStyle w:val="Hyperlink"/>
                  <w:sz w:val="22"/>
                  <w:szCs w:val="22"/>
                  <w:lang w:val="fr-CA"/>
                </w:rPr>
                <w:t>d’EDSC</w:t>
              </w:r>
            </w:hyperlink>
            <w:r w:rsidR="00AC58BF" w:rsidRPr="0089013F">
              <w:rPr>
                <w:color w:val="auto"/>
                <w:sz w:val="22"/>
                <w:szCs w:val="22"/>
                <w:lang w:val="fr-CA"/>
              </w:rPr>
              <w:t>)</w:t>
            </w:r>
            <w:r w:rsidR="0073575E" w:rsidRPr="0089013F">
              <w:rPr>
                <w:color w:val="auto"/>
                <w:sz w:val="22"/>
                <w:szCs w:val="22"/>
                <w:lang w:val="fr-CA"/>
              </w:rPr>
              <w:t>.</w:t>
            </w:r>
            <w:r w:rsidRPr="0089013F">
              <w:rPr>
                <w:color w:val="auto"/>
                <w:sz w:val="22"/>
                <w:szCs w:val="22"/>
                <w:lang w:val="fr-CA"/>
              </w:rPr>
              <w:t xml:space="preserve"> </w:t>
            </w:r>
            <w:r w:rsidR="0039052A" w:rsidRPr="0089013F">
              <w:rPr>
                <w:color w:val="auto"/>
                <w:sz w:val="22"/>
                <w:szCs w:val="22"/>
                <w:lang w:val="fr-CA"/>
              </w:rPr>
              <w:t>Si le superviseur</w:t>
            </w:r>
            <w:r w:rsidR="00254D91">
              <w:rPr>
                <w:color w:val="auto"/>
                <w:sz w:val="22"/>
                <w:szCs w:val="22"/>
                <w:lang w:val="fr-CA"/>
              </w:rPr>
              <w:t xml:space="preserve"> direct n’est pas disponible, il peut être administré</w:t>
            </w:r>
            <w:r w:rsidR="0039052A" w:rsidRPr="0089013F">
              <w:rPr>
                <w:color w:val="auto"/>
                <w:sz w:val="22"/>
                <w:szCs w:val="22"/>
                <w:lang w:val="fr-CA"/>
              </w:rPr>
              <w:t xml:space="preserve"> par </w:t>
            </w:r>
            <w:r w:rsidR="00254D91">
              <w:rPr>
                <w:color w:val="auto"/>
                <w:sz w:val="22"/>
                <w:szCs w:val="22"/>
                <w:lang w:val="fr-CA"/>
              </w:rPr>
              <w:t xml:space="preserve">un </w:t>
            </w:r>
            <w:r w:rsidR="00254D91" w:rsidRPr="0089013F">
              <w:rPr>
                <w:color w:val="auto"/>
                <w:sz w:val="22"/>
                <w:szCs w:val="22"/>
                <w:lang w:val="fr-CA"/>
              </w:rPr>
              <w:t>employé désigné par la gestion</w:t>
            </w:r>
            <w:r w:rsidR="00254D91">
              <w:rPr>
                <w:color w:val="auto"/>
                <w:sz w:val="22"/>
                <w:szCs w:val="22"/>
                <w:lang w:val="fr-CA"/>
              </w:rPr>
              <w:t xml:space="preserve"> (</w:t>
            </w:r>
            <w:r w:rsidR="00254D91" w:rsidRPr="00254D91">
              <w:rPr>
                <w:color w:val="auto"/>
                <w:sz w:val="22"/>
                <w:szCs w:val="22"/>
                <w:lang w:val="fr-CA"/>
              </w:rPr>
              <w:t xml:space="preserve">niveau 6 ou supérieur pour un poste non-EX ou niveau 3 ou supérieur pour un poste EX) ou un conseiller en ressources humaines.  </w:t>
            </w:r>
          </w:p>
          <w:p w14:paraId="3308A737" w14:textId="77777777" w:rsidR="00254D91" w:rsidRPr="0089013F" w:rsidRDefault="00254D91">
            <w:pPr>
              <w:pStyle w:val="Default"/>
              <w:rPr>
                <w:color w:val="auto"/>
                <w:sz w:val="22"/>
                <w:szCs w:val="22"/>
                <w:lang w:val="fr-CA"/>
              </w:rPr>
            </w:pPr>
          </w:p>
          <w:p w14:paraId="6E03AAFD" w14:textId="77777777" w:rsidR="00F05AB6" w:rsidRPr="0089013F" w:rsidRDefault="00F05AB6">
            <w:pPr>
              <w:pStyle w:val="Default"/>
              <w:rPr>
                <w:color w:val="auto"/>
                <w:sz w:val="22"/>
                <w:szCs w:val="22"/>
                <w:lang w:val="fr-CA"/>
              </w:rPr>
            </w:pPr>
            <w:r w:rsidRPr="0089013F">
              <w:rPr>
                <w:rFonts w:ascii="Wingdings" w:hAnsi="Wingdings" w:cs="Wingdings"/>
                <w:color w:val="auto"/>
                <w:sz w:val="22"/>
                <w:szCs w:val="22"/>
              </w:rPr>
              <w:t></w:t>
            </w:r>
            <w:r w:rsidRPr="0089013F">
              <w:rPr>
                <w:rFonts w:ascii="Wingdings" w:hAnsi="Wingdings" w:cs="Wingdings"/>
                <w:color w:val="auto"/>
                <w:sz w:val="22"/>
                <w:szCs w:val="22"/>
              </w:rPr>
              <w:t></w:t>
            </w:r>
            <w:r w:rsidRPr="0089013F">
              <w:rPr>
                <w:b/>
                <w:bCs/>
                <w:color w:val="auto"/>
                <w:sz w:val="22"/>
                <w:szCs w:val="22"/>
                <w:lang w:val="fr-CA"/>
              </w:rPr>
              <w:t xml:space="preserve">IL FAUT </w:t>
            </w:r>
            <w:r w:rsidRPr="0089013F">
              <w:rPr>
                <w:color w:val="auto"/>
                <w:sz w:val="22"/>
                <w:szCs w:val="22"/>
                <w:lang w:val="fr-CA"/>
              </w:rPr>
              <w:t xml:space="preserve">faire prêter serment </w:t>
            </w:r>
            <w:r w:rsidR="008301EE" w:rsidRPr="008301EE">
              <w:rPr>
                <w:b/>
                <w:color w:val="auto"/>
                <w:sz w:val="22"/>
                <w:szCs w:val="22"/>
                <w:lang w:val="fr-CA"/>
              </w:rPr>
              <w:t>AVANT</w:t>
            </w:r>
            <w:r w:rsidR="008301EE">
              <w:rPr>
                <w:color w:val="auto"/>
                <w:sz w:val="22"/>
                <w:szCs w:val="22"/>
                <w:lang w:val="fr-CA"/>
              </w:rPr>
              <w:t xml:space="preserve"> la date de début ou </w:t>
            </w:r>
            <w:r w:rsidR="008301EE" w:rsidRPr="008F2DD5">
              <w:rPr>
                <w:b/>
                <w:color w:val="auto"/>
                <w:sz w:val="22"/>
                <w:szCs w:val="22"/>
                <w:lang w:val="fr-CA"/>
              </w:rPr>
              <w:t>AU PLUS TARD</w:t>
            </w:r>
            <w:r w:rsidR="008301EE">
              <w:rPr>
                <w:color w:val="auto"/>
                <w:sz w:val="22"/>
                <w:szCs w:val="22"/>
                <w:lang w:val="fr-CA"/>
              </w:rPr>
              <w:t xml:space="preserve"> </w:t>
            </w:r>
            <w:r w:rsidR="00F54A5D" w:rsidRPr="0089013F">
              <w:rPr>
                <w:color w:val="auto"/>
                <w:sz w:val="22"/>
                <w:szCs w:val="22"/>
                <w:lang w:val="fr-CA"/>
              </w:rPr>
              <w:t>lors de la première journée de travail</w:t>
            </w:r>
            <w:r w:rsidR="008301EE">
              <w:rPr>
                <w:color w:val="auto"/>
                <w:sz w:val="22"/>
                <w:szCs w:val="22"/>
                <w:lang w:val="fr-CA"/>
              </w:rPr>
              <w:t>.</w:t>
            </w:r>
            <w:r w:rsidRPr="0089013F">
              <w:rPr>
                <w:color w:val="auto"/>
                <w:sz w:val="22"/>
                <w:szCs w:val="22"/>
                <w:lang w:val="fr-CA"/>
              </w:rPr>
              <w:t xml:space="preserve"> </w:t>
            </w:r>
          </w:p>
          <w:p w14:paraId="1DC3AD17" w14:textId="77777777" w:rsidR="00F05AB6" w:rsidRPr="0089013F" w:rsidRDefault="00F05AB6">
            <w:pPr>
              <w:pStyle w:val="Default"/>
              <w:rPr>
                <w:color w:val="auto"/>
                <w:sz w:val="22"/>
                <w:szCs w:val="22"/>
                <w:lang w:val="fr-CA"/>
              </w:rPr>
            </w:pPr>
          </w:p>
          <w:p w14:paraId="76D40486" w14:textId="77777777" w:rsidR="000D4865" w:rsidRPr="0089013F" w:rsidRDefault="00F05AB6">
            <w:pPr>
              <w:pStyle w:val="Default"/>
              <w:rPr>
                <w:color w:val="auto"/>
                <w:sz w:val="22"/>
                <w:szCs w:val="22"/>
                <w:lang w:val="fr-CA"/>
              </w:rPr>
            </w:pPr>
            <w:r w:rsidRPr="0089013F">
              <w:rPr>
                <w:rFonts w:ascii="Wingdings" w:hAnsi="Wingdings" w:cs="Wingdings"/>
                <w:color w:val="auto"/>
                <w:sz w:val="22"/>
                <w:szCs w:val="22"/>
              </w:rPr>
              <w:t></w:t>
            </w:r>
            <w:r w:rsidRPr="0089013F">
              <w:rPr>
                <w:rFonts w:ascii="Wingdings" w:hAnsi="Wingdings" w:cs="Wingdings"/>
                <w:color w:val="auto"/>
                <w:sz w:val="22"/>
                <w:szCs w:val="22"/>
              </w:rPr>
              <w:t></w:t>
            </w:r>
            <w:r w:rsidR="00E9396B" w:rsidRPr="0089013F">
              <w:rPr>
                <w:color w:val="auto"/>
                <w:sz w:val="22"/>
                <w:szCs w:val="22"/>
                <w:lang w:val="fr-CA"/>
              </w:rPr>
              <w:t xml:space="preserve">Conformément à l’article 54 de la </w:t>
            </w:r>
            <w:r w:rsidR="00E9396B" w:rsidRPr="0089013F">
              <w:rPr>
                <w:i/>
                <w:color w:val="auto"/>
                <w:sz w:val="22"/>
                <w:szCs w:val="22"/>
                <w:lang w:val="fr-CA"/>
              </w:rPr>
              <w:t>Loi sur l’emploi dans la fonction publique</w:t>
            </w:r>
            <w:r w:rsidR="00E9396B" w:rsidRPr="0089013F">
              <w:rPr>
                <w:color w:val="auto"/>
                <w:sz w:val="22"/>
                <w:szCs w:val="22"/>
                <w:lang w:val="fr-CA"/>
              </w:rPr>
              <w:t xml:space="preserve"> les personnes suivantes doivent prêter et signer un serment ou une affirmation solennelle comme condition d’emploi à la date convenue par écrit par le </w:t>
            </w:r>
          </w:p>
          <w:p w14:paraId="3EBE7939" w14:textId="174755CB" w:rsidR="00E9396B" w:rsidRPr="0089013F" w:rsidRDefault="00991A87">
            <w:pPr>
              <w:pStyle w:val="Default"/>
              <w:rPr>
                <w:color w:val="auto"/>
                <w:sz w:val="22"/>
                <w:szCs w:val="22"/>
                <w:lang w:val="fr-CA"/>
              </w:rPr>
            </w:pPr>
            <w:proofErr w:type="gramStart"/>
            <w:r>
              <w:rPr>
                <w:color w:val="auto"/>
                <w:sz w:val="22"/>
                <w:szCs w:val="22"/>
                <w:lang w:val="fr-CA"/>
              </w:rPr>
              <w:t>s</w:t>
            </w:r>
            <w:r w:rsidR="00E9396B" w:rsidRPr="0089013F">
              <w:rPr>
                <w:color w:val="auto"/>
                <w:sz w:val="22"/>
                <w:szCs w:val="22"/>
                <w:lang w:val="fr-CA"/>
              </w:rPr>
              <w:t>ous</w:t>
            </w:r>
            <w:proofErr w:type="gramEnd"/>
            <w:r w:rsidR="00E9396B" w:rsidRPr="0089013F">
              <w:rPr>
                <w:color w:val="auto"/>
                <w:sz w:val="22"/>
                <w:szCs w:val="22"/>
                <w:lang w:val="fr-CA"/>
              </w:rPr>
              <w:t>-</w:t>
            </w:r>
            <w:r>
              <w:rPr>
                <w:color w:val="auto"/>
                <w:sz w:val="22"/>
                <w:szCs w:val="22"/>
                <w:lang w:val="fr-CA"/>
              </w:rPr>
              <w:t>m</w:t>
            </w:r>
            <w:r w:rsidR="00E9396B" w:rsidRPr="0089013F">
              <w:rPr>
                <w:color w:val="auto"/>
                <w:sz w:val="22"/>
                <w:szCs w:val="22"/>
                <w:lang w:val="fr-CA"/>
              </w:rPr>
              <w:t xml:space="preserve">inistre d’EDSC (ou </w:t>
            </w:r>
            <w:r w:rsidR="00AC58BF" w:rsidRPr="0089013F">
              <w:rPr>
                <w:color w:val="auto"/>
                <w:sz w:val="22"/>
                <w:szCs w:val="22"/>
                <w:lang w:val="fr-CA"/>
              </w:rPr>
              <w:t xml:space="preserve">le superviseur délégué </w:t>
            </w:r>
            <w:r w:rsidR="003335A8" w:rsidRPr="0089013F">
              <w:rPr>
                <w:color w:val="auto"/>
                <w:sz w:val="22"/>
                <w:szCs w:val="22"/>
                <w:lang w:val="fr-CA"/>
              </w:rPr>
              <w:t xml:space="preserve">selon le tableau des pouvoirs d’EDSC) et </w:t>
            </w:r>
            <w:r w:rsidR="005C5EA1" w:rsidRPr="0089013F">
              <w:rPr>
                <w:color w:val="auto"/>
                <w:sz w:val="22"/>
                <w:szCs w:val="22"/>
                <w:lang w:val="fr-CA"/>
              </w:rPr>
              <w:t xml:space="preserve">par </w:t>
            </w:r>
            <w:r w:rsidR="003335A8" w:rsidRPr="0089013F">
              <w:rPr>
                <w:color w:val="auto"/>
                <w:sz w:val="22"/>
                <w:szCs w:val="22"/>
                <w:lang w:val="fr-CA"/>
              </w:rPr>
              <w:t>la personne qui sera nommée ou mutée</w:t>
            </w:r>
            <w:r w:rsidR="00E9396B" w:rsidRPr="0089013F">
              <w:rPr>
                <w:color w:val="auto"/>
                <w:sz w:val="22"/>
                <w:szCs w:val="22"/>
                <w:lang w:val="fr-CA"/>
              </w:rPr>
              <w:t>:</w:t>
            </w:r>
          </w:p>
          <w:p w14:paraId="2C3D52F4" w14:textId="77777777" w:rsidR="00E9396B" w:rsidRPr="0089013F" w:rsidRDefault="00E9396B" w:rsidP="00D348BE">
            <w:pPr>
              <w:pStyle w:val="Default"/>
              <w:numPr>
                <w:ilvl w:val="0"/>
                <w:numId w:val="1"/>
              </w:numPr>
              <w:ind w:left="459"/>
              <w:rPr>
                <w:color w:val="auto"/>
                <w:sz w:val="22"/>
                <w:szCs w:val="22"/>
                <w:lang w:val="fr-CA"/>
              </w:rPr>
            </w:pPr>
            <w:r w:rsidRPr="0089013F">
              <w:rPr>
                <w:color w:val="auto"/>
                <w:sz w:val="22"/>
                <w:szCs w:val="22"/>
                <w:lang w:val="fr-CA"/>
              </w:rPr>
              <w:t xml:space="preserve">Toute personne </w:t>
            </w:r>
            <w:r w:rsidR="000044C8" w:rsidRPr="0089013F">
              <w:rPr>
                <w:color w:val="auto"/>
                <w:sz w:val="22"/>
                <w:szCs w:val="22"/>
                <w:lang w:val="fr-CA"/>
              </w:rPr>
              <w:t>nommée</w:t>
            </w:r>
            <w:r w:rsidR="00242BE6" w:rsidRPr="0089013F">
              <w:rPr>
                <w:color w:val="auto"/>
                <w:sz w:val="22"/>
                <w:szCs w:val="22"/>
                <w:lang w:val="fr-CA"/>
              </w:rPr>
              <w:t xml:space="preserve"> de l’extérieur de la fonction publique</w:t>
            </w:r>
            <w:r w:rsidRPr="0089013F">
              <w:rPr>
                <w:color w:val="auto"/>
                <w:sz w:val="22"/>
                <w:szCs w:val="22"/>
                <w:lang w:val="fr-CA"/>
              </w:rPr>
              <w:t>;</w:t>
            </w:r>
          </w:p>
          <w:p w14:paraId="47A42CE9" w14:textId="77777777" w:rsidR="00E9396B" w:rsidRPr="001737CD" w:rsidRDefault="00E9396B" w:rsidP="00E37419">
            <w:pPr>
              <w:pStyle w:val="ListParagraph"/>
              <w:numPr>
                <w:ilvl w:val="0"/>
                <w:numId w:val="1"/>
              </w:numPr>
              <w:spacing w:line="240" w:lineRule="auto"/>
              <w:ind w:left="459"/>
              <w:rPr>
                <w:rFonts w:ascii="Times New Roman" w:hAnsi="Times New Roman" w:cs="Times New Roman"/>
                <w:vanish/>
                <w:lang w:val="fr-CA"/>
                <w:specVanish/>
              </w:rPr>
            </w:pPr>
            <w:r w:rsidRPr="0089013F">
              <w:rPr>
                <w:rFonts w:ascii="Times New Roman" w:hAnsi="Times New Roman" w:cs="Times New Roman"/>
                <w:lang w:val="fr-CA"/>
              </w:rPr>
              <w:t xml:space="preserve">Toute personne </w:t>
            </w:r>
            <w:r w:rsidR="000044C8" w:rsidRPr="009C604F">
              <w:rPr>
                <w:rFonts w:ascii="Times New Roman" w:hAnsi="Times New Roman" w:cs="Times New Roman"/>
                <w:lang w:val="fr-CA"/>
              </w:rPr>
              <w:t>nommée</w:t>
            </w:r>
            <w:r w:rsidR="000044C8" w:rsidRPr="0089013F" w:rsidDel="000044C8">
              <w:rPr>
                <w:rFonts w:ascii="Times New Roman" w:hAnsi="Times New Roman" w:cs="Times New Roman"/>
                <w:lang w:val="fr-CA"/>
              </w:rPr>
              <w:t xml:space="preserve"> </w:t>
            </w:r>
            <w:r w:rsidRPr="0089013F">
              <w:rPr>
                <w:rFonts w:ascii="Times New Roman" w:hAnsi="Times New Roman" w:cs="Times New Roman"/>
                <w:lang w:val="fr-CA"/>
              </w:rPr>
              <w:t>ou mut</w:t>
            </w:r>
            <w:r w:rsidR="000044C8" w:rsidRPr="00C70C75">
              <w:rPr>
                <w:rFonts w:ascii="Times New Roman" w:hAnsi="Times New Roman" w:cs="Times New Roman"/>
                <w:lang w:val="fr-CA"/>
              </w:rPr>
              <w:t>ée</w:t>
            </w:r>
            <w:r w:rsidRPr="0089013F">
              <w:rPr>
                <w:rFonts w:ascii="Times New Roman" w:hAnsi="Times New Roman" w:cs="Times New Roman"/>
                <w:lang w:val="fr-CA"/>
              </w:rPr>
              <w:t xml:space="preserve">, </w:t>
            </w:r>
            <w:r w:rsidR="00242BE6" w:rsidRPr="0089013F">
              <w:rPr>
                <w:rFonts w:ascii="Times New Roman" w:hAnsi="Times New Roman" w:cs="Times New Roman"/>
                <w:lang w:val="fr-CA"/>
              </w:rPr>
              <w:t xml:space="preserve">de l’extérieur </w:t>
            </w:r>
            <w:r w:rsidRPr="0089013F">
              <w:rPr>
                <w:rFonts w:ascii="Times New Roman" w:hAnsi="Times New Roman" w:cs="Times New Roman"/>
                <w:lang w:val="fr-CA"/>
              </w:rPr>
              <w:t>de la fonction publique dans laquelle les nominations relèvent exclusivement de la Commission de la fonction publique;</w:t>
            </w:r>
          </w:p>
          <w:p w14:paraId="005BD16C" w14:textId="77777777" w:rsidR="00991A87" w:rsidRPr="00991A87" w:rsidRDefault="00991A87" w:rsidP="00E37419">
            <w:pPr>
              <w:pStyle w:val="ListParagraph"/>
              <w:numPr>
                <w:ilvl w:val="0"/>
                <w:numId w:val="1"/>
              </w:numPr>
              <w:spacing w:line="240" w:lineRule="auto"/>
              <w:ind w:left="459"/>
              <w:rPr>
                <w:lang w:val="fr-CA"/>
              </w:rPr>
            </w:pPr>
          </w:p>
          <w:p w14:paraId="5D7DC97D" w14:textId="77777777" w:rsidR="00F05AB6" w:rsidRPr="00991A87" w:rsidRDefault="00E9396B" w:rsidP="00E37419">
            <w:pPr>
              <w:pStyle w:val="ListParagraph"/>
              <w:numPr>
                <w:ilvl w:val="0"/>
                <w:numId w:val="1"/>
              </w:numPr>
              <w:spacing w:line="240" w:lineRule="auto"/>
              <w:ind w:left="459"/>
              <w:rPr>
                <w:lang w:val="fr-CA"/>
              </w:rPr>
            </w:pPr>
            <w:r w:rsidRPr="0089013F">
              <w:rPr>
                <w:rFonts w:ascii="Times New Roman" w:hAnsi="Times New Roman" w:cs="Times New Roman"/>
                <w:lang w:val="fr-CA"/>
              </w:rPr>
              <w:t>Tout étudiant (</w:t>
            </w:r>
            <w:r w:rsidR="00972CB2" w:rsidRPr="0089013F">
              <w:rPr>
                <w:rFonts w:ascii="Times New Roman" w:hAnsi="Times New Roman" w:cs="Times New Roman"/>
                <w:lang w:val="fr-CA"/>
              </w:rPr>
              <w:t>incluant embauche initiale et réemploi suite à une interruption de service d’une journée de travail ou plus)</w:t>
            </w:r>
            <w:r w:rsidR="00D020D7">
              <w:rPr>
                <w:rFonts w:ascii="Times New Roman" w:hAnsi="Times New Roman" w:cs="Times New Roman"/>
                <w:lang w:val="fr-CA"/>
              </w:rPr>
              <w:t>.</w:t>
            </w:r>
          </w:p>
          <w:p w14:paraId="6F96F4FB" w14:textId="77777777" w:rsidR="00A322D1" w:rsidRDefault="00A322D1">
            <w:pPr>
              <w:pStyle w:val="Default"/>
              <w:rPr>
                <w:rFonts w:ascii="Wingdings" w:hAnsi="Wingdings" w:cs="Wingdings"/>
                <w:color w:val="auto"/>
                <w:sz w:val="22"/>
                <w:szCs w:val="22"/>
              </w:rPr>
            </w:pPr>
          </w:p>
          <w:p w14:paraId="65EBBA3B" w14:textId="601A64B9" w:rsidR="00F05AB6" w:rsidRPr="0089013F" w:rsidRDefault="00F05AB6">
            <w:pPr>
              <w:pStyle w:val="Default"/>
              <w:rPr>
                <w:color w:val="auto"/>
                <w:sz w:val="22"/>
                <w:szCs w:val="22"/>
                <w:lang w:val="fr-CA"/>
              </w:rPr>
            </w:pPr>
            <w:r w:rsidRPr="0089013F">
              <w:rPr>
                <w:rFonts w:ascii="Wingdings" w:hAnsi="Wingdings" w:cs="Wingdings"/>
                <w:color w:val="auto"/>
                <w:sz w:val="22"/>
                <w:szCs w:val="22"/>
              </w:rPr>
              <w:t></w:t>
            </w:r>
            <w:r w:rsidRPr="0089013F">
              <w:rPr>
                <w:rFonts w:ascii="Wingdings" w:hAnsi="Wingdings" w:cs="Wingdings"/>
                <w:color w:val="auto"/>
                <w:sz w:val="22"/>
                <w:szCs w:val="22"/>
              </w:rPr>
              <w:t></w:t>
            </w:r>
            <w:r w:rsidRPr="0089013F">
              <w:rPr>
                <w:color w:val="auto"/>
                <w:sz w:val="22"/>
                <w:szCs w:val="22"/>
                <w:lang w:val="fr-CA"/>
              </w:rPr>
              <w:t>La personne nommée ou proposé</w:t>
            </w:r>
            <w:r w:rsidR="00991A87">
              <w:rPr>
                <w:color w:val="auto"/>
                <w:sz w:val="22"/>
                <w:szCs w:val="22"/>
                <w:lang w:val="fr-CA"/>
              </w:rPr>
              <w:t>e</w:t>
            </w:r>
            <w:r w:rsidRPr="0089013F">
              <w:rPr>
                <w:color w:val="auto"/>
                <w:sz w:val="22"/>
                <w:szCs w:val="22"/>
                <w:lang w:val="fr-CA"/>
              </w:rPr>
              <w:t xml:space="preserve"> </w:t>
            </w:r>
            <w:r w:rsidR="00AC58BF" w:rsidRPr="0089013F">
              <w:rPr>
                <w:b/>
                <w:color w:val="auto"/>
                <w:sz w:val="22"/>
                <w:szCs w:val="22"/>
                <w:lang w:val="fr-CA"/>
              </w:rPr>
              <w:t>DOIT</w:t>
            </w:r>
            <w:r w:rsidR="00AC58BF" w:rsidRPr="0089013F">
              <w:rPr>
                <w:color w:val="auto"/>
                <w:sz w:val="22"/>
                <w:szCs w:val="22"/>
                <w:lang w:val="fr-CA"/>
              </w:rPr>
              <w:t xml:space="preserve"> </w:t>
            </w:r>
            <w:r w:rsidRPr="0089013F">
              <w:rPr>
                <w:color w:val="auto"/>
                <w:sz w:val="22"/>
                <w:szCs w:val="22"/>
                <w:lang w:val="fr-CA"/>
              </w:rPr>
              <w:t xml:space="preserve">prononcer </w:t>
            </w:r>
            <w:r w:rsidR="00B61538" w:rsidRPr="0089013F">
              <w:rPr>
                <w:bCs/>
                <w:color w:val="auto"/>
                <w:sz w:val="22"/>
                <w:szCs w:val="22"/>
                <w:lang w:val="fr-CA"/>
              </w:rPr>
              <w:t>le</w:t>
            </w:r>
            <w:r w:rsidR="00B61538" w:rsidRPr="0089013F">
              <w:rPr>
                <w:b/>
                <w:bCs/>
                <w:color w:val="auto"/>
                <w:sz w:val="22"/>
                <w:szCs w:val="22"/>
                <w:lang w:val="fr-CA"/>
              </w:rPr>
              <w:t xml:space="preserve"> </w:t>
            </w:r>
            <w:r w:rsidR="00B61538" w:rsidRPr="0089013F">
              <w:rPr>
                <w:bCs/>
                <w:color w:val="auto"/>
                <w:sz w:val="22"/>
                <w:szCs w:val="22"/>
                <w:lang w:val="fr-CA"/>
              </w:rPr>
              <w:t>serment</w:t>
            </w:r>
            <w:r w:rsidRPr="0089013F">
              <w:rPr>
                <w:b/>
                <w:bCs/>
                <w:color w:val="auto"/>
                <w:sz w:val="22"/>
                <w:szCs w:val="22"/>
                <w:lang w:val="fr-CA"/>
              </w:rPr>
              <w:t xml:space="preserve"> </w:t>
            </w:r>
            <w:r w:rsidR="00B61538" w:rsidRPr="0089013F">
              <w:rPr>
                <w:b/>
                <w:color w:val="auto"/>
                <w:sz w:val="22"/>
                <w:szCs w:val="22"/>
                <w:lang w:val="fr-CA"/>
              </w:rPr>
              <w:t>OU</w:t>
            </w:r>
            <w:r w:rsidRPr="0089013F">
              <w:rPr>
                <w:color w:val="auto"/>
                <w:sz w:val="22"/>
                <w:szCs w:val="22"/>
                <w:lang w:val="fr-CA"/>
              </w:rPr>
              <w:t xml:space="preserve"> </w:t>
            </w:r>
            <w:r w:rsidR="00B61538" w:rsidRPr="0089013F">
              <w:rPr>
                <w:color w:val="auto"/>
                <w:sz w:val="22"/>
                <w:szCs w:val="22"/>
                <w:lang w:val="fr-CA"/>
              </w:rPr>
              <w:t>l’affirmation solennelle</w:t>
            </w:r>
            <w:r w:rsidR="007F790D" w:rsidRPr="0089013F">
              <w:rPr>
                <w:color w:val="auto"/>
                <w:sz w:val="22"/>
                <w:szCs w:val="22"/>
                <w:lang w:val="fr-CA"/>
              </w:rPr>
              <w:t xml:space="preserve"> et signer le formulaire.</w:t>
            </w:r>
          </w:p>
          <w:p w14:paraId="1F54607F" w14:textId="77777777" w:rsidR="00166F01" w:rsidRPr="0089013F" w:rsidRDefault="00166F01">
            <w:pPr>
              <w:pStyle w:val="Default"/>
              <w:rPr>
                <w:color w:val="auto"/>
                <w:sz w:val="22"/>
                <w:szCs w:val="22"/>
                <w:lang w:val="fr-CA"/>
              </w:rPr>
            </w:pPr>
          </w:p>
          <w:p w14:paraId="0306B3AB" w14:textId="3DE466F8" w:rsidR="00166F01" w:rsidRPr="0089013F" w:rsidRDefault="00166F01" w:rsidP="00166F01">
            <w:pPr>
              <w:pStyle w:val="Default"/>
              <w:rPr>
                <w:color w:val="auto"/>
                <w:sz w:val="22"/>
                <w:szCs w:val="22"/>
                <w:lang w:val="fr-CA"/>
              </w:rPr>
            </w:pPr>
            <w:r w:rsidRPr="0089013F">
              <w:rPr>
                <w:rFonts w:ascii="Wingdings" w:hAnsi="Wingdings" w:cs="Wingdings"/>
                <w:color w:val="auto"/>
                <w:sz w:val="22"/>
                <w:szCs w:val="22"/>
              </w:rPr>
              <w:t></w:t>
            </w:r>
            <w:r w:rsidRPr="0089013F">
              <w:rPr>
                <w:rFonts w:ascii="Wingdings" w:hAnsi="Wingdings" w:cs="Wingdings"/>
                <w:color w:val="auto"/>
                <w:sz w:val="22"/>
                <w:szCs w:val="22"/>
              </w:rPr>
              <w:t></w:t>
            </w:r>
            <w:r w:rsidRPr="0089013F">
              <w:rPr>
                <w:color w:val="auto"/>
                <w:sz w:val="22"/>
                <w:szCs w:val="22"/>
                <w:lang w:val="fr-CA"/>
              </w:rPr>
              <w:t xml:space="preserve"> </w:t>
            </w:r>
            <w:r w:rsidR="00EF4DC9">
              <w:rPr>
                <w:color w:val="auto"/>
                <w:sz w:val="22"/>
                <w:szCs w:val="22"/>
                <w:lang w:val="fr-CA"/>
              </w:rPr>
              <w:t xml:space="preserve">Il </w:t>
            </w:r>
            <w:r w:rsidRPr="0089013F">
              <w:rPr>
                <w:color w:val="auto"/>
                <w:sz w:val="22"/>
                <w:szCs w:val="22"/>
                <w:lang w:val="fr-CA"/>
              </w:rPr>
              <w:t>doit être administré dans la langue officielle que choisit la p</w:t>
            </w:r>
            <w:r w:rsidR="00EF4DC9">
              <w:rPr>
                <w:color w:val="auto"/>
                <w:sz w:val="22"/>
                <w:szCs w:val="22"/>
                <w:lang w:val="fr-CA"/>
              </w:rPr>
              <w:t xml:space="preserve">ersonne </w:t>
            </w:r>
            <w:r w:rsidRPr="0089013F">
              <w:rPr>
                <w:color w:val="auto"/>
                <w:sz w:val="22"/>
                <w:szCs w:val="22"/>
                <w:lang w:val="fr-CA"/>
              </w:rPr>
              <w:t>et le cas échéant, avec tou</w:t>
            </w:r>
            <w:r w:rsidR="00261D33">
              <w:rPr>
                <w:color w:val="auto"/>
                <w:sz w:val="22"/>
                <w:szCs w:val="22"/>
                <w:lang w:val="fr-CA"/>
              </w:rPr>
              <w:t>te</w:t>
            </w:r>
            <w:r w:rsidRPr="0089013F">
              <w:rPr>
                <w:color w:val="auto"/>
                <w:sz w:val="22"/>
                <w:szCs w:val="22"/>
                <w:lang w:val="fr-CA"/>
              </w:rPr>
              <w:t>s les mesur</w:t>
            </w:r>
            <w:r w:rsidR="00EF4DC9">
              <w:rPr>
                <w:color w:val="auto"/>
                <w:sz w:val="22"/>
                <w:szCs w:val="22"/>
                <w:lang w:val="fr-CA"/>
              </w:rPr>
              <w:t>es d’adaptations nécessaires</w:t>
            </w:r>
            <w:r w:rsidR="000044C8">
              <w:rPr>
                <w:color w:val="auto"/>
                <w:sz w:val="22"/>
                <w:szCs w:val="22"/>
                <w:lang w:val="fr-CA"/>
              </w:rPr>
              <w:t>.</w:t>
            </w:r>
            <w:r w:rsidRPr="0089013F">
              <w:rPr>
                <w:color w:val="auto"/>
                <w:sz w:val="22"/>
                <w:szCs w:val="22"/>
                <w:lang w:val="fr-CA"/>
              </w:rPr>
              <w:t xml:space="preserve"> </w:t>
            </w:r>
          </w:p>
          <w:p w14:paraId="33275E32" w14:textId="77777777" w:rsidR="00F05AB6" w:rsidRDefault="00F05AB6">
            <w:pPr>
              <w:pStyle w:val="Default"/>
              <w:rPr>
                <w:color w:val="auto"/>
                <w:sz w:val="22"/>
                <w:szCs w:val="22"/>
                <w:lang w:val="fr-CA"/>
              </w:rPr>
            </w:pPr>
          </w:p>
          <w:p w14:paraId="08556B0D" w14:textId="77777777" w:rsidR="00DC3F5E" w:rsidRDefault="00F05AB6">
            <w:pPr>
              <w:pStyle w:val="Default"/>
              <w:rPr>
                <w:color w:val="auto"/>
                <w:sz w:val="22"/>
                <w:szCs w:val="22"/>
                <w:lang w:val="fr-CA"/>
              </w:rPr>
            </w:pPr>
            <w:r w:rsidRPr="0089013F">
              <w:rPr>
                <w:rFonts w:ascii="Wingdings" w:hAnsi="Wingdings" w:cs="Wingdings"/>
                <w:color w:val="auto"/>
                <w:sz w:val="22"/>
                <w:szCs w:val="22"/>
              </w:rPr>
              <w:t></w:t>
            </w:r>
            <w:r w:rsidRPr="0089013F">
              <w:rPr>
                <w:rFonts w:ascii="Wingdings" w:hAnsi="Wingdings" w:cs="Wingdings"/>
                <w:color w:val="auto"/>
                <w:sz w:val="22"/>
                <w:szCs w:val="22"/>
              </w:rPr>
              <w:t></w:t>
            </w:r>
            <w:r w:rsidRPr="0089013F">
              <w:rPr>
                <w:color w:val="auto"/>
                <w:sz w:val="22"/>
                <w:szCs w:val="22"/>
                <w:lang w:val="fr-CA"/>
              </w:rPr>
              <w:t xml:space="preserve">Une copie </w:t>
            </w:r>
            <w:r w:rsidRPr="008301EE">
              <w:rPr>
                <w:color w:val="auto"/>
                <w:sz w:val="22"/>
                <w:szCs w:val="22"/>
                <w:u w:val="single"/>
                <w:lang w:val="fr-CA"/>
              </w:rPr>
              <w:t>doit être envoyée</w:t>
            </w:r>
            <w:r w:rsidR="001636E4" w:rsidRPr="008301EE">
              <w:rPr>
                <w:color w:val="auto"/>
                <w:sz w:val="22"/>
                <w:szCs w:val="22"/>
                <w:u w:val="single"/>
                <w:lang w:val="fr-CA"/>
              </w:rPr>
              <w:t xml:space="preserve"> </w:t>
            </w:r>
            <w:r w:rsidR="0079751C" w:rsidRPr="008301EE">
              <w:rPr>
                <w:color w:val="auto"/>
                <w:sz w:val="22"/>
                <w:szCs w:val="22"/>
                <w:u w:val="single"/>
                <w:lang w:val="fr-CA"/>
              </w:rPr>
              <w:t>en utilisant l’application Web du Centre de services des ressources humaines</w:t>
            </w:r>
            <w:r w:rsidR="00F912BD">
              <w:rPr>
                <w:color w:val="auto"/>
                <w:sz w:val="22"/>
                <w:szCs w:val="22"/>
                <w:u w:val="single"/>
                <w:lang w:val="fr-CA"/>
              </w:rPr>
              <w:t xml:space="preserve"> (CSRH)</w:t>
            </w:r>
            <w:r w:rsidR="0079751C" w:rsidRPr="0089013F">
              <w:rPr>
                <w:color w:val="auto"/>
                <w:sz w:val="22"/>
                <w:szCs w:val="22"/>
                <w:lang w:val="fr-CA"/>
              </w:rPr>
              <w:t xml:space="preserve"> </w:t>
            </w:r>
            <w:r w:rsidR="00DC3F5E">
              <w:rPr>
                <w:color w:val="auto"/>
                <w:sz w:val="22"/>
                <w:szCs w:val="22"/>
                <w:lang w:val="fr-CA"/>
              </w:rPr>
              <w:t>pour le dossier de dotation au même moment que la lettre d’offre.</w:t>
            </w:r>
            <w:r w:rsidRPr="0089013F">
              <w:rPr>
                <w:color w:val="auto"/>
                <w:sz w:val="22"/>
                <w:szCs w:val="22"/>
                <w:lang w:val="fr-CA"/>
              </w:rPr>
              <w:t xml:space="preserve"> </w:t>
            </w:r>
          </w:p>
          <w:p w14:paraId="4FF895C2" w14:textId="77777777" w:rsidR="00991A87" w:rsidRDefault="00991A87">
            <w:pPr>
              <w:pStyle w:val="Default"/>
              <w:rPr>
                <w:color w:val="auto"/>
                <w:sz w:val="22"/>
                <w:szCs w:val="22"/>
                <w:lang w:val="fr-CA"/>
              </w:rPr>
            </w:pPr>
          </w:p>
          <w:p w14:paraId="0E960A9F" w14:textId="77777777" w:rsidR="00C819AA" w:rsidRDefault="00C819AA" w:rsidP="00C819AA">
            <w:pPr>
              <w:pStyle w:val="Default"/>
              <w:rPr>
                <w:color w:val="auto"/>
                <w:sz w:val="18"/>
                <w:szCs w:val="22"/>
                <w:lang w:val="fr-CA"/>
              </w:rPr>
            </w:pPr>
            <w:r>
              <w:rPr>
                <w:color w:val="auto"/>
                <w:sz w:val="18"/>
                <w:szCs w:val="22"/>
                <w:lang w:val="fr-CA"/>
              </w:rPr>
              <w:t xml:space="preserve">** S’il est </w:t>
            </w:r>
            <w:r>
              <w:rPr>
                <w:color w:val="auto"/>
                <w:sz w:val="18"/>
                <w:szCs w:val="22"/>
                <w:lang w:val="fr-FR"/>
              </w:rPr>
              <w:t>impossible d’administrer le serment/affirmation solennelle avant l’entrée en fonctions de l’employé(e), et ce, malgré toutes les options disponibles, il est possible de joindre un « </w:t>
            </w:r>
            <w:r>
              <w:rPr>
                <w:i/>
                <w:iCs/>
                <w:color w:val="auto"/>
                <w:sz w:val="18"/>
                <w:szCs w:val="22"/>
                <w:lang w:val="fr-FR"/>
              </w:rPr>
              <w:t>document vide</w:t>
            </w:r>
            <w:r>
              <w:rPr>
                <w:color w:val="auto"/>
                <w:sz w:val="18"/>
                <w:szCs w:val="22"/>
                <w:lang w:val="fr-FR"/>
              </w:rPr>
              <w:t xml:space="preserve"> » à la demande CSRH à la place du serment/affirmation solennelle signé afin d’éviter les délais d’envoi de la lettre d’offre à la rémunération. Au plus tard à la première journée de travail, ouvrez une nouvelle demande CSRH afin de soumettre le serment/affirmation solennelle signé en utilisant la catégorie à cet effet sous le formulaire de demande de renseignements généraux </w:t>
            </w:r>
            <w:r>
              <w:rPr>
                <w:sz w:val="18"/>
                <w:szCs w:val="22"/>
                <w:lang w:val="fr-FR"/>
              </w:rPr>
              <w:t>en RH.</w:t>
            </w:r>
          </w:p>
          <w:p w14:paraId="2D2232C1" w14:textId="77777777" w:rsidR="00DC3F5E" w:rsidRDefault="00DC3F5E">
            <w:pPr>
              <w:pStyle w:val="Default"/>
              <w:rPr>
                <w:color w:val="auto"/>
                <w:sz w:val="22"/>
                <w:szCs w:val="22"/>
                <w:lang w:val="fr-CA"/>
              </w:rPr>
            </w:pPr>
          </w:p>
          <w:p w14:paraId="1401EA69" w14:textId="74FBF0AC" w:rsidR="00F05AB6" w:rsidRPr="0089013F" w:rsidRDefault="00F05AB6">
            <w:pPr>
              <w:pStyle w:val="Default"/>
              <w:rPr>
                <w:color w:val="auto"/>
                <w:sz w:val="22"/>
                <w:szCs w:val="22"/>
                <w:lang w:val="fr-CA"/>
              </w:rPr>
            </w:pPr>
            <w:r w:rsidRPr="0089013F">
              <w:rPr>
                <w:color w:val="auto"/>
                <w:sz w:val="22"/>
                <w:szCs w:val="22"/>
                <w:lang w:val="fr-CA"/>
              </w:rPr>
              <w:t>La copie originale d</w:t>
            </w:r>
            <w:r w:rsidR="00EF4DC9">
              <w:rPr>
                <w:color w:val="auto"/>
                <w:sz w:val="22"/>
                <w:szCs w:val="22"/>
                <w:lang w:val="fr-CA"/>
              </w:rPr>
              <w:t>evrait</w:t>
            </w:r>
            <w:r w:rsidRPr="0089013F">
              <w:rPr>
                <w:color w:val="auto"/>
                <w:sz w:val="22"/>
                <w:szCs w:val="22"/>
                <w:lang w:val="fr-CA"/>
              </w:rPr>
              <w:t xml:space="preserve"> être remise à l’employé. </w:t>
            </w:r>
          </w:p>
          <w:p w14:paraId="288A7EE2" w14:textId="77777777" w:rsidR="00AC58BF" w:rsidRPr="0089013F" w:rsidRDefault="00AC58BF">
            <w:pPr>
              <w:pStyle w:val="Default"/>
              <w:rPr>
                <w:color w:val="auto"/>
                <w:sz w:val="22"/>
                <w:szCs w:val="22"/>
                <w:lang w:val="fr-CA"/>
              </w:rPr>
            </w:pPr>
          </w:p>
          <w:p w14:paraId="64327B8A" w14:textId="0565F7CC" w:rsidR="00F05AB6" w:rsidRPr="0089013F" w:rsidRDefault="0042516C" w:rsidP="00DC1797">
            <w:pPr>
              <w:pStyle w:val="Default"/>
              <w:rPr>
                <w:color w:val="auto"/>
                <w:sz w:val="22"/>
                <w:szCs w:val="22"/>
                <w:lang w:val="fr-CA"/>
              </w:rPr>
            </w:pPr>
            <w:r w:rsidRPr="0089013F">
              <w:rPr>
                <w:color w:val="auto"/>
                <w:sz w:val="22"/>
                <w:szCs w:val="22"/>
                <w:lang w:val="fr-CA"/>
              </w:rPr>
              <w:t>Note</w:t>
            </w:r>
            <w:r w:rsidR="00AC58BF" w:rsidRPr="0089013F">
              <w:rPr>
                <w:color w:val="auto"/>
                <w:sz w:val="22"/>
                <w:szCs w:val="22"/>
                <w:lang w:val="fr-CA"/>
              </w:rPr>
              <w:t>:</w:t>
            </w:r>
            <w:r w:rsidR="00665DD4" w:rsidRPr="0089013F">
              <w:rPr>
                <w:color w:val="auto"/>
                <w:lang w:val="fr-CA"/>
              </w:rPr>
              <w:t xml:space="preserve"> </w:t>
            </w:r>
            <w:r w:rsidR="00665DD4" w:rsidRPr="0089013F">
              <w:rPr>
                <w:color w:val="auto"/>
                <w:sz w:val="22"/>
                <w:szCs w:val="22"/>
                <w:lang w:val="fr-CA"/>
              </w:rPr>
              <w:t xml:space="preserve">Toute personne qui commence à travailler sans avoir satisfait à cette exigence sera rémunérée pour le travail exécuté, mais elle ne sera pas considérée comme fonctionnaire en vertu de la </w:t>
            </w:r>
            <w:r w:rsidR="00665DD4" w:rsidRPr="00EF4DC9">
              <w:rPr>
                <w:i/>
                <w:color w:val="auto"/>
                <w:sz w:val="22"/>
                <w:szCs w:val="22"/>
                <w:lang w:val="fr-CA"/>
              </w:rPr>
              <w:t>Loi sur l’emploi dans la fonction publique</w:t>
            </w:r>
            <w:r w:rsidR="00665DD4" w:rsidRPr="0089013F">
              <w:rPr>
                <w:color w:val="auto"/>
                <w:sz w:val="22"/>
                <w:szCs w:val="22"/>
                <w:lang w:val="fr-CA"/>
              </w:rPr>
              <w:t xml:space="preserve"> (LEFP) tant qu’elle n’aura pas rempli cette condition. </w:t>
            </w:r>
            <w:r w:rsidR="00487C9B" w:rsidRPr="0089013F">
              <w:rPr>
                <w:color w:val="auto"/>
                <w:sz w:val="22"/>
                <w:szCs w:val="22"/>
                <w:lang w:val="fr-CA"/>
              </w:rPr>
              <w:t>L’a</w:t>
            </w:r>
            <w:r w:rsidR="00DC1797">
              <w:rPr>
                <w:color w:val="auto"/>
                <w:sz w:val="22"/>
                <w:szCs w:val="22"/>
                <w:lang w:val="fr-CA"/>
              </w:rPr>
              <w:t>dministration en temps opportun du</w:t>
            </w:r>
            <w:r w:rsidR="00487C9B" w:rsidRPr="0089013F">
              <w:rPr>
                <w:color w:val="auto"/>
                <w:sz w:val="22"/>
                <w:szCs w:val="22"/>
                <w:lang w:val="fr-CA"/>
              </w:rPr>
              <w:t xml:space="preserve"> serment ou </w:t>
            </w:r>
            <w:r w:rsidR="00DC1797">
              <w:rPr>
                <w:color w:val="auto"/>
                <w:sz w:val="22"/>
                <w:szCs w:val="22"/>
                <w:lang w:val="fr-CA"/>
              </w:rPr>
              <w:t xml:space="preserve">de </w:t>
            </w:r>
            <w:bookmarkStart w:id="0" w:name="_GoBack"/>
            <w:bookmarkEnd w:id="0"/>
            <w:r w:rsidR="00DC1797">
              <w:rPr>
                <w:color w:val="auto"/>
                <w:sz w:val="22"/>
                <w:szCs w:val="22"/>
                <w:lang w:val="fr-CA"/>
              </w:rPr>
              <w:t>l’</w:t>
            </w:r>
            <w:r w:rsidR="00487C9B" w:rsidRPr="0089013F">
              <w:rPr>
                <w:color w:val="auto"/>
                <w:sz w:val="22"/>
                <w:szCs w:val="22"/>
                <w:lang w:val="fr-CA"/>
              </w:rPr>
              <w:t>affirmation solennelle permet d’éviter de priver le fonctionnaire de ses avantages sociaux.</w:t>
            </w:r>
            <w:r w:rsidR="00487C9B" w:rsidRPr="0089013F" w:rsidDel="00487C9B">
              <w:rPr>
                <w:color w:val="auto"/>
                <w:sz w:val="22"/>
                <w:szCs w:val="22"/>
                <w:lang w:val="fr-CA"/>
              </w:rPr>
              <w:t xml:space="preserve"> </w:t>
            </w:r>
          </w:p>
        </w:tc>
      </w:tr>
    </w:tbl>
    <w:p w14:paraId="2B761F99" w14:textId="77777777" w:rsidR="00FC0426" w:rsidRPr="00794D0E" w:rsidRDefault="00FC0426">
      <w:pPr>
        <w:rPr>
          <w:lang w:val="fr-CA"/>
        </w:rPr>
      </w:pPr>
    </w:p>
    <w:sectPr w:rsidR="00FC0426" w:rsidRPr="00794D0E" w:rsidSect="00AA4FA7">
      <w:headerReference w:type="default" r:id="rId12"/>
      <w:footerReference w:type="default" r:id="rId13"/>
      <w:pgSz w:w="12242" w:h="20163"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63C8B" w14:textId="77777777" w:rsidR="00A21563" w:rsidRDefault="00A21563" w:rsidP="00E93AAD">
      <w:pPr>
        <w:spacing w:after="0" w:line="240" w:lineRule="auto"/>
      </w:pPr>
      <w:r>
        <w:separator/>
      </w:r>
    </w:p>
  </w:endnote>
  <w:endnote w:type="continuationSeparator" w:id="0">
    <w:p w14:paraId="6E7A0827" w14:textId="77777777" w:rsidR="00A21563" w:rsidRDefault="00A21563" w:rsidP="00E9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57C7" w14:textId="77777777" w:rsidR="00E93AAD" w:rsidRDefault="00E93AAD">
    <w:pPr>
      <w:pStyle w:val="Footer"/>
    </w:pPr>
    <w:r>
      <w:rPr>
        <w:noProof/>
        <w:lang w:val="en-CA" w:eastAsia="en-CA"/>
      </w:rPr>
      <w:drawing>
        <wp:anchor distT="0" distB="0" distL="114300" distR="114300" simplePos="0" relativeHeight="251661312" behindDoc="1" locked="0" layoutInCell="1" allowOverlap="1" wp14:anchorId="3616E51E" wp14:editId="27608000">
          <wp:simplePos x="0" y="0"/>
          <wp:positionH relativeFrom="column">
            <wp:posOffset>-543598</wp:posOffset>
          </wp:positionH>
          <wp:positionV relativeFrom="paragraph">
            <wp:posOffset>-276225</wp:posOffset>
          </wp:positionV>
          <wp:extent cx="7065264" cy="819912"/>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01.jpg"/>
                  <pic:cNvPicPr/>
                </pic:nvPicPr>
                <pic:blipFill>
                  <a:blip r:embed="rId1">
                    <a:extLst>
                      <a:ext uri="{28A0092B-C50C-407E-A947-70E740481C1C}">
                        <a14:useLocalDpi xmlns:a14="http://schemas.microsoft.com/office/drawing/2010/main" val="0"/>
                      </a:ext>
                    </a:extLst>
                  </a:blip>
                  <a:stretch>
                    <a:fillRect/>
                  </a:stretch>
                </pic:blipFill>
                <pic:spPr>
                  <a:xfrm>
                    <a:off x="0" y="0"/>
                    <a:ext cx="7065264" cy="81991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E9D95" w14:textId="77777777" w:rsidR="00A21563" w:rsidRDefault="00A21563" w:rsidP="00E93AAD">
      <w:pPr>
        <w:spacing w:after="0" w:line="240" w:lineRule="auto"/>
      </w:pPr>
      <w:r>
        <w:separator/>
      </w:r>
    </w:p>
  </w:footnote>
  <w:footnote w:type="continuationSeparator" w:id="0">
    <w:p w14:paraId="047363CD" w14:textId="77777777" w:rsidR="00A21563" w:rsidRDefault="00A21563" w:rsidP="00E93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83AD" w14:textId="77777777" w:rsidR="00E93AAD" w:rsidRDefault="00E93AAD">
    <w:pPr>
      <w:pStyle w:val="Header"/>
    </w:pPr>
    <w:r>
      <w:rPr>
        <w:noProof/>
        <w:lang w:val="en-CA" w:eastAsia="en-CA"/>
      </w:rPr>
      <w:drawing>
        <wp:anchor distT="0" distB="0" distL="114300" distR="114300" simplePos="0" relativeHeight="251659264" behindDoc="1" locked="0" layoutInCell="1" allowOverlap="1" wp14:anchorId="32B9ADDA" wp14:editId="184F5259">
          <wp:simplePos x="0" y="0"/>
          <wp:positionH relativeFrom="column">
            <wp:posOffset>-472344</wp:posOffset>
          </wp:positionH>
          <wp:positionV relativeFrom="paragraph">
            <wp:posOffset>-126365</wp:posOffset>
          </wp:positionV>
          <wp:extent cx="6992112" cy="9845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E-01.jpg"/>
                  <pic:cNvPicPr/>
                </pic:nvPicPr>
                <pic:blipFill>
                  <a:blip r:embed="rId1">
                    <a:extLst>
                      <a:ext uri="{28A0092B-C50C-407E-A947-70E740481C1C}">
                        <a14:useLocalDpi xmlns:a14="http://schemas.microsoft.com/office/drawing/2010/main" val="0"/>
                      </a:ext>
                    </a:extLst>
                  </a:blip>
                  <a:stretch>
                    <a:fillRect/>
                  </a:stretch>
                </pic:blipFill>
                <pic:spPr>
                  <a:xfrm>
                    <a:off x="0" y="0"/>
                    <a:ext cx="6992112" cy="98450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3A8"/>
    <w:multiLevelType w:val="hybridMultilevel"/>
    <w:tmpl w:val="FE00F30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0245728"/>
    <w:multiLevelType w:val="hybridMultilevel"/>
    <w:tmpl w:val="9DE0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05182"/>
    <w:multiLevelType w:val="hybridMultilevel"/>
    <w:tmpl w:val="922AC20A"/>
    <w:lvl w:ilvl="0" w:tplc="C236284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466357E"/>
    <w:multiLevelType w:val="hybridMultilevel"/>
    <w:tmpl w:val="E628304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1381874"/>
    <w:multiLevelType w:val="hybridMultilevel"/>
    <w:tmpl w:val="C12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F66E7"/>
    <w:multiLevelType w:val="hybridMultilevel"/>
    <w:tmpl w:val="F54A9CA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B6"/>
    <w:rsid w:val="000044C8"/>
    <w:rsid w:val="00061DD9"/>
    <w:rsid w:val="000C53C3"/>
    <w:rsid w:val="000D4865"/>
    <w:rsid w:val="00106C82"/>
    <w:rsid w:val="001636E4"/>
    <w:rsid w:val="00166F01"/>
    <w:rsid w:val="001737CD"/>
    <w:rsid w:val="0018579C"/>
    <w:rsid w:val="00205548"/>
    <w:rsid w:val="00210303"/>
    <w:rsid w:val="00242BE6"/>
    <w:rsid w:val="00254D91"/>
    <w:rsid w:val="00261D33"/>
    <w:rsid w:val="002C4B4B"/>
    <w:rsid w:val="002F0FF9"/>
    <w:rsid w:val="003323B3"/>
    <w:rsid w:val="003335A8"/>
    <w:rsid w:val="00364CBD"/>
    <w:rsid w:val="0039052A"/>
    <w:rsid w:val="00407A5F"/>
    <w:rsid w:val="0042516C"/>
    <w:rsid w:val="00487C9B"/>
    <w:rsid w:val="0049182C"/>
    <w:rsid w:val="004970AA"/>
    <w:rsid w:val="004B4BC2"/>
    <w:rsid w:val="004C2671"/>
    <w:rsid w:val="004F3974"/>
    <w:rsid w:val="00517DEF"/>
    <w:rsid w:val="00523B50"/>
    <w:rsid w:val="005248A5"/>
    <w:rsid w:val="005B3BF3"/>
    <w:rsid w:val="005C5EA1"/>
    <w:rsid w:val="005F5266"/>
    <w:rsid w:val="00665DD4"/>
    <w:rsid w:val="0068253B"/>
    <w:rsid w:val="006F7B5D"/>
    <w:rsid w:val="00710244"/>
    <w:rsid w:val="00726673"/>
    <w:rsid w:val="0073575E"/>
    <w:rsid w:val="00737DB7"/>
    <w:rsid w:val="007418EE"/>
    <w:rsid w:val="00766518"/>
    <w:rsid w:val="00766E86"/>
    <w:rsid w:val="00767C55"/>
    <w:rsid w:val="00794D0E"/>
    <w:rsid w:val="0079751C"/>
    <w:rsid w:val="007F3BBE"/>
    <w:rsid w:val="007F790D"/>
    <w:rsid w:val="008301EE"/>
    <w:rsid w:val="00857C7B"/>
    <w:rsid w:val="0089013F"/>
    <w:rsid w:val="008C69BE"/>
    <w:rsid w:val="008D435E"/>
    <w:rsid w:val="008F2DD5"/>
    <w:rsid w:val="00920559"/>
    <w:rsid w:val="00972CB2"/>
    <w:rsid w:val="00991432"/>
    <w:rsid w:val="00991A87"/>
    <w:rsid w:val="00996DA6"/>
    <w:rsid w:val="009A02D4"/>
    <w:rsid w:val="009C604F"/>
    <w:rsid w:val="009F3F4F"/>
    <w:rsid w:val="00A00B73"/>
    <w:rsid w:val="00A0567D"/>
    <w:rsid w:val="00A21563"/>
    <w:rsid w:val="00A322D1"/>
    <w:rsid w:val="00A338C7"/>
    <w:rsid w:val="00AA4FA7"/>
    <w:rsid w:val="00AC58BF"/>
    <w:rsid w:val="00B262B1"/>
    <w:rsid w:val="00B34EAE"/>
    <w:rsid w:val="00B61538"/>
    <w:rsid w:val="00B82CBE"/>
    <w:rsid w:val="00B85CB8"/>
    <w:rsid w:val="00C25B2F"/>
    <w:rsid w:val="00C31913"/>
    <w:rsid w:val="00C37A86"/>
    <w:rsid w:val="00C819AA"/>
    <w:rsid w:val="00D0047B"/>
    <w:rsid w:val="00D020D7"/>
    <w:rsid w:val="00D26DE3"/>
    <w:rsid w:val="00D348BE"/>
    <w:rsid w:val="00DB2F00"/>
    <w:rsid w:val="00DC1797"/>
    <w:rsid w:val="00DC3F5E"/>
    <w:rsid w:val="00DD3AFB"/>
    <w:rsid w:val="00DF41B7"/>
    <w:rsid w:val="00E37419"/>
    <w:rsid w:val="00E47B6E"/>
    <w:rsid w:val="00E54127"/>
    <w:rsid w:val="00E75F31"/>
    <w:rsid w:val="00E9396B"/>
    <w:rsid w:val="00E93AAD"/>
    <w:rsid w:val="00EA3BA6"/>
    <w:rsid w:val="00EE4F79"/>
    <w:rsid w:val="00EF4DC9"/>
    <w:rsid w:val="00F00F9D"/>
    <w:rsid w:val="00F05AB6"/>
    <w:rsid w:val="00F31B8C"/>
    <w:rsid w:val="00F54A5D"/>
    <w:rsid w:val="00F912BD"/>
    <w:rsid w:val="00F93936"/>
    <w:rsid w:val="00FC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757B"/>
  <w15:docId w15:val="{4CD8065E-2D16-414E-BADF-CA49E6D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AB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F3F4F"/>
    <w:rPr>
      <w:sz w:val="16"/>
      <w:szCs w:val="16"/>
    </w:rPr>
  </w:style>
  <w:style w:type="paragraph" w:styleId="CommentText">
    <w:name w:val="annotation text"/>
    <w:basedOn w:val="Normal"/>
    <w:link w:val="CommentTextChar"/>
    <w:uiPriority w:val="99"/>
    <w:semiHidden/>
    <w:unhideWhenUsed/>
    <w:rsid w:val="009F3F4F"/>
    <w:pPr>
      <w:spacing w:line="240" w:lineRule="auto"/>
    </w:pPr>
    <w:rPr>
      <w:sz w:val="20"/>
      <w:szCs w:val="20"/>
    </w:rPr>
  </w:style>
  <w:style w:type="character" w:customStyle="1" w:styleId="CommentTextChar">
    <w:name w:val="Comment Text Char"/>
    <w:basedOn w:val="DefaultParagraphFont"/>
    <w:link w:val="CommentText"/>
    <w:uiPriority w:val="99"/>
    <w:semiHidden/>
    <w:rsid w:val="009F3F4F"/>
    <w:rPr>
      <w:sz w:val="20"/>
      <w:szCs w:val="20"/>
    </w:rPr>
  </w:style>
  <w:style w:type="paragraph" w:styleId="CommentSubject">
    <w:name w:val="annotation subject"/>
    <w:basedOn w:val="CommentText"/>
    <w:next w:val="CommentText"/>
    <w:link w:val="CommentSubjectChar"/>
    <w:uiPriority w:val="99"/>
    <w:semiHidden/>
    <w:unhideWhenUsed/>
    <w:rsid w:val="009F3F4F"/>
    <w:rPr>
      <w:b/>
      <w:bCs/>
    </w:rPr>
  </w:style>
  <w:style w:type="character" w:customStyle="1" w:styleId="CommentSubjectChar">
    <w:name w:val="Comment Subject Char"/>
    <w:basedOn w:val="CommentTextChar"/>
    <w:link w:val="CommentSubject"/>
    <w:uiPriority w:val="99"/>
    <w:semiHidden/>
    <w:rsid w:val="009F3F4F"/>
    <w:rPr>
      <w:b/>
      <w:bCs/>
      <w:sz w:val="20"/>
      <w:szCs w:val="20"/>
    </w:rPr>
  </w:style>
  <w:style w:type="paragraph" w:styleId="BalloonText">
    <w:name w:val="Balloon Text"/>
    <w:basedOn w:val="Normal"/>
    <w:link w:val="BalloonTextChar"/>
    <w:uiPriority w:val="99"/>
    <w:semiHidden/>
    <w:unhideWhenUsed/>
    <w:rsid w:val="009F3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F4F"/>
    <w:rPr>
      <w:rFonts w:ascii="Tahoma" w:hAnsi="Tahoma" w:cs="Tahoma"/>
      <w:sz w:val="16"/>
      <w:szCs w:val="16"/>
    </w:rPr>
  </w:style>
  <w:style w:type="paragraph" w:styleId="ListParagraph">
    <w:name w:val="List Paragraph"/>
    <w:basedOn w:val="Normal"/>
    <w:uiPriority w:val="34"/>
    <w:qFormat/>
    <w:rsid w:val="00E9396B"/>
    <w:pPr>
      <w:ind w:left="720"/>
      <w:contextualSpacing/>
    </w:pPr>
  </w:style>
  <w:style w:type="paragraph" w:styleId="Header">
    <w:name w:val="header"/>
    <w:basedOn w:val="Normal"/>
    <w:link w:val="HeaderChar"/>
    <w:uiPriority w:val="99"/>
    <w:unhideWhenUsed/>
    <w:rsid w:val="00E93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AAD"/>
  </w:style>
  <w:style w:type="paragraph" w:styleId="Footer">
    <w:name w:val="footer"/>
    <w:basedOn w:val="Normal"/>
    <w:link w:val="FooterChar"/>
    <w:uiPriority w:val="99"/>
    <w:unhideWhenUsed/>
    <w:rsid w:val="00E93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AAD"/>
  </w:style>
  <w:style w:type="character" w:styleId="Hyperlink">
    <w:name w:val="Hyperlink"/>
    <w:basedOn w:val="DefaultParagraphFont"/>
    <w:uiPriority w:val="99"/>
    <w:unhideWhenUsed/>
    <w:rsid w:val="008301EE"/>
    <w:rPr>
      <w:color w:val="0000FF" w:themeColor="hyperlink"/>
      <w:u w:val="single"/>
    </w:rPr>
  </w:style>
  <w:style w:type="character" w:styleId="FollowedHyperlink">
    <w:name w:val="FollowedHyperlink"/>
    <w:basedOn w:val="DefaultParagraphFont"/>
    <w:uiPriority w:val="99"/>
    <w:semiHidden/>
    <w:unhideWhenUsed/>
    <w:rsid w:val="00A05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390">
      <w:bodyDiv w:val="1"/>
      <w:marLeft w:val="0"/>
      <w:marRight w:val="0"/>
      <w:marTop w:val="0"/>
      <w:marBottom w:val="0"/>
      <w:divBdr>
        <w:top w:val="none" w:sz="0" w:space="0" w:color="auto"/>
        <w:left w:val="none" w:sz="0" w:space="0" w:color="auto"/>
        <w:bottom w:val="none" w:sz="0" w:space="0" w:color="auto"/>
        <w:right w:val="none" w:sz="0" w:space="0" w:color="auto"/>
      </w:divBdr>
    </w:div>
    <w:div w:id="159732899">
      <w:bodyDiv w:val="1"/>
      <w:marLeft w:val="0"/>
      <w:marRight w:val="0"/>
      <w:marTop w:val="0"/>
      <w:marBottom w:val="0"/>
      <w:divBdr>
        <w:top w:val="none" w:sz="0" w:space="0" w:color="auto"/>
        <w:left w:val="none" w:sz="0" w:space="0" w:color="auto"/>
        <w:bottom w:val="none" w:sz="0" w:space="0" w:color="auto"/>
        <w:right w:val="none" w:sz="0" w:space="0" w:color="auto"/>
      </w:divBdr>
    </w:div>
    <w:div w:id="1569614640">
      <w:bodyDiv w:val="1"/>
      <w:marLeft w:val="0"/>
      <w:marRight w:val="0"/>
      <w:marTop w:val="0"/>
      <w:marBottom w:val="0"/>
      <w:divBdr>
        <w:top w:val="none" w:sz="0" w:space="0" w:color="auto"/>
        <w:left w:val="none" w:sz="0" w:space="0" w:color="auto"/>
        <w:bottom w:val="none" w:sz="0" w:space="0" w:color="auto"/>
        <w:right w:val="none" w:sz="0" w:space="0" w:color="auto"/>
      </w:divBdr>
    </w:div>
    <w:div w:id="1836459074">
      <w:bodyDiv w:val="1"/>
      <w:marLeft w:val="0"/>
      <w:marRight w:val="0"/>
      <w:marTop w:val="0"/>
      <w:marBottom w:val="0"/>
      <w:divBdr>
        <w:top w:val="none" w:sz="0" w:space="0" w:color="auto"/>
        <w:left w:val="none" w:sz="0" w:space="0" w:color="auto"/>
        <w:bottom w:val="none" w:sz="0" w:space="0" w:color="auto"/>
        <w:right w:val="none" w:sz="0" w:space="0" w:color="auto"/>
      </w:divBdr>
    </w:div>
    <w:div w:id="18990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service-app.pwgsc.gc.ca/forms/pdf/51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ervice.prv/fra/rh/dotation/coin_gestionnaires/delegation_et_responsabilisa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service-app.pwgsc.gc.ca/forms/pdf/518.pdf" TargetMode="External"/><Relationship Id="rId4" Type="http://schemas.openxmlformats.org/officeDocument/2006/relationships/settings" Target="settings.xml"/><Relationship Id="rId9" Type="http://schemas.openxmlformats.org/officeDocument/2006/relationships/hyperlink" Target="http://iservice.prv/eng/hr/staffing/managers_corner/delegation_and_accountability.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036A-B576-41E6-BEBE-B3004BD5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Fleurent, Karine [NC]</dc:creator>
  <cp:lastModifiedBy>Turpin, Stephanie S [NC]</cp:lastModifiedBy>
  <cp:revision>5</cp:revision>
  <cp:lastPrinted>2019-05-09T14:05:00Z</cp:lastPrinted>
  <dcterms:created xsi:type="dcterms:W3CDTF">2019-05-10T12:28:00Z</dcterms:created>
  <dcterms:modified xsi:type="dcterms:W3CDTF">2019-05-10T12:40:00Z</dcterms:modified>
</cp:coreProperties>
</file>