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86" w:rsidRPr="002F6E4C" w:rsidRDefault="00250A10" w:rsidP="00B13786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val="en" w:eastAsia="en-CA"/>
        </w:rPr>
        <w:t xml:space="preserve">Service </w:t>
      </w:r>
      <w:r w:rsidR="00B13786" w:rsidRPr="002F6E4C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val="en" w:eastAsia="en-CA"/>
        </w:rPr>
        <w:t>Union</w:t>
      </w:r>
      <w:r w:rsidRPr="002F6E4C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val="en" w:eastAsia="en-CA"/>
        </w:rPr>
        <w:t>-Management</w:t>
      </w:r>
      <w:r w:rsidR="00B13786" w:rsidRPr="002F6E4C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val="en" w:eastAsia="en-CA"/>
        </w:rPr>
        <w:t xml:space="preserve"> Consultation Committee </w:t>
      </w:r>
    </w:p>
    <w:p w:rsidR="00C0606F" w:rsidRPr="002F6E4C" w:rsidRDefault="00C0606F" w:rsidP="00C0606F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iCs/>
          <w:sz w:val="28"/>
          <w:szCs w:val="28"/>
          <w:lang w:val="en" w:eastAsia="en-CA"/>
        </w:rPr>
        <w:t xml:space="preserve">Terms of </w:t>
      </w:r>
      <w:r w:rsidRPr="002F6E4C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val="en" w:eastAsia="en-CA"/>
        </w:rPr>
        <w:t>Reference</w:t>
      </w:r>
      <w:r w:rsidRPr="002F6E4C">
        <w:rPr>
          <w:rFonts w:ascii="Arial Narrow" w:eastAsia="Times New Roman" w:hAnsi="Arial Narrow" w:cs="Times New Roman"/>
          <w:b/>
          <w:bCs/>
          <w:sz w:val="28"/>
          <w:szCs w:val="28"/>
          <w:lang w:val="en" w:eastAsia="en-CA"/>
        </w:rPr>
        <w:t xml:space="preserve"> </w:t>
      </w:r>
    </w:p>
    <w:p w:rsidR="009E40F9" w:rsidRPr="002F6E4C" w:rsidRDefault="002E32EB" w:rsidP="009E40F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MANDATE</w:t>
      </w:r>
    </w:p>
    <w:p w:rsidR="009E40F9" w:rsidRPr="002F6E4C" w:rsidRDefault="000D2384" w:rsidP="009E40F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The mandate of th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e </w:t>
      </w:r>
      <w:r w:rsidR="00250A10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>Service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 xml:space="preserve"> 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Union</w:t>
      </w:r>
      <w:r w:rsidR="00250A1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-Management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Consultation Committee</w:t>
      </w:r>
      <w:r w:rsidR="00250A1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(SUMCC)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  <w:r w:rsidR="009E40F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is to provide a forum for meaningful and timely 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information sharing and </w:t>
      </w:r>
      <w:r w:rsidR="009E40F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consultation 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on</w:t>
      </w:r>
      <w:r w:rsidR="003637FC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national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  <w:r w:rsidR="00250A1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initiatives and issues relative to the delivery of national programs across the service network, as well as </w:t>
      </w:r>
      <w:r w:rsidR="007D6E7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the development and </w:t>
      </w:r>
      <w:r w:rsidR="00250A1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implementation of Service Transformation.</w:t>
      </w:r>
    </w:p>
    <w:p w:rsidR="00B91191" w:rsidRPr="002F6E4C" w:rsidRDefault="005A523C" w:rsidP="00B13786">
      <w:pPr>
        <w:tabs>
          <w:tab w:val="num" w:pos="720"/>
        </w:tabs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This 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Committee is intended to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co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mplement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established mechanisms and forums for union-management interaction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>such as the National Labour-Management Consultation Committee (NLMCC) and the Human Resources Union Management Consultation Committee (HRUMCC)</w:t>
      </w:r>
      <w:r w:rsidR="00250A10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>, as well as regional, branch and local union-management consultation committees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>.</w:t>
      </w:r>
      <w:r w:rsidR="00320718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 xml:space="preserve"> </w:t>
      </w:r>
    </w:p>
    <w:p w:rsidR="0067688A" w:rsidRPr="002F6E4C" w:rsidRDefault="00B13786" w:rsidP="00B13786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 xml:space="preserve"> </w:t>
      </w:r>
      <w:r w:rsidR="009E40F9"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ACTIVITIES</w:t>
      </w:r>
    </w:p>
    <w:p w:rsidR="009E40F9" w:rsidRPr="002F6E4C" w:rsidRDefault="009E40F9" w:rsidP="002F6E4C">
      <w:p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The </w:t>
      </w:r>
      <w:r w:rsidR="00250A1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SUMCC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will:</w:t>
      </w:r>
    </w:p>
    <w:p w:rsidR="00250A10" w:rsidRPr="002F6E4C" w:rsidRDefault="00250A10" w:rsidP="002F6E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Receive </w:t>
      </w:r>
      <w:r w:rsidR="00E5538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updates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  <w:r w:rsidR="00E5538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on service channels and on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the programs delivered through </w:t>
      </w:r>
      <w:r w:rsidR="00A81C3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Service Canada’s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service network</w:t>
      </w:r>
      <w:r w:rsidR="00E5538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;</w:t>
      </w:r>
    </w:p>
    <w:p w:rsidR="00E5538F" w:rsidRPr="002F6E4C" w:rsidRDefault="00E5538F" w:rsidP="002F6E4C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Receive updates on </w:t>
      </w:r>
      <w:r w:rsidR="007D6E7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the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progress of the ESDC Service Transformation Plan;</w:t>
      </w:r>
    </w:p>
    <w:p w:rsidR="00250A10" w:rsidRPr="002F6E4C" w:rsidRDefault="00250A10" w:rsidP="002F6E4C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Discuss </w:t>
      </w:r>
      <w:r w:rsidR="003637FC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and consult on </w:t>
      </w:r>
      <w:r w:rsidR="00A81C3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service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delivery</w:t>
      </w:r>
      <w:r w:rsidR="00E5538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issues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that are national in scope and have long-term implications;</w:t>
      </w:r>
    </w:p>
    <w:p w:rsidR="00BD3910" w:rsidRPr="002F6E4C" w:rsidRDefault="00BD3910" w:rsidP="002F6E4C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Consult on the participation of employees and union representatives in the design and development of service improvements and transformation initiatives;</w:t>
      </w:r>
    </w:p>
    <w:p w:rsidR="00E5538F" w:rsidRPr="002F6E4C" w:rsidRDefault="007D6E74" w:rsidP="002F6E4C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Discuss </w:t>
      </w:r>
      <w:r w:rsidR="003637FC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and consult </w:t>
      </w:r>
      <w:r w:rsidR="00BD391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on the</w:t>
      </w:r>
      <w:r w:rsidR="00E5538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implementation o</w:t>
      </w:r>
      <w:r w:rsidR="00BD391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f operational changes and the related change management approaches</w:t>
      </w:r>
      <w:r w:rsidR="00E62C4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and transition plans</w:t>
      </w:r>
      <w:r w:rsidR="00E5538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;</w:t>
      </w:r>
    </w:p>
    <w:p w:rsidR="00F57E85" w:rsidRPr="002F6E4C" w:rsidRDefault="00F57E85" w:rsidP="002F6E4C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Discuss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matters 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from regional and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>/or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branch levels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, 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only when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such matters have 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already been discussed at the applicable regional and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eastAsia="en-CA"/>
        </w:rPr>
        <w:t>/or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branch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union-management </w:t>
      </w:r>
      <w:r w:rsidR="00C12F08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committee </w:t>
      </w:r>
      <w:r w:rsidR="00E97DB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prior to escalation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.</w:t>
      </w:r>
    </w:p>
    <w:p w:rsidR="00D87B91" w:rsidRPr="002F6E4C" w:rsidRDefault="00B13786" w:rsidP="002F6E4C">
      <w:pPr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Refer matters requiring broader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or specific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consultations to the appropriate existing governance bodies, as needed (e.g., NLMCC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,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HRUMCC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, NPHSC and RLMCC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).</w:t>
      </w:r>
    </w:p>
    <w:p w:rsidR="00B13786" w:rsidRPr="002F6E4C" w:rsidRDefault="007D6E74" w:rsidP="00B13786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MEETINGS</w:t>
      </w:r>
    </w:p>
    <w:p w:rsidR="00B13786" w:rsidRPr="002F6E4C" w:rsidRDefault="00BD3910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Meetings </w:t>
      </w:r>
      <w:proofErr w:type="gramStart"/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will be held</w:t>
      </w:r>
      <w:proofErr w:type="gramEnd"/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quarterly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unless mutually deemed preferable to </w:t>
      </w:r>
      <w:r w:rsidR="007D6E7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modify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frequency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.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</w:p>
    <w:p w:rsidR="0090478B" w:rsidRPr="002F6E4C" w:rsidRDefault="00BD3910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Meetings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will last 120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minutes unless mutually agreed otherwise prior to the meeting.</w:t>
      </w:r>
    </w:p>
    <w:p w:rsidR="0067688A" w:rsidRPr="002F6E4C" w:rsidRDefault="0067688A" w:rsidP="0067688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p w:rsidR="0067688A" w:rsidRPr="002F6E4C" w:rsidRDefault="0067688A" w:rsidP="0067688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p w:rsidR="0067688A" w:rsidRPr="002F6E4C" w:rsidRDefault="0067688A" w:rsidP="0067688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p w:rsidR="0067688A" w:rsidRPr="002F6E4C" w:rsidRDefault="0067688A" w:rsidP="0067688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p w:rsidR="009E40F9" w:rsidRPr="002F6E4C" w:rsidRDefault="009E40F9" w:rsidP="009E40F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lastRenderedPageBreak/>
        <w:t>MEMBERSHIP</w:t>
      </w:r>
    </w:p>
    <w:p w:rsidR="00B13786" w:rsidRPr="002F6E4C" w:rsidRDefault="00B13786" w:rsidP="00EF4525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Management Members:</w:t>
      </w:r>
    </w:p>
    <w:p w:rsidR="0090478B" w:rsidRPr="002F6E4C" w:rsidRDefault="0090478B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Cliff Groen, Assistant Deputy Minister, Benefits Delivery Services and Co-Chair of the Service Union-Management Consultation Committee </w:t>
      </w:r>
    </w:p>
    <w:p w:rsidR="007424CD" w:rsidRPr="002F6E4C" w:rsidRDefault="007424CD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Benoît Long, Senior Assistant Deputy Minister, Transformation and Integrated Services Branch</w:t>
      </w:r>
    </w:p>
    <w:p w:rsidR="00B13786" w:rsidRPr="002F6E4C" w:rsidRDefault="00B13786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Peter Simeoni, </w:t>
      </w:r>
      <w:r w:rsidR="00C9493A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Assistant Deputy Minister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, </w:t>
      </w:r>
      <w:r w:rsidR="00C9493A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Citizen Services Branch</w:t>
      </w:r>
    </w:p>
    <w:p w:rsidR="002978AD" w:rsidRPr="002F6E4C" w:rsidRDefault="002978AD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Élise Boisjoly, Assistant Deputy Minister, Integrity Services Branch</w:t>
      </w:r>
    </w:p>
    <w:p w:rsidR="00282E5E" w:rsidRPr="002F6E4C" w:rsidRDefault="00282E5E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Heather Sheehy, Director General, </w:t>
      </w:r>
      <w:r w:rsidR="00286A5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Strategic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P</w:t>
      </w:r>
      <w:r w:rsidR="00286A5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olicy Research</w:t>
      </w:r>
      <w:r w:rsidR="006643F5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Directorate</w:t>
      </w:r>
      <w:r w:rsidR="00286A5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</w:p>
    <w:p w:rsidR="002978AD" w:rsidRPr="002F6E4C" w:rsidRDefault="002978AD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Stéphanie Hébert, Assistant Deputy Minister, Program Operations Branch</w:t>
      </w:r>
    </w:p>
    <w:p w:rsidR="00B13786" w:rsidRPr="002F6E4C" w:rsidRDefault="00B13786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Mary Ann Triggs, </w:t>
      </w:r>
      <w:r w:rsidR="00C9493A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Assistant Deputy Minister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, Ontario Region</w:t>
      </w:r>
    </w:p>
    <w:p w:rsidR="00FA581F" w:rsidRPr="002F6E4C" w:rsidRDefault="00FA581F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Claire Caloren, Assistant Deputy Minister, Quebec Region</w:t>
      </w:r>
    </w:p>
    <w:p w:rsidR="00FA581F" w:rsidRPr="002F6E4C" w:rsidRDefault="00A81C34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Sara</w:t>
      </w:r>
      <w:r w:rsidR="00FA581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Filbee, Assistant Deputy Minister, Atlantic Region</w:t>
      </w:r>
    </w:p>
    <w:p w:rsidR="00FA581F" w:rsidRPr="002F6E4C" w:rsidRDefault="00FA581F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Sylvie Bérubé, Assistant Deputy Minister, Western and Territories Region</w:t>
      </w:r>
    </w:p>
    <w:p w:rsidR="002B7DCE" w:rsidRPr="002F6E4C" w:rsidRDefault="002B7DCE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Gail Johnson, Assistant Deputy Minister</w:t>
      </w:r>
      <w:r w:rsidR="00966EF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, Human Resources Services Branch</w:t>
      </w:r>
    </w:p>
    <w:p w:rsidR="00B13786" w:rsidRPr="002F6E4C" w:rsidRDefault="00B13786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Danièle Besner, </w:t>
      </w:r>
      <w:r w:rsidR="00E62C40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Director General</w:t>
      </w:r>
      <w:r w:rsidR="00966EF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, Human Resources Services Branch,</w:t>
      </w:r>
      <w:r w:rsidR="00FA581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Workplace Management</w:t>
      </w:r>
      <w:r w:rsidR="006643F5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Directorate</w:t>
      </w:r>
    </w:p>
    <w:p w:rsidR="002B7DCE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Guy Cyr, </w:t>
      </w:r>
      <w:r w:rsidR="002B7DCE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Director,</w:t>
      </w:r>
      <w:r w:rsidR="002B7DCE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 xml:space="preserve"> </w:t>
      </w:r>
      <w:r w:rsidR="00966EFF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Human Resources Services Branch</w:t>
      </w:r>
      <w:r w:rsidR="00966EFF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 xml:space="preserve">, </w:t>
      </w:r>
      <w:r w:rsidR="002B7DCE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Labour Relations</w:t>
      </w:r>
    </w:p>
    <w:p w:rsidR="009E40F9" w:rsidRPr="002F6E4C" w:rsidRDefault="00EE30F3" w:rsidP="008A48C3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U</w:t>
      </w:r>
      <w:r w:rsidR="003728B7"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nions</w:t>
      </w: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 xml:space="preserve"> </w:t>
      </w:r>
      <w:r w:rsidR="009E40F9"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Members:</w:t>
      </w:r>
      <w:r w:rsidR="009E40F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</w:p>
    <w:p w:rsidR="0090478B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Stan Buday,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President, National Consultation Team, PIPSC and Co-Chair of the Service Union-Management Consultation Committee </w:t>
      </w:r>
    </w:p>
    <w:p w:rsidR="0090478B" w:rsidRPr="002F6E4C" w:rsidRDefault="00320718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Adèle Maclean</w:t>
      </w:r>
      <w:r w:rsidR="006643F5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,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Vice-President, National Consultation Team, PIPSC</w:t>
      </w:r>
    </w:p>
    <w:p w:rsidR="003728B7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Eddy Bourque, </w:t>
      </w:r>
      <w:r w:rsidR="00EF35A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National President, CEIU </w:t>
      </w:r>
      <w:r w:rsidR="007D6E7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–</w:t>
      </w:r>
      <w:r w:rsidR="00EF35A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PSAC</w:t>
      </w:r>
    </w:p>
    <w:p w:rsidR="00EF35A6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Crystal Warner, </w:t>
      </w:r>
      <w:r w:rsidR="00EF35A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National Executive Vice-President, </w:t>
      </w:r>
      <w:r w:rsidR="00D3710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C</w:t>
      </w:r>
      <w:r w:rsidR="00EF35A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EIU – PSAC</w:t>
      </w:r>
    </w:p>
    <w:p w:rsidR="0090478B" w:rsidRPr="00E40829" w:rsidRDefault="0090478B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fr-FR" w:eastAsia="en-CA"/>
        </w:rPr>
      </w:pPr>
      <w:r w:rsidRPr="00E40829">
        <w:rPr>
          <w:rFonts w:ascii="Arial Narrow" w:eastAsia="Times New Roman" w:hAnsi="Arial Narrow" w:cs="Times New Roman"/>
          <w:sz w:val="24"/>
          <w:szCs w:val="24"/>
          <w:lang w:val="fr-FR" w:eastAsia="en-CA"/>
        </w:rPr>
        <w:t>Fabienne Jean-François, Alternate National Executive Vice-President, CEIU – PSAC</w:t>
      </w:r>
    </w:p>
    <w:p w:rsidR="0090478B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Jacques Perrin,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National Vice-President, National Capital Region, CEIU – PSAC</w:t>
      </w:r>
    </w:p>
    <w:p w:rsidR="00B45F06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Luc Pomerleau, </w:t>
      </w:r>
      <w:r w:rsidR="00B45F0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National Resources Officer, CEIU - PSAC</w:t>
      </w:r>
    </w:p>
    <w:p w:rsidR="00A53F2F" w:rsidRPr="002F6E4C" w:rsidRDefault="00A53F2F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Karl Lafreniere</w:t>
      </w:r>
      <w:r w:rsidR="006643F5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, </w:t>
      </w: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Regional Vice-President, UNE – PSAC</w:t>
      </w:r>
    </w:p>
    <w:p w:rsidR="0090478B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Rose Touhey,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Assistant Regional Vice President, Outside Canada, UNE – PSAC</w:t>
      </w:r>
    </w:p>
    <w:p w:rsidR="0090478B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Jim McDonald,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Labour Relations Advisor, UNE – PSAC</w:t>
      </w:r>
    </w:p>
    <w:p w:rsidR="0090478B" w:rsidRPr="002F6E4C" w:rsidRDefault="006643F5" w:rsidP="002F6E4C">
      <w:pPr>
        <w:pStyle w:val="ListParagraph"/>
        <w:numPr>
          <w:ilvl w:val="0"/>
          <w:numId w:val="1"/>
        </w:numPr>
        <w:tabs>
          <w:tab w:val="clear" w:pos="360"/>
          <w:tab w:val="num" w:pos="714"/>
        </w:tabs>
        <w:spacing w:before="100" w:beforeAutospacing="1" w:after="100" w:afterAutospacing="1" w:line="240" w:lineRule="auto"/>
        <w:ind w:left="709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Karen Brook, </w:t>
      </w:r>
      <w:r w:rsidR="0090478B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Labour Relations Officer, CAPE</w:t>
      </w:r>
    </w:p>
    <w:p w:rsidR="00EF4525" w:rsidRPr="002F6E4C" w:rsidRDefault="00EF4525" w:rsidP="009E40F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Replacements</w:t>
      </w:r>
    </w:p>
    <w:p w:rsidR="0090478B" w:rsidRPr="002F6E4C" w:rsidRDefault="00EF4525" w:rsidP="009E40F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Members may identify replacements when unable to attend a committee meeting.  In such cases, the Secretariat must be advised prior to the committee meeting being held.  The Secretariat will in turn advise the co-chairs.</w:t>
      </w:r>
    </w:p>
    <w:p w:rsidR="00EF4525" w:rsidRPr="002F6E4C" w:rsidRDefault="00EF4525" w:rsidP="009E40F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Guests</w:t>
      </w:r>
    </w:p>
    <w:p w:rsidR="00EF4525" w:rsidRPr="002F6E4C" w:rsidRDefault="00EF4525" w:rsidP="009E40F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Guests may be invited to attend a committee meeting upon approval from the co-chairs.  Members wanting to invite a guest must first advise the Secretariat prior to the committee meeting being held.  The Secretariat will in turn seek approval from the co-chairs</w:t>
      </w:r>
      <w:r w:rsidR="00095FCE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 xml:space="preserve"> and communicate the decision</w:t>
      </w:r>
      <w:r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.</w:t>
      </w:r>
    </w:p>
    <w:p w:rsidR="009F45A9" w:rsidRPr="002F6E4C" w:rsidRDefault="009F45A9" w:rsidP="009F45A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 xml:space="preserve">Meeting Material </w:t>
      </w:r>
    </w:p>
    <w:p w:rsidR="009F45A9" w:rsidRPr="002F6E4C" w:rsidRDefault="009F45A9" w:rsidP="009F45A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Meeting material will be distributed to all the members at least one week in advance of the scheduled </w:t>
      </w:r>
      <w:r w:rsidR="007E63C9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meeting, or as they become available. </w:t>
      </w:r>
    </w:p>
    <w:p w:rsidR="009E40F9" w:rsidRPr="002F6E4C" w:rsidRDefault="007D6E74" w:rsidP="009E40F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b/>
          <w:bCs/>
          <w:sz w:val="24"/>
          <w:szCs w:val="24"/>
          <w:lang w:val="en" w:eastAsia="en-CA"/>
        </w:rPr>
        <w:t>SECRETARIAT</w:t>
      </w:r>
    </w:p>
    <w:p w:rsidR="00696B44" w:rsidRDefault="009E40F9" w:rsidP="00B1378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  <w:r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Secretariat support will be provided by</w:t>
      </w:r>
      <w:r w:rsidR="00A83DBA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</w:t>
      </w:r>
      <w:r w:rsidR="007D6E74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H</w:t>
      </w:r>
      <w:r w:rsidR="00966EFF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 xml:space="preserve">uman </w:t>
      </w:r>
      <w:r w:rsidR="007D6E74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R</w:t>
      </w:r>
      <w:r w:rsidR="00966EFF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 xml:space="preserve">esources </w:t>
      </w:r>
      <w:r w:rsidR="007D6E74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S</w:t>
      </w:r>
      <w:r w:rsidR="00966EFF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 xml:space="preserve">ervices </w:t>
      </w:r>
      <w:r w:rsidR="007D6E74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B</w:t>
      </w:r>
      <w:r w:rsidR="00966EFF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ranch</w:t>
      </w:r>
      <w:r w:rsidR="007D6E74" w:rsidRPr="002F6E4C">
        <w:rPr>
          <w:rFonts w:ascii="Arial Narrow" w:eastAsia="Times New Roman" w:hAnsi="Arial Narrow" w:cs="Times New Roman"/>
          <w:bCs/>
          <w:sz w:val="24"/>
          <w:szCs w:val="24"/>
          <w:lang w:val="en" w:eastAsia="en-CA"/>
        </w:rPr>
        <w:t>, Labour Relations</w:t>
      </w:r>
      <w:r w:rsidR="007D6E7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. </w:t>
      </w:r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This includes the production of meeting agendas, records of decision, action logs and any other documents to </w:t>
      </w:r>
      <w:proofErr w:type="gramStart"/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>be considered</w:t>
      </w:r>
      <w:proofErr w:type="gramEnd"/>
      <w:r w:rsidR="00B13786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at meetings.</w:t>
      </w:r>
      <w:r w:rsidR="00696B44" w:rsidRPr="002F6E4C">
        <w:rPr>
          <w:rFonts w:ascii="Arial Narrow" w:eastAsia="Times New Roman" w:hAnsi="Arial Narrow" w:cs="Times New Roman"/>
          <w:sz w:val="24"/>
          <w:szCs w:val="24"/>
          <w:lang w:val="en" w:eastAsia="en-CA"/>
        </w:rPr>
        <w:t xml:space="preserve">  </w:t>
      </w:r>
    </w:p>
    <w:p w:rsidR="002F6E4C" w:rsidRDefault="002F6E4C" w:rsidP="00B1378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p w:rsidR="002F6E4C" w:rsidRDefault="002F6E4C" w:rsidP="00B1378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p w:rsidR="002F6E4C" w:rsidRDefault="002F6E4C" w:rsidP="00B1378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p w:rsidR="002F6E4C" w:rsidRPr="002F6E4C" w:rsidRDefault="002F6E4C" w:rsidP="00B1378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" w:eastAsia="en-CA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18"/>
        <w:gridCol w:w="4488"/>
      </w:tblGrid>
      <w:tr w:rsidR="002F6E4C" w:rsidRPr="002F6E4C" w:rsidTr="002F6E4C">
        <w:trPr>
          <w:jc w:val="center"/>
        </w:trPr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Cliff Groen, Assistant Deputy Minister, Benefits Delivery Services</w:t>
            </w:r>
          </w:p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On behalf of ESDC</w:t>
            </w:r>
          </w:p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Management Co-Chair, SUMCC</w:t>
            </w:r>
          </w:p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Stan Buday, National President</w:t>
            </w:r>
          </w:p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On behalf of the PIPSC</w:t>
            </w:r>
          </w:p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  <w:t>Union Co-Chair, SUMCC</w:t>
            </w:r>
          </w:p>
        </w:tc>
      </w:tr>
      <w:tr w:rsidR="002F6E4C" w:rsidRPr="002F6E4C" w:rsidTr="002F6E4C">
        <w:trPr>
          <w:jc w:val="center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</w:tr>
      <w:tr w:rsidR="002F6E4C" w:rsidRPr="002F6E4C" w:rsidTr="002F6E4C">
        <w:trPr>
          <w:jc w:val="center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  <w:t>Date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  <w:t>Date</w:t>
            </w:r>
          </w:p>
        </w:tc>
      </w:tr>
      <w:tr w:rsidR="002F6E4C" w:rsidRPr="002F6E4C" w:rsidTr="002F6E4C">
        <w:trPr>
          <w:jc w:val="center"/>
        </w:trPr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</w:tr>
    </w:tbl>
    <w:p w:rsidR="0077069F" w:rsidRDefault="0077069F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2F6E4C" w:rsidRPr="002F6E4C" w:rsidRDefault="002F6E4C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18"/>
        <w:gridCol w:w="4488"/>
      </w:tblGrid>
      <w:tr w:rsidR="002F6E4C" w:rsidRPr="002F6E4C" w:rsidTr="002F6E4C">
        <w:trPr>
          <w:jc w:val="center"/>
        </w:trPr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On behalf of the Canada Employment and Immigration Union – (CEIU-PSAC)</w:t>
            </w:r>
          </w:p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On behalf of the Canadian Association Professional Employees (CAPE)</w:t>
            </w:r>
          </w:p>
        </w:tc>
      </w:tr>
      <w:tr w:rsidR="002F6E4C" w:rsidRPr="002F6E4C" w:rsidTr="002F6E4C">
        <w:trPr>
          <w:jc w:val="center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</w:pPr>
          </w:p>
        </w:tc>
      </w:tr>
      <w:tr w:rsidR="002F6E4C" w:rsidRPr="002F6E4C" w:rsidTr="002F6E4C">
        <w:trPr>
          <w:jc w:val="center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  <w:t>Date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  <w:t>Date</w:t>
            </w:r>
          </w:p>
        </w:tc>
      </w:tr>
      <w:tr w:rsidR="002F6E4C" w:rsidRPr="002F6E4C" w:rsidTr="002F6E4C">
        <w:trPr>
          <w:jc w:val="center"/>
        </w:trPr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</w:tr>
    </w:tbl>
    <w:p w:rsidR="0077069F" w:rsidRPr="002F6E4C" w:rsidRDefault="0077069F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282"/>
        <w:gridCol w:w="4488"/>
      </w:tblGrid>
      <w:tr w:rsidR="0077069F" w:rsidRPr="002F6E4C" w:rsidTr="00E40829">
        <w:trPr>
          <w:jc w:val="center"/>
        </w:trPr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69F" w:rsidRDefault="0077069F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  <w:p w:rsidR="00E40829" w:rsidRDefault="00E40829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bookmarkStart w:id="0" w:name="_GoBack"/>
            <w:bookmarkEnd w:id="0"/>
          </w:p>
          <w:p w:rsidR="002F6E4C" w:rsidRPr="002F6E4C" w:rsidRDefault="002F6E4C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  <w:p w:rsidR="0077069F" w:rsidRPr="002F6E4C" w:rsidRDefault="0077069F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69F" w:rsidRPr="002F6E4C" w:rsidRDefault="0077069F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69F" w:rsidRPr="002F6E4C" w:rsidRDefault="0077069F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</w:tr>
      <w:tr w:rsidR="00AB02C2" w:rsidRPr="002F6E4C" w:rsidTr="00E40829">
        <w:trPr>
          <w:jc w:val="center"/>
        </w:trPr>
        <w:tc>
          <w:tcPr>
            <w:tcW w:w="4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  <w:r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 xml:space="preserve">On behalf of the Union of National Employee </w:t>
            </w:r>
            <w:r w:rsidR="00991F77"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–</w:t>
            </w:r>
            <w:r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 xml:space="preserve"> </w:t>
            </w:r>
            <w:r w:rsidR="00991F77"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(UNE-</w:t>
            </w:r>
            <w:r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PSAC</w:t>
            </w:r>
            <w:r w:rsidR="00991F77" w:rsidRPr="002F6E4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CA"/>
              </w:rPr>
            </w:pPr>
          </w:p>
        </w:tc>
      </w:tr>
      <w:tr w:rsidR="00AB02C2" w:rsidRPr="002F6E4C" w:rsidTr="00AB02C2">
        <w:trPr>
          <w:jc w:val="center"/>
        </w:trPr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5B15" w:rsidRPr="002F6E4C" w:rsidRDefault="007A5B15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  <w:p w:rsidR="007A5B15" w:rsidRPr="002F6E4C" w:rsidRDefault="007A5B15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CA"/>
              </w:rPr>
            </w:pPr>
          </w:p>
        </w:tc>
      </w:tr>
      <w:tr w:rsidR="00AB02C2" w:rsidRPr="002F6E4C" w:rsidTr="00AB02C2">
        <w:trPr>
          <w:jc w:val="center"/>
        </w:trPr>
        <w:tc>
          <w:tcPr>
            <w:tcW w:w="4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  <w:r w:rsidRPr="002F6E4C"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  <w:t>Date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C2" w:rsidRPr="002F6E4C" w:rsidRDefault="00AB02C2" w:rsidP="007706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r-CA" w:eastAsia="en-CA"/>
              </w:rPr>
            </w:pPr>
          </w:p>
        </w:tc>
      </w:tr>
    </w:tbl>
    <w:p w:rsidR="0077069F" w:rsidRPr="002F6E4C" w:rsidRDefault="0077069F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77069F" w:rsidRPr="002F6E4C" w:rsidRDefault="0077069F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77069F" w:rsidRPr="002F6E4C" w:rsidRDefault="0077069F" w:rsidP="0077069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p w:rsidR="0077069F" w:rsidRPr="002F6E4C" w:rsidRDefault="0077069F" w:rsidP="00B1378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CA"/>
        </w:rPr>
      </w:pPr>
    </w:p>
    <w:sectPr w:rsidR="0077069F" w:rsidRPr="002F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C9" w:rsidRDefault="007E63C9" w:rsidP="000D2384">
      <w:pPr>
        <w:spacing w:after="0" w:line="240" w:lineRule="auto"/>
      </w:pPr>
      <w:r>
        <w:separator/>
      </w:r>
    </w:p>
  </w:endnote>
  <w:endnote w:type="continuationSeparator" w:id="0">
    <w:p w:rsidR="007E63C9" w:rsidRDefault="007E63C9" w:rsidP="000D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9" w:rsidRDefault="007E6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6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3C9" w:rsidRDefault="007E63C9">
        <w:pPr>
          <w:pStyle w:val="Footer"/>
          <w:jc w:val="center"/>
        </w:pPr>
        <w:r>
          <w:rPr>
            <w:noProof/>
          </w:rPr>
          <w:tab/>
        </w:r>
      </w:p>
    </w:sdtContent>
  </w:sdt>
  <w:p w:rsidR="007E63C9" w:rsidRDefault="007E6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9" w:rsidRDefault="007E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C9" w:rsidRDefault="007E63C9" w:rsidP="000D2384">
      <w:pPr>
        <w:spacing w:after="0" w:line="240" w:lineRule="auto"/>
      </w:pPr>
      <w:r>
        <w:separator/>
      </w:r>
    </w:p>
  </w:footnote>
  <w:footnote w:type="continuationSeparator" w:id="0">
    <w:p w:rsidR="007E63C9" w:rsidRDefault="007E63C9" w:rsidP="000D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9" w:rsidRDefault="007E6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9" w:rsidRDefault="007E6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9" w:rsidRDefault="007E6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598"/>
    <w:multiLevelType w:val="multilevel"/>
    <w:tmpl w:val="BAEA5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D199E"/>
    <w:multiLevelType w:val="hybridMultilevel"/>
    <w:tmpl w:val="07769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1377"/>
    <w:multiLevelType w:val="multilevel"/>
    <w:tmpl w:val="D4C8A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4576D"/>
    <w:multiLevelType w:val="multilevel"/>
    <w:tmpl w:val="6F00A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53870"/>
    <w:multiLevelType w:val="hybridMultilevel"/>
    <w:tmpl w:val="C068E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FC3D3E"/>
    <w:multiLevelType w:val="hybridMultilevel"/>
    <w:tmpl w:val="88AEE52A"/>
    <w:lvl w:ilvl="0" w:tplc="2CDC6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E8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AA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09D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00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8F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A7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05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64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062A2"/>
    <w:multiLevelType w:val="hybridMultilevel"/>
    <w:tmpl w:val="4C0E4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173D"/>
    <w:multiLevelType w:val="multilevel"/>
    <w:tmpl w:val="6F64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95486"/>
    <w:multiLevelType w:val="multilevel"/>
    <w:tmpl w:val="B8F4D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D0635"/>
    <w:multiLevelType w:val="multilevel"/>
    <w:tmpl w:val="9EE40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9"/>
    <w:rsid w:val="00006FAD"/>
    <w:rsid w:val="00012A7B"/>
    <w:rsid w:val="00017DD7"/>
    <w:rsid w:val="00032125"/>
    <w:rsid w:val="000441C1"/>
    <w:rsid w:val="00044C8E"/>
    <w:rsid w:val="000510DD"/>
    <w:rsid w:val="00053062"/>
    <w:rsid w:val="00080F93"/>
    <w:rsid w:val="00095FCE"/>
    <w:rsid w:val="000D2384"/>
    <w:rsid w:val="000E00B2"/>
    <w:rsid w:val="0012310B"/>
    <w:rsid w:val="00164761"/>
    <w:rsid w:val="001E15D7"/>
    <w:rsid w:val="001F22DF"/>
    <w:rsid w:val="00203851"/>
    <w:rsid w:val="00227605"/>
    <w:rsid w:val="00250A10"/>
    <w:rsid w:val="00273B80"/>
    <w:rsid w:val="002812CB"/>
    <w:rsid w:val="00282E5E"/>
    <w:rsid w:val="002842AA"/>
    <w:rsid w:val="0028649E"/>
    <w:rsid w:val="0028655C"/>
    <w:rsid w:val="00286A54"/>
    <w:rsid w:val="002978AD"/>
    <w:rsid w:val="002A61E3"/>
    <w:rsid w:val="002B7DCE"/>
    <w:rsid w:val="002C241F"/>
    <w:rsid w:val="002C2440"/>
    <w:rsid w:val="002D36AE"/>
    <w:rsid w:val="002E32EB"/>
    <w:rsid w:val="002F6E4C"/>
    <w:rsid w:val="00320718"/>
    <w:rsid w:val="00322C98"/>
    <w:rsid w:val="0033651C"/>
    <w:rsid w:val="003425AA"/>
    <w:rsid w:val="00361143"/>
    <w:rsid w:val="003637FC"/>
    <w:rsid w:val="003728B7"/>
    <w:rsid w:val="00383215"/>
    <w:rsid w:val="00384C43"/>
    <w:rsid w:val="00396AF2"/>
    <w:rsid w:val="003A3A19"/>
    <w:rsid w:val="003A6D72"/>
    <w:rsid w:val="003E0328"/>
    <w:rsid w:val="003F78F4"/>
    <w:rsid w:val="00412AD3"/>
    <w:rsid w:val="00416F87"/>
    <w:rsid w:val="004232F4"/>
    <w:rsid w:val="00434E10"/>
    <w:rsid w:val="0044477B"/>
    <w:rsid w:val="004465DF"/>
    <w:rsid w:val="004550CD"/>
    <w:rsid w:val="00463682"/>
    <w:rsid w:val="00474414"/>
    <w:rsid w:val="00476AB7"/>
    <w:rsid w:val="0048007B"/>
    <w:rsid w:val="00481AE8"/>
    <w:rsid w:val="00484F03"/>
    <w:rsid w:val="00487487"/>
    <w:rsid w:val="004B0EDA"/>
    <w:rsid w:val="004C6623"/>
    <w:rsid w:val="004E2354"/>
    <w:rsid w:val="004E68EB"/>
    <w:rsid w:val="004F48C5"/>
    <w:rsid w:val="0050214A"/>
    <w:rsid w:val="005068FC"/>
    <w:rsid w:val="00510B26"/>
    <w:rsid w:val="00515D9E"/>
    <w:rsid w:val="00525D2C"/>
    <w:rsid w:val="0052619C"/>
    <w:rsid w:val="0055325D"/>
    <w:rsid w:val="00567088"/>
    <w:rsid w:val="005733EF"/>
    <w:rsid w:val="0058071F"/>
    <w:rsid w:val="005A523C"/>
    <w:rsid w:val="005A7130"/>
    <w:rsid w:val="005B76D8"/>
    <w:rsid w:val="005D0BB6"/>
    <w:rsid w:val="005E48ED"/>
    <w:rsid w:val="00621F01"/>
    <w:rsid w:val="0062275B"/>
    <w:rsid w:val="00645906"/>
    <w:rsid w:val="006643F5"/>
    <w:rsid w:val="0067688A"/>
    <w:rsid w:val="00692DB9"/>
    <w:rsid w:val="0069352A"/>
    <w:rsid w:val="00696B44"/>
    <w:rsid w:val="006A1809"/>
    <w:rsid w:val="006A6770"/>
    <w:rsid w:val="006B4185"/>
    <w:rsid w:val="006E52C0"/>
    <w:rsid w:val="007424CD"/>
    <w:rsid w:val="0077069F"/>
    <w:rsid w:val="00787AA9"/>
    <w:rsid w:val="00797452"/>
    <w:rsid w:val="007A5B15"/>
    <w:rsid w:val="007A5F33"/>
    <w:rsid w:val="007B4523"/>
    <w:rsid w:val="007D1C71"/>
    <w:rsid w:val="007D6E74"/>
    <w:rsid w:val="007D74DE"/>
    <w:rsid w:val="007E117E"/>
    <w:rsid w:val="007E4C95"/>
    <w:rsid w:val="007E63C9"/>
    <w:rsid w:val="007F5F65"/>
    <w:rsid w:val="00822A59"/>
    <w:rsid w:val="00830228"/>
    <w:rsid w:val="00840A87"/>
    <w:rsid w:val="00853670"/>
    <w:rsid w:val="008573C0"/>
    <w:rsid w:val="00866784"/>
    <w:rsid w:val="0088062C"/>
    <w:rsid w:val="00890A22"/>
    <w:rsid w:val="008A48C3"/>
    <w:rsid w:val="008B55A5"/>
    <w:rsid w:val="008D0AD2"/>
    <w:rsid w:val="008D1DDC"/>
    <w:rsid w:val="008E325B"/>
    <w:rsid w:val="00902798"/>
    <w:rsid w:val="0090478B"/>
    <w:rsid w:val="009657E8"/>
    <w:rsid w:val="00966EFF"/>
    <w:rsid w:val="00972B7A"/>
    <w:rsid w:val="00973558"/>
    <w:rsid w:val="00991F77"/>
    <w:rsid w:val="00994621"/>
    <w:rsid w:val="009E40F9"/>
    <w:rsid w:val="009F45A9"/>
    <w:rsid w:val="00A109C6"/>
    <w:rsid w:val="00A25564"/>
    <w:rsid w:val="00A35E7B"/>
    <w:rsid w:val="00A373F4"/>
    <w:rsid w:val="00A53F2F"/>
    <w:rsid w:val="00A81C34"/>
    <w:rsid w:val="00A83DBA"/>
    <w:rsid w:val="00A83E9B"/>
    <w:rsid w:val="00AA022D"/>
    <w:rsid w:val="00AB02C2"/>
    <w:rsid w:val="00AD5326"/>
    <w:rsid w:val="00AE2499"/>
    <w:rsid w:val="00B13786"/>
    <w:rsid w:val="00B36531"/>
    <w:rsid w:val="00B45C10"/>
    <w:rsid w:val="00B45F06"/>
    <w:rsid w:val="00B639F3"/>
    <w:rsid w:val="00B9109E"/>
    <w:rsid w:val="00B91191"/>
    <w:rsid w:val="00B9249A"/>
    <w:rsid w:val="00B92C0E"/>
    <w:rsid w:val="00BA2584"/>
    <w:rsid w:val="00BD3910"/>
    <w:rsid w:val="00BE6DD2"/>
    <w:rsid w:val="00BF4F52"/>
    <w:rsid w:val="00C0606F"/>
    <w:rsid w:val="00C12F08"/>
    <w:rsid w:val="00C763F8"/>
    <w:rsid w:val="00C76721"/>
    <w:rsid w:val="00C76DA8"/>
    <w:rsid w:val="00C91E6D"/>
    <w:rsid w:val="00C9493A"/>
    <w:rsid w:val="00CA4058"/>
    <w:rsid w:val="00CA4D5E"/>
    <w:rsid w:val="00CD263A"/>
    <w:rsid w:val="00CD3B02"/>
    <w:rsid w:val="00D1289E"/>
    <w:rsid w:val="00D37106"/>
    <w:rsid w:val="00D44C00"/>
    <w:rsid w:val="00D87B91"/>
    <w:rsid w:val="00D903BB"/>
    <w:rsid w:val="00D91E74"/>
    <w:rsid w:val="00DD423D"/>
    <w:rsid w:val="00DE13E2"/>
    <w:rsid w:val="00E02D33"/>
    <w:rsid w:val="00E045B3"/>
    <w:rsid w:val="00E40829"/>
    <w:rsid w:val="00E50E8C"/>
    <w:rsid w:val="00E5538F"/>
    <w:rsid w:val="00E62C40"/>
    <w:rsid w:val="00E65FA0"/>
    <w:rsid w:val="00E7411D"/>
    <w:rsid w:val="00E77838"/>
    <w:rsid w:val="00E9549C"/>
    <w:rsid w:val="00E97DB9"/>
    <w:rsid w:val="00EA050E"/>
    <w:rsid w:val="00EB0BE4"/>
    <w:rsid w:val="00EE30F3"/>
    <w:rsid w:val="00EF0F1C"/>
    <w:rsid w:val="00EF35A6"/>
    <w:rsid w:val="00EF4525"/>
    <w:rsid w:val="00EF4AF2"/>
    <w:rsid w:val="00F03D44"/>
    <w:rsid w:val="00F3399D"/>
    <w:rsid w:val="00F36061"/>
    <w:rsid w:val="00F42F1B"/>
    <w:rsid w:val="00F53143"/>
    <w:rsid w:val="00F57E85"/>
    <w:rsid w:val="00F76A3A"/>
    <w:rsid w:val="00F90342"/>
    <w:rsid w:val="00F958DD"/>
    <w:rsid w:val="00FA581F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FE8B9A"/>
  <w15:docId w15:val="{2AFB879C-B142-400A-B8C9-564034CF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9E4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E40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0F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E40F9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E40F9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E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9E40F9"/>
    <w:rPr>
      <w:i/>
      <w:iCs/>
    </w:rPr>
  </w:style>
  <w:style w:type="paragraph" w:customStyle="1" w:styleId="text-center">
    <w:name w:val="text-center"/>
    <w:basedOn w:val="Normal"/>
    <w:rsid w:val="009E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E40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384"/>
  </w:style>
  <w:style w:type="paragraph" w:styleId="Footer">
    <w:name w:val="footer"/>
    <w:basedOn w:val="Normal"/>
    <w:link w:val="FooterChar"/>
    <w:uiPriority w:val="99"/>
    <w:unhideWhenUsed/>
    <w:rsid w:val="000D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384"/>
  </w:style>
  <w:style w:type="paragraph" w:styleId="ListParagraph">
    <w:name w:val="List Paragraph"/>
    <w:basedOn w:val="Normal"/>
    <w:uiPriority w:val="34"/>
    <w:qFormat/>
    <w:rsid w:val="008A4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B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A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130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05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058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8B55-4D86-4B2E-855F-A26C2574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Jubainville, Marc A [NC]</dc:creator>
  <cp:lastModifiedBy>Renaud, Stéphanie S [NC]</cp:lastModifiedBy>
  <cp:revision>6</cp:revision>
  <cp:lastPrinted>2019-02-25T17:22:00Z</cp:lastPrinted>
  <dcterms:created xsi:type="dcterms:W3CDTF">2018-11-08T00:57:00Z</dcterms:created>
  <dcterms:modified xsi:type="dcterms:W3CDTF">2019-02-25T17:31:00Z</dcterms:modified>
</cp:coreProperties>
</file>