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FD" w:rsidRDefault="00307A67" w:rsidP="00307A67">
      <w:pPr>
        <w:rPr>
          <w:b/>
        </w:rPr>
      </w:pPr>
      <w:r w:rsidRPr="008500AE">
        <w:rPr>
          <w:b/>
        </w:rPr>
        <w:t>BluePrint 2020 Innovation Fair</w:t>
      </w:r>
    </w:p>
    <w:p w:rsidR="00EB3612" w:rsidRDefault="00EB3612" w:rsidP="00307A67">
      <w:pPr>
        <w:rPr>
          <w:b/>
        </w:rPr>
      </w:pPr>
    </w:p>
    <w:p w:rsidR="00DD44C3" w:rsidRDefault="00EB3612" w:rsidP="00307A67">
      <w:pPr>
        <w:rPr>
          <w:rFonts w:cstheme="minorHAnsi"/>
        </w:rPr>
      </w:pPr>
      <w:r w:rsidRPr="00147BE0">
        <w:rPr>
          <w:rFonts w:ascii="Calibri" w:hAnsi="Calibri"/>
          <w:b/>
          <w:sz w:val="28"/>
          <w:szCs w:val="28"/>
        </w:rPr>
        <w:t>FedTalks</w:t>
      </w:r>
      <w:r w:rsidR="005213E9" w:rsidRPr="00147BE0">
        <w:rPr>
          <w:rFonts w:ascii="Calibri" w:hAnsi="Calibri"/>
          <w:b/>
          <w:sz w:val="28"/>
          <w:szCs w:val="28"/>
        </w:rPr>
        <w:t>-</w:t>
      </w:r>
      <w:r w:rsidR="005213E9" w:rsidRPr="005213E9">
        <w:rPr>
          <w:rFonts w:ascii="Calibri" w:hAnsi="Calibri"/>
        </w:rPr>
        <w:t xml:space="preserve"> </w:t>
      </w:r>
      <w:r w:rsidR="005213E9" w:rsidRPr="00226CAC">
        <w:rPr>
          <w:rFonts w:cstheme="minorHAnsi"/>
        </w:rPr>
        <w:t xml:space="preserve">the FedTalks were opened by Alex Benay with some inspiring opening comment about the opportunities to participate in the BP2020 Innovation Fair.  The panel was run by </w:t>
      </w:r>
      <w:r w:rsidR="00E50091" w:rsidRPr="00226CAC">
        <w:rPr>
          <w:rFonts w:cstheme="minorHAnsi"/>
        </w:rPr>
        <w:t>Laura</w:t>
      </w:r>
      <w:r w:rsidR="005213E9" w:rsidRPr="00226CAC">
        <w:rPr>
          <w:rFonts w:cstheme="minorHAnsi"/>
        </w:rPr>
        <w:t xml:space="preserve"> Wesley from PCO and the panelist had significant </w:t>
      </w:r>
      <w:r w:rsidR="00E50091" w:rsidRPr="00226CAC">
        <w:rPr>
          <w:rFonts w:cstheme="minorHAnsi"/>
        </w:rPr>
        <w:t>different</w:t>
      </w:r>
      <w:r w:rsidR="005213E9" w:rsidRPr="00226CAC">
        <w:rPr>
          <w:rFonts w:cstheme="minorHAnsi"/>
        </w:rPr>
        <w:t xml:space="preserve"> backgrounds: Sage Cram ( </w:t>
      </w:r>
      <w:r w:rsidR="00E50091" w:rsidRPr="00226CAC">
        <w:rPr>
          <w:rFonts w:cstheme="minorHAnsi"/>
        </w:rPr>
        <w:t>HRSDC</w:t>
      </w:r>
      <w:r w:rsidR="005213E9" w:rsidRPr="00226CAC">
        <w:rPr>
          <w:rFonts w:cstheme="minorHAnsi"/>
        </w:rPr>
        <w:t xml:space="preserve">); Claudie Larouche (SSC); Ryan Hum (CIC) and Jennifer Leenhouts (ESDC &amp; co-Chair of EwDN). Four questions were posed, discussion and questions and answer segments followed. </w:t>
      </w:r>
    </w:p>
    <w:p w:rsidR="00B87A69" w:rsidRDefault="00B87A69" w:rsidP="00307A67">
      <w:pPr>
        <w:rPr>
          <w:rFonts w:cstheme="minorHAnsi"/>
        </w:rPr>
      </w:pPr>
    </w:p>
    <w:p w:rsidR="00B87A69" w:rsidRDefault="00B87A69" w:rsidP="00307A67">
      <w:pPr>
        <w:pStyle w:val="ListParagraph"/>
        <w:numPr>
          <w:ilvl w:val="0"/>
          <w:numId w:val="6"/>
        </w:numPr>
        <w:rPr>
          <w:rFonts w:cstheme="minorHAnsi"/>
        </w:rPr>
      </w:pPr>
      <w:r w:rsidRPr="00B87A69">
        <w:rPr>
          <w:rFonts w:cstheme="minorHAnsi"/>
        </w:rPr>
        <w:t>H</w:t>
      </w:r>
      <w:r w:rsidR="005213E9" w:rsidRPr="00B87A69">
        <w:rPr>
          <w:rFonts w:cstheme="minorHAnsi"/>
        </w:rPr>
        <w:t xml:space="preserve">ow are you applying design methods in your </w:t>
      </w:r>
      <w:r w:rsidR="008D567F" w:rsidRPr="00B87A69">
        <w:rPr>
          <w:rFonts w:cstheme="minorHAnsi"/>
        </w:rPr>
        <w:t>context</w:t>
      </w:r>
      <w:r w:rsidR="008D567F">
        <w:rPr>
          <w:rFonts w:cstheme="minorHAnsi"/>
        </w:rPr>
        <w:t>?</w:t>
      </w:r>
      <w:r w:rsidR="005213E9" w:rsidRPr="00B87A69">
        <w:rPr>
          <w:rFonts w:cstheme="minorHAnsi"/>
        </w:rPr>
        <w:t xml:space="preserve"> From the Service Transformantion Plan lens and EwDN I spoke about working in the </w:t>
      </w:r>
      <w:r w:rsidR="00E50091" w:rsidRPr="00B87A69">
        <w:rPr>
          <w:rFonts w:cstheme="minorHAnsi"/>
        </w:rPr>
        <w:t>Acceleration</w:t>
      </w:r>
      <w:r w:rsidR="005213E9" w:rsidRPr="00B87A69">
        <w:rPr>
          <w:rFonts w:cstheme="minorHAnsi"/>
        </w:rPr>
        <w:t xml:space="preserve"> Hub using the design thinking model to reach solution</w:t>
      </w:r>
      <w:r w:rsidRPr="00B87A69">
        <w:rPr>
          <w:rFonts w:cstheme="minorHAnsi"/>
        </w:rPr>
        <w:t>s</w:t>
      </w:r>
      <w:r w:rsidR="005213E9" w:rsidRPr="00B87A69">
        <w:rPr>
          <w:rFonts w:cstheme="minorHAnsi"/>
        </w:rPr>
        <w:t xml:space="preserve"> to benefit Canadian</w:t>
      </w:r>
      <w:r w:rsidRPr="00B87A69">
        <w:rPr>
          <w:rFonts w:cstheme="minorHAnsi"/>
        </w:rPr>
        <w:t>s</w:t>
      </w:r>
      <w:r w:rsidR="005213E9" w:rsidRPr="00B87A69">
        <w:rPr>
          <w:rFonts w:cstheme="minorHAnsi"/>
        </w:rPr>
        <w:t xml:space="preserve">. </w:t>
      </w:r>
      <w:r w:rsidRPr="00B87A69">
        <w:rPr>
          <w:rFonts w:cstheme="minorHAnsi"/>
        </w:rPr>
        <w:t>De</w:t>
      </w:r>
      <w:r w:rsidR="00972F4B" w:rsidRPr="00B87A69">
        <w:rPr>
          <w:rFonts w:cstheme="minorHAnsi"/>
        </w:rPr>
        <w:t xml:space="preserve">sign thinking model at 2017 </w:t>
      </w:r>
      <w:r w:rsidRPr="00B87A69">
        <w:rPr>
          <w:rFonts w:cstheme="minorHAnsi"/>
        </w:rPr>
        <w:t xml:space="preserve">Innovation Fair </w:t>
      </w:r>
      <w:r w:rsidR="00972F4B" w:rsidRPr="00B87A69">
        <w:rPr>
          <w:rFonts w:cstheme="minorHAnsi"/>
        </w:rPr>
        <w:t>AccessAbility workshop work</w:t>
      </w:r>
      <w:r w:rsidRPr="00B87A69">
        <w:rPr>
          <w:rFonts w:cstheme="minorHAnsi"/>
        </w:rPr>
        <w:t>ed</w:t>
      </w:r>
      <w:r w:rsidR="00972F4B" w:rsidRPr="00B87A69">
        <w:rPr>
          <w:rFonts w:cstheme="minorHAnsi"/>
        </w:rPr>
        <w:t xml:space="preserve"> through problems and solutions for pe</w:t>
      </w:r>
      <w:r>
        <w:rPr>
          <w:rFonts w:cstheme="minorHAnsi"/>
        </w:rPr>
        <w:t>rsons with disabilities for</w:t>
      </w:r>
      <w:r w:rsidR="00972F4B" w:rsidRPr="00B87A69">
        <w:rPr>
          <w:rFonts w:cstheme="minorHAnsi"/>
        </w:rPr>
        <w:t xml:space="preserve"> cultur</w:t>
      </w:r>
      <w:r>
        <w:rPr>
          <w:rFonts w:cstheme="minorHAnsi"/>
        </w:rPr>
        <w:t xml:space="preserve">e change and career development, a complete </w:t>
      </w:r>
      <w:r w:rsidR="00972F4B" w:rsidRPr="00B87A69">
        <w:rPr>
          <w:rFonts w:cstheme="minorHAnsi"/>
        </w:rPr>
        <w:t xml:space="preserve">user </w:t>
      </w:r>
      <w:r>
        <w:rPr>
          <w:rFonts w:cstheme="minorHAnsi"/>
        </w:rPr>
        <w:t>e</w:t>
      </w:r>
      <w:r w:rsidR="00972F4B" w:rsidRPr="00B87A69">
        <w:rPr>
          <w:rFonts w:cstheme="minorHAnsi"/>
        </w:rPr>
        <w:t>xpe</w:t>
      </w:r>
      <w:r>
        <w:rPr>
          <w:rFonts w:cstheme="minorHAnsi"/>
        </w:rPr>
        <w:t>rience.</w:t>
      </w:r>
    </w:p>
    <w:p w:rsidR="00B87A69" w:rsidRDefault="00B87A69" w:rsidP="00307A67">
      <w:pPr>
        <w:pStyle w:val="ListParagraph"/>
        <w:numPr>
          <w:ilvl w:val="0"/>
          <w:numId w:val="6"/>
        </w:numPr>
        <w:rPr>
          <w:rFonts w:cstheme="minorHAnsi"/>
        </w:rPr>
      </w:pPr>
      <w:r w:rsidRPr="00B87A69">
        <w:rPr>
          <w:rFonts w:cstheme="minorHAnsi"/>
        </w:rPr>
        <w:t>W</w:t>
      </w:r>
      <w:r w:rsidR="00972F4B" w:rsidRPr="00B87A69">
        <w:rPr>
          <w:rFonts w:cstheme="minorHAnsi"/>
        </w:rPr>
        <w:t xml:space="preserve">hat is the value </w:t>
      </w:r>
      <w:r w:rsidR="00E50091" w:rsidRPr="00B87A69">
        <w:rPr>
          <w:rFonts w:cstheme="minorHAnsi"/>
        </w:rPr>
        <w:t>proposition</w:t>
      </w:r>
      <w:r w:rsidR="00972F4B" w:rsidRPr="00B87A69">
        <w:rPr>
          <w:rFonts w:cstheme="minorHAnsi"/>
        </w:rPr>
        <w:t xml:space="preserve"> for inclusive design</w:t>
      </w:r>
      <w:r w:rsidRPr="00B87A69">
        <w:rPr>
          <w:rFonts w:cstheme="minorHAnsi"/>
        </w:rPr>
        <w:t>?</w:t>
      </w:r>
      <w:r w:rsidR="00972F4B" w:rsidRPr="00B87A69">
        <w:rPr>
          <w:rFonts w:cstheme="minorHAnsi"/>
        </w:rPr>
        <w:t xml:space="preserve"> I </w:t>
      </w:r>
      <w:r w:rsidR="00E50091" w:rsidRPr="00B87A69">
        <w:rPr>
          <w:rFonts w:cstheme="minorHAnsi"/>
        </w:rPr>
        <w:t>spoke</w:t>
      </w:r>
      <w:r w:rsidR="00972F4B" w:rsidRPr="00B87A69">
        <w:rPr>
          <w:rFonts w:cstheme="minorHAnsi"/>
        </w:rPr>
        <w:t xml:space="preserve"> about an inclusive lens needs to be brought forward to not only comply with </w:t>
      </w:r>
      <w:r w:rsidRPr="00B87A69">
        <w:rPr>
          <w:rFonts w:cstheme="minorHAnsi"/>
        </w:rPr>
        <w:t xml:space="preserve">current </w:t>
      </w:r>
      <w:r w:rsidR="00972F4B" w:rsidRPr="00B87A69">
        <w:rPr>
          <w:rFonts w:cstheme="minorHAnsi"/>
        </w:rPr>
        <w:t>stand</w:t>
      </w:r>
      <w:r w:rsidRPr="00B87A69">
        <w:rPr>
          <w:rFonts w:cstheme="minorHAnsi"/>
        </w:rPr>
        <w:t>ards</w:t>
      </w:r>
      <w:r w:rsidR="00972F4B" w:rsidRPr="00B87A69">
        <w:rPr>
          <w:rFonts w:cstheme="minorHAnsi"/>
        </w:rPr>
        <w:t xml:space="preserve"> but that is the development of any program/product we do this at the onset. The STP is moving forward with </w:t>
      </w:r>
      <w:r w:rsidR="00E50091" w:rsidRPr="00B87A69">
        <w:rPr>
          <w:rFonts w:cstheme="minorHAnsi"/>
        </w:rPr>
        <w:t>Accessibility</w:t>
      </w:r>
      <w:r w:rsidR="00972F4B" w:rsidRPr="00B87A69">
        <w:rPr>
          <w:rFonts w:cstheme="minorHAnsi"/>
        </w:rPr>
        <w:t xml:space="preserve"> by Design Framework which will have this first lens development. </w:t>
      </w:r>
    </w:p>
    <w:p w:rsidR="00B87A69" w:rsidRDefault="00B87A69" w:rsidP="00307A67">
      <w:pPr>
        <w:pStyle w:val="ListParagraph"/>
        <w:numPr>
          <w:ilvl w:val="0"/>
          <w:numId w:val="6"/>
        </w:numPr>
        <w:rPr>
          <w:rFonts w:cstheme="minorHAnsi"/>
        </w:rPr>
      </w:pPr>
      <w:r>
        <w:rPr>
          <w:rFonts w:cstheme="minorHAnsi"/>
        </w:rPr>
        <w:t>W</w:t>
      </w:r>
      <w:r w:rsidR="00972F4B" w:rsidRPr="00B87A69">
        <w:rPr>
          <w:rFonts w:cstheme="minorHAnsi"/>
        </w:rPr>
        <w:t xml:space="preserve">hat was preventing you/your team/ department from creating user centred products, service and policies and I indicated that there is an overall education element which if tackled </w:t>
      </w:r>
      <w:r w:rsidR="00E50091" w:rsidRPr="00B87A69">
        <w:rPr>
          <w:rFonts w:cstheme="minorHAnsi"/>
        </w:rPr>
        <w:t>vigorously</w:t>
      </w:r>
      <w:r w:rsidR="00972F4B" w:rsidRPr="00B87A69">
        <w:rPr>
          <w:rFonts w:cstheme="minorHAnsi"/>
        </w:rPr>
        <w:t xml:space="preserve"> could see a very high rate of success. </w:t>
      </w:r>
      <w:r w:rsidR="00E50091" w:rsidRPr="00B87A69">
        <w:rPr>
          <w:rFonts w:cstheme="minorHAnsi"/>
        </w:rPr>
        <w:t>More work to be done on DTA, Accessibility, accessible documents, and build confidence in learn</w:t>
      </w:r>
      <w:r>
        <w:rPr>
          <w:rFonts w:cstheme="minorHAnsi"/>
        </w:rPr>
        <w:t>ing</w:t>
      </w:r>
      <w:r w:rsidR="00E50091" w:rsidRPr="00B87A69">
        <w:rPr>
          <w:rFonts w:cstheme="minorHAnsi"/>
        </w:rPr>
        <w:t>s on episodic disabilities and mental health.</w:t>
      </w:r>
    </w:p>
    <w:p w:rsidR="00EB3612" w:rsidRPr="00717302" w:rsidRDefault="00717302" w:rsidP="00717302">
      <w:pPr>
        <w:pStyle w:val="ListParagraph"/>
        <w:numPr>
          <w:ilvl w:val="0"/>
          <w:numId w:val="6"/>
        </w:numPr>
        <w:rPr>
          <w:rFonts w:cstheme="minorHAnsi"/>
        </w:rPr>
      </w:pPr>
      <w:r>
        <w:rPr>
          <w:rFonts w:cstheme="minorHAnsi"/>
        </w:rPr>
        <w:t>W</w:t>
      </w:r>
      <w:r w:rsidR="00E50091" w:rsidRPr="00717302">
        <w:rPr>
          <w:rFonts w:cstheme="minorHAnsi"/>
        </w:rPr>
        <w:t>hat could be done differently to make work more human-centred and I spoke about the STP being completely client centric with the goal of simplifying programs and delivery for Canadians complete life cycle.</w:t>
      </w:r>
    </w:p>
    <w:p w:rsidR="00E50091" w:rsidRPr="005213E9" w:rsidRDefault="00E50091" w:rsidP="00307A67">
      <w:pPr>
        <w:rPr>
          <w:rFonts w:ascii="Calibri" w:hAnsi="Calibri"/>
        </w:rPr>
      </w:pPr>
    </w:p>
    <w:p w:rsidR="00EB3612" w:rsidRDefault="00EB3612" w:rsidP="00307A67">
      <w:r w:rsidRPr="00226CAC">
        <w:rPr>
          <w:b/>
        </w:rPr>
        <w:t>Podcast</w:t>
      </w:r>
      <w:r w:rsidR="00B87A69">
        <w:rPr>
          <w:b/>
        </w:rPr>
        <w:t>-</w:t>
      </w:r>
      <w:r w:rsidR="00B87A69">
        <w:t>Andre Demers was interviewed in a Podcast having the opportunity to promote the Employees with Disabilities Network (EwDN) to all ESDC employees and the fair AccessAbility workshop. Stay tuned the podcast will be available on Intersection shortly.</w:t>
      </w:r>
    </w:p>
    <w:p w:rsidR="00B87A69" w:rsidRPr="00B87A69" w:rsidRDefault="00B87A69" w:rsidP="00307A67"/>
    <w:p w:rsidR="00EB3612" w:rsidRDefault="00EB3612" w:rsidP="00307A67"/>
    <w:p w:rsidR="00EB3612" w:rsidRPr="00EB3612" w:rsidRDefault="00EB3612" w:rsidP="00307A67"/>
    <w:p w:rsidR="00307A67" w:rsidRPr="008500AE" w:rsidRDefault="00307A67" w:rsidP="00307A67">
      <w:pPr>
        <w:rPr>
          <w:b/>
        </w:rPr>
      </w:pPr>
    </w:p>
    <w:p w:rsidR="00307A67" w:rsidRPr="008500AE" w:rsidRDefault="00307A67" w:rsidP="00307A67">
      <w:pPr>
        <w:rPr>
          <w:b/>
        </w:rPr>
      </w:pPr>
      <w:r w:rsidRPr="008500AE">
        <w:rPr>
          <w:b/>
        </w:rPr>
        <w:t>AccessAbility Workshop</w:t>
      </w:r>
    </w:p>
    <w:p w:rsidR="00307A67" w:rsidRDefault="00307A67" w:rsidP="00307A67"/>
    <w:p w:rsidR="00E50091" w:rsidRDefault="00E50091" w:rsidP="00307A67">
      <w:r>
        <w:t xml:space="preserve">The AccessAbility workshop was made to be completely accessible having the correct space, CART, Sign language and simultaneous translation. There was a very high level of interest and all the workshop were filled to capacity with waiting lists. </w:t>
      </w:r>
    </w:p>
    <w:p w:rsidR="00BA4F51" w:rsidRDefault="00BA4F51" w:rsidP="00307A67"/>
    <w:p w:rsidR="00BA4F51" w:rsidRDefault="00BA4F51" w:rsidP="00BA4F51">
      <w:pPr>
        <w:pStyle w:val="ListParagraph"/>
        <w:numPr>
          <w:ilvl w:val="0"/>
          <w:numId w:val="8"/>
        </w:numPr>
        <w:spacing w:after="200" w:line="264" w:lineRule="auto"/>
        <w:rPr>
          <w:rFonts w:cs="Helvetica"/>
          <w:lang w:eastAsia="en-CA"/>
        </w:rPr>
      </w:pPr>
      <w:r>
        <w:t xml:space="preserve">All Presentations are posted at: </w:t>
      </w:r>
      <w:hyperlink r:id="rId12" w:history="1">
        <w:r w:rsidRPr="00E1635B">
          <w:rPr>
            <w:rStyle w:val="Hyperlink"/>
            <w:rFonts w:ascii="Calibri" w:hAnsi="Calibri" w:cs="Helvetica"/>
            <w:lang w:eastAsia="en-CA"/>
          </w:rPr>
          <w:t>BluePrint 2020 Innovation Fair workshops hosted by EwDN</w:t>
        </w:r>
      </w:hyperlink>
      <w:r>
        <w:rPr>
          <w:rFonts w:cs="Helvetica"/>
          <w:lang w:eastAsia="en-CA"/>
        </w:rPr>
        <w:t xml:space="preserve"> </w:t>
      </w:r>
    </w:p>
    <w:p w:rsidR="00307A67" w:rsidRDefault="00307A67" w:rsidP="00307A67">
      <w:pPr>
        <w:rPr>
          <w:b/>
          <w:bCs/>
          <w:color w:val="000000" w:themeColor="text1"/>
        </w:rPr>
      </w:pPr>
      <w:bookmarkStart w:id="0" w:name="_GoBack"/>
      <w:bookmarkEnd w:id="0"/>
      <w:r w:rsidRPr="00D63997">
        <w:rPr>
          <w:b/>
          <w:bCs/>
          <w:color w:val="000000" w:themeColor="text1"/>
        </w:rPr>
        <w:lastRenderedPageBreak/>
        <w:t>Creating Accessible Documents</w:t>
      </w:r>
    </w:p>
    <w:p w:rsidR="00FA2F54" w:rsidRDefault="00226CAC" w:rsidP="00307A67">
      <w:pPr>
        <w:rPr>
          <w:b/>
          <w:bCs/>
          <w:color w:val="000000" w:themeColor="text1"/>
        </w:rPr>
      </w:pPr>
      <w:r>
        <w:rPr>
          <w:bCs/>
          <w:color w:val="0070C0"/>
        </w:rPr>
        <w:t xml:space="preserve">Andre Demers </w:t>
      </w:r>
      <w:r w:rsidRPr="00226CAC">
        <w:rPr>
          <w:bCs/>
          <w:color w:val="000000" w:themeColor="text1"/>
        </w:rPr>
        <w:t xml:space="preserve">IITB </w:t>
      </w:r>
      <w:r w:rsidR="006E4995" w:rsidRPr="00226CAC">
        <w:rPr>
          <w:bCs/>
          <w:color w:val="000000" w:themeColor="text1"/>
        </w:rPr>
        <w:t>Accessibility</w:t>
      </w:r>
      <w:r w:rsidRPr="00226CAC">
        <w:rPr>
          <w:bCs/>
          <w:color w:val="000000" w:themeColor="text1"/>
        </w:rPr>
        <w:t xml:space="preserve"> Office</w:t>
      </w:r>
      <w:r>
        <w:rPr>
          <w:bCs/>
          <w:color w:val="000000" w:themeColor="text1"/>
        </w:rPr>
        <w:t xml:space="preserve"> &amp; </w:t>
      </w:r>
      <w:r w:rsidRPr="00226CAC">
        <w:rPr>
          <w:bCs/>
          <w:color w:val="000000" w:themeColor="text1"/>
        </w:rPr>
        <w:t xml:space="preserve"> EwDN Chair</w:t>
      </w:r>
    </w:p>
    <w:p w:rsidR="00FA2F54" w:rsidRDefault="00FA2F54" w:rsidP="00307A67">
      <w:pPr>
        <w:rPr>
          <w:b/>
          <w:bCs/>
          <w:color w:val="000000" w:themeColor="text1"/>
        </w:rPr>
      </w:pPr>
    </w:p>
    <w:p w:rsidR="00EF0F6A" w:rsidRDefault="009840F2" w:rsidP="009840F2">
      <w:pPr>
        <w:rPr>
          <w:bCs/>
          <w:color w:val="000000" w:themeColor="text1"/>
        </w:rPr>
      </w:pPr>
      <w:r w:rsidRPr="009840F2">
        <w:rPr>
          <w:bCs/>
          <w:color w:val="000000" w:themeColor="text1"/>
        </w:rPr>
        <w:t xml:space="preserve">Who are Accessible </w:t>
      </w:r>
      <w:r w:rsidR="008D567F" w:rsidRPr="009840F2">
        <w:rPr>
          <w:bCs/>
          <w:color w:val="000000" w:themeColor="text1"/>
        </w:rPr>
        <w:t>documents</w:t>
      </w:r>
      <w:r w:rsidRPr="009840F2">
        <w:rPr>
          <w:bCs/>
          <w:color w:val="000000" w:themeColor="text1"/>
        </w:rPr>
        <w:t xml:space="preserve"> for? Provides an </w:t>
      </w:r>
      <w:r w:rsidR="008D567F" w:rsidRPr="009840F2">
        <w:rPr>
          <w:bCs/>
          <w:color w:val="000000" w:themeColor="text1"/>
        </w:rPr>
        <w:t>outline</w:t>
      </w:r>
      <w:r w:rsidRPr="009840F2">
        <w:rPr>
          <w:bCs/>
          <w:color w:val="000000" w:themeColor="text1"/>
        </w:rPr>
        <w:t xml:space="preserve"> Accessible formats are often used by people with Print Disabilities or anyone in “eyes busy” situations; use various Assistive Technologies (AT) aka Adaptive Computer Technology; </w:t>
      </w:r>
      <w:r w:rsidR="00BA4F51" w:rsidRPr="009840F2">
        <w:rPr>
          <w:bCs/>
          <w:color w:val="000000" w:themeColor="text1"/>
        </w:rPr>
        <w:t>Voice-recognition systems (Dragon Nat</w:t>
      </w:r>
      <w:r w:rsidR="00BA4F51" w:rsidRPr="009840F2">
        <w:rPr>
          <w:bCs/>
          <w:color w:val="000000" w:themeColor="text1"/>
        </w:rPr>
        <w:t>urally Speaking, Siri, Robin, etc)</w:t>
      </w:r>
      <w:r w:rsidRPr="009840F2">
        <w:rPr>
          <w:bCs/>
          <w:color w:val="000000" w:themeColor="text1"/>
        </w:rPr>
        <w:t>; Alternate Keyboards or pointing device</w:t>
      </w:r>
      <w:r>
        <w:rPr>
          <w:bCs/>
          <w:color w:val="000000" w:themeColor="text1"/>
        </w:rPr>
        <w:t>.</w:t>
      </w:r>
    </w:p>
    <w:p w:rsidR="009840F2" w:rsidRDefault="009840F2" w:rsidP="009840F2">
      <w:pPr>
        <w:rPr>
          <w:bCs/>
          <w:color w:val="000000" w:themeColor="text1"/>
        </w:rPr>
      </w:pPr>
    </w:p>
    <w:p w:rsidR="00FA2F54" w:rsidRDefault="009840F2" w:rsidP="00307A67">
      <w:pPr>
        <w:rPr>
          <w:b/>
          <w:bCs/>
          <w:color w:val="000000" w:themeColor="text1"/>
        </w:rPr>
      </w:pPr>
      <w:r>
        <w:rPr>
          <w:bCs/>
          <w:color w:val="000000" w:themeColor="text1"/>
        </w:rPr>
        <w:t xml:space="preserve">What are Accessible Document formats? </w:t>
      </w:r>
      <w:r w:rsidR="00B66343">
        <w:rPr>
          <w:bCs/>
          <w:color w:val="000000" w:themeColor="text1"/>
        </w:rPr>
        <w:t>M</w:t>
      </w:r>
      <w:r w:rsidRPr="009840F2">
        <w:rPr>
          <w:bCs/>
          <w:color w:val="000000" w:themeColor="text1"/>
        </w:rPr>
        <w:t>ost document formats (HTML, PDF, MS-Office (Word (docx), Excel (xlxs), PowerPoint (pptx), PDF etc.) can be made accessible as long as standards/guidelines are in place and respe</w:t>
      </w:r>
      <w:r>
        <w:rPr>
          <w:bCs/>
          <w:color w:val="000000" w:themeColor="text1"/>
        </w:rPr>
        <w:t>cted</w:t>
      </w:r>
      <w:r w:rsidR="00B66343">
        <w:rPr>
          <w:bCs/>
          <w:color w:val="000000" w:themeColor="text1"/>
        </w:rPr>
        <w:t xml:space="preserve">. </w:t>
      </w:r>
      <w:r w:rsidR="00B66343" w:rsidRPr="00B66343">
        <w:rPr>
          <w:bCs/>
          <w:color w:val="000000" w:themeColor="text1"/>
        </w:rPr>
        <w:t xml:space="preserve">Accessibility should be incorporated at the </w:t>
      </w:r>
      <w:r w:rsidR="00B66343" w:rsidRPr="00B66343">
        <w:rPr>
          <w:b/>
          <w:bCs/>
          <w:color w:val="000000" w:themeColor="text1"/>
        </w:rPr>
        <w:t>beginning</w:t>
      </w:r>
      <w:r w:rsidR="00B66343" w:rsidRPr="00B66343">
        <w:rPr>
          <w:bCs/>
          <w:color w:val="000000" w:themeColor="text1"/>
        </w:rPr>
        <w:t xml:space="preserve"> otherwise it is much more labour intensive and difficult to remediate after the fact</w:t>
      </w:r>
      <w:r w:rsidR="00B66343">
        <w:rPr>
          <w:bCs/>
          <w:color w:val="000000" w:themeColor="text1"/>
        </w:rPr>
        <w:t xml:space="preserve"> Examples for Word, Excel and PPT outlined as a starting user experience in creating documents.</w:t>
      </w:r>
    </w:p>
    <w:p w:rsidR="00FA2F54" w:rsidRDefault="00FA2F54" w:rsidP="00307A67">
      <w:pPr>
        <w:rPr>
          <w:b/>
          <w:bCs/>
          <w:color w:val="000000" w:themeColor="text1"/>
        </w:rPr>
      </w:pPr>
    </w:p>
    <w:p w:rsidR="008500AE" w:rsidRDefault="008500AE" w:rsidP="00307A67">
      <w:pPr>
        <w:rPr>
          <w:b/>
          <w:bCs/>
          <w:color w:val="000000" w:themeColor="text1"/>
        </w:rPr>
      </w:pPr>
    </w:p>
    <w:p w:rsidR="008500AE" w:rsidRDefault="008500AE" w:rsidP="008500AE">
      <w:pPr>
        <w:rPr>
          <w:b/>
          <w:color w:val="000000" w:themeColor="text1"/>
        </w:rPr>
      </w:pPr>
      <w:r w:rsidRPr="00D63997">
        <w:rPr>
          <w:b/>
          <w:color w:val="000000" w:themeColor="text1"/>
        </w:rPr>
        <w:t>User Experience: Cognitive and Learning Disabilities</w:t>
      </w:r>
    </w:p>
    <w:p w:rsidR="00D26833" w:rsidRDefault="00D26833" w:rsidP="008500AE">
      <w:pPr>
        <w:rPr>
          <w:b/>
          <w:color w:val="000000" w:themeColor="text1"/>
        </w:rPr>
      </w:pPr>
      <w:r>
        <w:rPr>
          <w:rFonts w:ascii="Arial" w:hAnsi="Arial" w:cs="Arial"/>
          <w:color w:val="2E74B5"/>
          <w:sz w:val="26"/>
          <w:szCs w:val="26"/>
        </w:rPr>
        <w:t xml:space="preserve">Juliann Rowsell </w:t>
      </w:r>
      <w:r>
        <w:rPr>
          <w:rFonts w:ascii="Arial" w:hAnsi="Arial" w:cs="Arial"/>
          <w:color w:val="000000"/>
          <w:lang w:val="en-US"/>
        </w:rPr>
        <w:t>Accessibility, Accommodation and Adaptive Computer Technology Program (AAACT) at Shared Services Canada.</w:t>
      </w:r>
    </w:p>
    <w:p w:rsidR="00FA2F54" w:rsidRDefault="00FA2F54" w:rsidP="008500AE">
      <w:pPr>
        <w:rPr>
          <w:b/>
          <w:color w:val="000000" w:themeColor="text1"/>
        </w:rPr>
      </w:pPr>
    </w:p>
    <w:p w:rsidR="00BA7CA7" w:rsidRDefault="00BA7CA7" w:rsidP="00BA7CA7">
      <w:pPr>
        <w:spacing w:after="160" w:line="252" w:lineRule="auto"/>
        <w:contextualSpacing/>
        <w:rPr>
          <w:rFonts w:ascii="Calibri" w:hAnsi="Calibri"/>
          <w:color w:val="000000"/>
          <w:sz w:val="22"/>
          <w:szCs w:val="22"/>
        </w:rPr>
      </w:pPr>
      <w:r>
        <w:rPr>
          <w:rFonts w:ascii="Arial" w:hAnsi="Arial" w:cs="Arial"/>
          <w:color w:val="000000"/>
        </w:rPr>
        <w:t>Ensuring User Experience meets the needs of employees with cognitive, learning style and learning disability requirements. Covering people and background on disabilities in Canada and outlining user groups (Memory, Attention, Language, Problem Solving, etc). The scope and assumptions looked at how we can make the UX better by being accessible by default and inclusive by design benefiting the user</w:t>
      </w:r>
    </w:p>
    <w:p w:rsidR="00BA7CA7" w:rsidRDefault="00BA7CA7" w:rsidP="00BA7CA7">
      <w:pPr>
        <w:spacing w:after="160" w:line="252" w:lineRule="auto"/>
        <w:ind w:left="2160" w:hanging="360"/>
        <w:contextualSpacing/>
        <w:rPr>
          <w:rFonts w:ascii="Calibri" w:hAnsi="Calibri"/>
          <w:color w:val="000000"/>
          <w:sz w:val="22"/>
          <w:szCs w:val="22"/>
        </w:rPr>
      </w:pPr>
      <w:r>
        <w:rPr>
          <w:rFonts w:ascii="Wingdings" w:hAnsi="Wingdings"/>
          <w:color w:val="000000"/>
          <w:lang w:val="en-US"/>
        </w:rPr>
        <w:t></w:t>
      </w:r>
      <w:r w:rsidR="00D26833">
        <w:rPr>
          <w:color w:val="000000"/>
          <w:sz w:val="14"/>
          <w:szCs w:val="14"/>
          <w:lang w:val="en-US"/>
        </w:rPr>
        <w:t> </w:t>
      </w:r>
      <w:r w:rsidR="00D26833" w:rsidRPr="00226CAC">
        <w:rPr>
          <w:color w:val="000000"/>
          <w:lang w:val="en-US"/>
        </w:rPr>
        <w:t>Inclusive</w:t>
      </w:r>
      <w:r>
        <w:rPr>
          <w:rFonts w:ascii="Arial" w:hAnsi="Arial" w:cs="Arial"/>
          <w:color w:val="000000"/>
        </w:rPr>
        <w:t xml:space="preserve"> Design principles and why they matter</w:t>
      </w:r>
    </w:p>
    <w:p w:rsidR="00BA7CA7" w:rsidRDefault="00BA7CA7" w:rsidP="00BA7CA7">
      <w:pPr>
        <w:spacing w:after="160" w:line="252" w:lineRule="auto"/>
        <w:ind w:left="2160" w:hanging="360"/>
        <w:contextualSpacing/>
        <w:rPr>
          <w:rFonts w:ascii="Calibri" w:hAnsi="Calibri"/>
          <w:color w:val="000000"/>
          <w:sz w:val="22"/>
          <w:szCs w:val="22"/>
        </w:rPr>
      </w:pPr>
      <w:r>
        <w:rPr>
          <w:rFonts w:ascii="Wingdings" w:hAnsi="Wingdings"/>
          <w:color w:val="000000"/>
          <w:lang w:val="en-US"/>
        </w:rPr>
        <w:t></w:t>
      </w:r>
      <w:r>
        <w:rPr>
          <w:color w:val="000000"/>
          <w:sz w:val="14"/>
          <w:szCs w:val="14"/>
          <w:lang w:val="en-US"/>
        </w:rPr>
        <w:t xml:space="preserve">  </w:t>
      </w:r>
      <w:r>
        <w:rPr>
          <w:rFonts w:ascii="Arial" w:hAnsi="Arial" w:cs="Arial"/>
          <w:color w:val="000000"/>
        </w:rPr>
        <w:t>Do’s and Don’ts for accessible, usable UX</w:t>
      </w:r>
    </w:p>
    <w:p w:rsidR="00BA7CA7" w:rsidRDefault="00BA7CA7" w:rsidP="00BA7CA7">
      <w:pPr>
        <w:spacing w:after="160" w:line="252" w:lineRule="auto"/>
        <w:ind w:left="2160" w:hanging="360"/>
        <w:contextualSpacing/>
        <w:rPr>
          <w:rFonts w:ascii="Calibri" w:hAnsi="Calibri"/>
          <w:color w:val="000000"/>
          <w:sz w:val="22"/>
          <w:szCs w:val="22"/>
        </w:rPr>
      </w:pPr>
      <w:r>
        <w:rPr>
          <w:rFonts w:ascii="Wingdings" w:hAnsi="Wingdings"/>
          <w:color w:val="000000"/>
          <w:lang w:val="en-US"/>
        </w:rPr>
        <w:t></w:t>
      </w:r>
      <w:r w:rsidR="00D26833">
        <w:rPr>
          <w:color w:val="000000"/>
          <w:sz w:val="14"/>
          <w:szCs w:val="14"/>
          <w:lang w:val="en-US"/>
        </w:rPr>
        <w:t> </w:t>
      </w:r>
      <w:r w:rsidR="00D26833" w:rsidRPr="00226CAC">
        <w:rPr>
          <w:color w:val="000000"/>
          <w:lang w:val="en-US"/>
        </w:rPr>
        <w:t>Tips</w:t>
      </w:r>
      <w:r>
        <w:rPr>
          <w:rFonts w:ascii="Arial" w:hAnsi="Arial" w:cs="Arial"/>
          <w:color w:val="000000"/>
        </w:rPr>
        <w:t xml:space="preserve"> on providing a more inclusive user experience</w:t>
      </w:r>
    </w:p>
    <w:p w:rsidR="00BA7CA7" w:rsidRDefault="00BA7CA7" w:rsidP="00BA7CA7">
      <w:pPr>
        <w:spacing w:after="160" w:line="252" w:lineRule="auto"/>
        <w:contextualSpacing/>
        <w:rPr>
          <w:rFonts w:ascii="Calibri" w:hAnsi="Calibri"/>
          <w:color w:val="000000"/>
          <w:sz w:val="22"/>
          <w:szCs w:val="22"/>
        </w:rPr>
      </w:pPr>
      <w:r>
        <w:rPr>
          <w:color w:val="000000"/>
          <w:sz w:val="14"/>
          <w:szCs w:val="14"/>
          <w:lang w:val="en-US"/>
        </w:rPr>
        <w:t xml:space="preserve">  </w:t>
      </w:r>
      <w:r>
        <w:rPr>
          <w:rFonts w:ascii="Arial" w:hAnsi="Arial" w:cs="Arial"/>
          <w:color w:val="000000"/>
        </w:rPr>
        <w:t xml:space="preserve">Learning Disabilities are real disabilities and the website characteristics that degrade cognitive </w:t>
      </w:r>
      <w:r w:rsidR="00D26833">
        <w:rPr>
          <w:rFonts w:ascii="Arial" w:hAnsi="Arial" w:cs="Arial"/>
          <w:color w:val="000000"/>
        </w:rPr>
        <w:t>accessibility</w:t>
      </w:r>
      <w:r>
        <w:rPr>
          <w:rFonts w:ascii="Arial" w:hAnsi="Arial" w:cs="Arial"/>
          <w:color w:val="000000"/>
        </w:rPr>
        <w:t xml:space="preserve">. Adaptive technology become critical and the </w:t>
      </w:r>
      <w:r w:rsidR="00D26833">
        <w:rPr>
          <w:rFonts w:ascii="Arial" w:hAnsi="Arial" w:cs="Arial"/>
          <w:color w:val="000000"/>
        </w:rPr>
        <w:t>benefits</w:t>
      </w:r>
      <w:r>
        <w:rPr>
          <w:rFonts w:ascii="Arial" w:hAnsi="Arial" w:cs="Arial"/>
          <w:color w:val="000000"/>
        </w:rPr>
        <w:t xml:space="preserve"> of inclusive design. Example of personas and technical and non-</w:t>
      </w:r>
      <w:r w:rsidR="00D26833">
        <w:rPr>
          <w:rFonts w:ascii="Arial" w:hAnsi="Arial" w:cs="Arial"/>
          <w:color w:val="000000"/>
        </w:rPr>
        <w:t>technical</w:t>
      </w:r>
      <w:r>
        <w:rPr>
          <w:rFonts w:ascii="Arial" w:hAnsi="Arial" w:cs="Arial"/>
          <w:color w:val="000000"/>
        </w:rPr>
        <w:t xml:space="preserve"> aids for improving the UX were shown </w:t>
      </w:r>
    </w:p>
    <w:p w:rsidR="00FA2F54" w:rsidRDefault="00FA2F54" w:rsidP="008500AE">
      <w:pPr>
        <w:rPr>
          <w:b/>
          <w:color w:val="000000" w:themeColor="text1"/>
        </w:rPr>
      </w:pPr>
    </w:p>
    <w:p w:rsidR="00FA2F54" w:rsidRPr="00D63997" w:rsidRDefault="00FA2F54" w:rsidP="008500AE">
      <w:pPr>
        <w:rPr>
          <w:b/>
          <w:color w:val="000000" w:themeColor="text1"/>
        </w:rPr>
      </w:pPr>
    </w:p>
    <w:p w:rsidR="008500AE" w:rsidRDefault="008500AE" w:rsidP="008500AE">
      <w:pPr>
        <w:rPr>
          <w:rFonts w:cs="Arial"/>
          <w:b/>
          <w:color w:val="000000" w:themeColor="text1"/>
        </w:rPr>
      </w:pPr>
      <w:r w:rsidRPr="00D63997">
        <w:rPr>
          <w:rFonts w:cs="Arial"/>
          <w:b/>
          <w:color w:val="000000" w:themeColor="text1"/>
        </w:rPr>
        <w:t>Accommodation in Staffing Processes</w:t>
      </w:r>
    </w:p>
    <w:p w:rsidR="00D26833" w:rsidRDefault="00D26833" w:rsidP="00D26833">
      <w:pPr>
        <w:rPr>
          <w:rFonts w:ascii="Calibri" w:hAnsi="Calibri"/>
          <w:color w:val="000000"/>
          <w:sz w:val="22"/>
          <w:szCs w:val="22"/>
        </w:rPr>
      </w:pPr>
      <w:r>
        <w:rPr>
          <w:rFonts w:ascii="Arial" w:hAnsi="Arial" w:cs="Arial"/>
          <w:color w:val="2E74B5"/>
          <w:sz w:val="26"/>
          <w:szCs w:val="26"/>
        </w:rPr>
        <w:t xml:space="preserve">Derek Harrison </w:t>
      </w:r>
      <w:r>
        <w:rPr>
          <w:rFonts w:ascii="Arial" w:hAnsi="Arial" w:cs="Arial"/>
          <w:color w:val="000000"/>
          <w:lang w:val="en-US"/>
        </w:rPr>
        <w:t>Accessibility, Accommodation and Adaptive Computer Technology Program (AAACT) at Shared Services Canada</w:t>
      </w:r>
    </w:p>
    <w:p w:rsidR="00FA2F54" w:rsidRDefault="00FA2F54" w:rsidP="008500AE">
      <w:pPr>
        <w:rPr>
          <w:rFonts w:cs="Arial"/>
          <w:b/>
          <w:color w:val="000000" w:themeColor="text1"/>
        </w:rPr>
      </w:pPr>
    </w:p>
    <w:p w:rsidR="00D26833" w:rsidRDefault="00D26833" w:rsidP="00D26833">
      <w:pPr>
        <w:rPr>
          <w:rFonts w:ascii="Calibri" w:hAnsi="Calibri"/>
          <w:color w:val="000000"/>
          <w:sz w:val="22"/>
          <w:szCs w:val="22"/>
        </w:rPr>
      </w:pPr>
      <w:r>
        <w:rPr>
          <w:rFonts w:ascii="Arial" w:hAnsi="Arial" w:cs="Arial"/>
          <w:color w:val="000000"/>
        </w:rPr>
        <w:t xml:space="preserve">This session will focus on various aspects of the staffing process and practices related to creating an inclusive and equitable process for candidates with a wide variety of disabilities.  Resources, Processes, Best practices and different approaches will be discussed.  Participants will walk away with concrete actionable </w:t>
      </w:r>
      <w:r>
        <w:rPr>
          <w:rFonts w:ascii="Arial" w:hAnsi="Arial" w:cs="Arial"/>
          <w:color w:val="000000"/>
        </w:rPr>
        <w:lastRenderedPageBreak/>
        <w:t>items to improve the user experience for people with disabilities during staffing processes.</w:t>
      </w:r>
    </w:p>
    <w:p w:rsidR="00B66343" w:rsidRDefault="00D26833" w:rsidP="00D26833">
      <w:pPr>
        <w:rPr>
          <w:rFonts w:ascii="Arial" w:hAnsi="Arial" w:cs="Arial"/>
          <w:color w:val="000000"/>
        </w:rPr>
      </w:pPr>
      <w:r>
        <w:rPr>
          <w:rFonts w:ascii="Arial" w:hAnsi="Arial" w:cs="Arial"/>
          <w:color w:val="000000"/>
        </w:rPr>
        <w:t xml:space="preserve">The primary concern is to assess the candidate on a level playing field with all other test-takers.  This equitable user experience can include the modification of the testing material itself as well as modification of the testing environment in which the test is administered.  </w:t>
      </w:r>
    </w:p>
    <w:p w:rsidR="00D26833" w:rsidRDefault="00D26833" w:rsidP="00D26833">
      <w:pPr>
        <w:rPr>
          <w:rFonts w:ascii="Calibri" w:hAnsi="Calibri"/>
          <w:color w:val="000000"/>
          <w:sz w:val="22"/>
          <w:szCs w:val="22"/>
        </w:rPr>
      </w:pPr>
      <w:r>
        <w:rPr>
          <w:rFonts w:ascii="Arial" w:hAnsi="Arial" w:cs="Arial"/>
          <w:color w:val="000000"/>
        </w:rPr>
        <w:t>This presentation will cover some of these testing and environmental issues that can prevent a candidate from having a fair and equitable testing experience. Examples elaborated on test creation taking into account all potential test takers; visual impairment (slight to severe, various psychological impairments e.g. math anxiety, mobility impairments, other impairments e.g. environment.</w:t>
      </w:r>
    </w:p>
    <w:p w:rsidR="008500AE" w:rsidRDefault="00D26833" w:rsidP="00307A67">
      <w:pPr>
        <w:rPr>
          <w:rFonts w:ascii="Arial" w:hAnsi="Arial" w:cs="Arial"/>
          <w:color w:val="000000"/>
        </w:rPr>
      </w:pPr>
      <w:r>
        <w:rPr>
          <w:rFonts w:ascii="Arial" w:hAnsi="Arial" w:cs="Arial"/>
          <w:color w:val="000000"/>
        </w:rPr>
        <w:t> </w:t>
      </w:r>
    </w:p>
    <w:p w:rsidR="00B66343" w:rsidRDefault="00B66343" w:rsidP="00307A67"/>
    <w:p w:rsidR="008500AE" w:rsidRDefault="008500AE" w:rsidP="008500AE">
      <w:pPr>
        <w:rPr>
          <w:b/>
          <w:bCs/>
          <w:color w:val="000000" w:themeColor="text1"/>
        </w:rPr>
      </w:pPr>
      <w:r w:rsidRPr="00D63997">
        <w:rPr>
          <w:b/>
          <w:bCs/>
          <w:color w:val="000000" w:themeColor="text1"/>
        </w:rPr>
        <w:t>Multi-Year Accessibility Plan for Client Service</w:t>
      </w:r>
    </w:p>
    <w:p w:rsidR="00FA2F54" w:rsidRDefault="00D26833" w:rsidP="008500AE">
      <w:r>
        <w:rPr>
          <w:bCs/>
          <w:color w:val="0070C0"/>
        </w:rPr>
        <w:t>Alex Parenteau and</w:t>
      </w:r>
      <w:r w:rsidR="00147BE0">
        <w:rPr>
          <w:bCs/>
          <w:color w:val="0070C0"/>
        </w:rPr>
        <w:t xml:space="preserve"> Nina Lafreniere</w:t>
      </w:r>
      <w:r>
        <w:rPr>
          <w:bCs/>
          <w:color w:val="0070C0"/>
        </w:rPr>
        <w:t xml:space="preserve">    </w:t>
      </w:r>
      <w:r w:rsidR="00147BE0">
        <w:t xml:space="preserve">AccessibleServicesCSB (EDSC/ESDC) </w:t>
      </w:r>
    </w:p>
    <w:p w:rsidR="00147BE0" w:rsidRDefault="00147BE0" w:rsidP="008500AE"/>
    <w:p w:rsidR="00147BE0" w:rsidRPr="00D26833" w:rsidRDefault="00147BE0" w:rsidP="008500AE">
      <w:pPr>
        <w:rPr>
          <w:bCs/>
          <w:color w:val="0070C0"/>
        </w:rPr>
      </w:pPr>
      <w:r>
        <w:t>Enhancing Accessible Client Service at ESDC is the goal of the Multi-Year Accessibility Plan for Client Service. The presentation talks about the current state and that accessible service does matter outlining the difficulties clients with disabilities encounter. The development of the plan identified potential accessibility measures. The approach and progress to date with stakeholders was highlighted, along with awareness on human interaction and employee training; performance measurement and reporting approach; costing and timelines. The presentation includes performance measurement framework, Accessibility lens Cheat sheet and checklist.</w:t>
      </w:r>
    </w:p>
    <w:p w:rsidR="00FA2F54" w:rsidRDefault="00FA2F54" w:rsidP="008500AE">
      <w:pPr>
        <w:rPr>
          <w:b/>
          <w:bCs/>
          <w:color w:val="000000" w:themeColor="text1"/>
        </w:rPr>
      </w:pPr>
    </w:p>
    <w:p w:rsidR="00FA2F54" w:rsidRPr="00D63997" w:rsidRDefault="00FA2F54" w:rsidP="008500AE">
      <w:pPr>
        <w:rPr>
          <w:b/>
          <w:bCs/>
          <w:color w:val="000000" w:themeColor="text1"/>
        </w:rPr>
      </w:pPr>
    </w:p>
    <w:p w:rsidR="008500AE" w:rsidRDefault="008500AE" w:rsidP="008500AE">
      <w:pPr>
        <w:rPr>
          <w:b/>
          <w:bCs/>
          <w:color w:val="000000" w:themeColor="text1"/>
        </w:rPr>
      </w:pPr>
      <w:r w:rsidRPr="00D63997">
        <w:rPr>
          <w:b/>
          <w:bCs/>
          <w:color w:val="000000" w:themeColor="text1"/>
        </w:rPr>
        <w:t>Beyond Duty to Accommodate: Your Ideas Making it Better</w:t>
      </w:r>
    </w:p>
    <w:p w:rsidR="00FA2F54" w:rsidRPr="00226CAC" w:rsidRDefault="00226CAC" w:rsidP="008500AE">
      <w:pPr>
        <w:rPr>
          <w:bCs/>
          <w:color w:val="0070C0"/>
        </w:rPr>
      </w:pPr>
      <w:r>
        <w:rPr>
          <w:bCs/>
          <w:color w:val="0070C0"/>
        </w:rPr>
        <w:t xml:space="preserve">Andre Demers </w:t>
      </w:r>
      <w:r w:rsidRPr="00226CAC">
        <w:rPr>
          <w:bCs/>
          <w:color w:val="000000" w:themeColor="text1"/>
        </w:rPr>
        <w:t xml:space="preserve">IITB </w:t>
      </w:r>
      <w:r w:rsidR="006E4995" w:rsidRPr="00226CAC">
        <w:rPr>
          <w:bCs/>
          <w:color w:val="000000" w:themeColor="text1"/>
        </w:rPr>
        <w:t>Accessibility</w:t>
      </w:r>
      <w:r w:rsidRPr="00226CAC">
        <w:rPr>
          <w:bCs/>
          <w:color w:val="000000" w:themeColor="text1"/>
        </w:rPr>
        <w:t xml:space="preserve"> Office</w:t>
      </w:r>
      <w:r>
        <w:rPr>
          <w:bCs/>
          <w:color w:val="000000" w:themeColor="text1"/>
        </w:rPr>
        <w:t xml:space="preserve"> &amp; </w:t>
      </w:r>
      <w:r w:rsidRPr="00226CAC">
        <w:rPr>
          <w:bCs/>
          <w:color w:val="000000" w:themeColor="text1"/>
        </w:rPr>
        <w:t xml:space="preserve"> EwDN Chair</w:t>
      </w:r>
      <w:r>
        <w:rPr>
          <w:bCs/>
          <w:color w:val="0070C0"/>
        </w:rPr>
        <w:t xml:space="preserve">; Jennifer Leenhouts </w:t>
      </w:r>
      <w:r w:rsidRPr="00226CAC">
        <w:rPr>
          <w:bCs/>
          <w:color w:val="000000" w:themeColor="text1"/>
        </w:rPr>
        <w:t xml:space="preserve">ESDC </w:t>
      </w:r>
      <w:r>
        <w:rPr>
          <w:bCs/>
          <w:color w:val="000000" w:themeColor="text1"/>
        </w:rPr>
        <w:t xml:space="preserve">&amp; </w:t>
      </w:r>
      <w:r w:rsidRPr="00226CAC">
        <w:rPr>
          <w:bCs/>
          <w:color w:val="000000" w:themeColor="text1"/>
        </w:rPr>
        <w:t>EwDN Co-Chair</w:t>
      </w:r>
      <w:r>
        <w:rPr>
          <w:bCs/>
          <w:color w:val="0070C0"/>
        </w:rPr>
        <w:t xml:space="preserve">: Elizabeth Dussault </w:t>
      </w:r>
      <w:r w:rsidRPr="00226CAC">
        <w:rPr>
          <w:bCs/>
          <w:color w:val="000000" w:themeColor="text1"/>
        </w:rPr>
        <w:t xml:space="preserve">ESDC </w:t>
      </w:r>
      <w:r>
        <w:rPr>
          <w:bCs/>
          <w:color w:val="000000" w:themeColor="text1"/>
        </w:rPr>
        <w:t xml:space="preserve">&amp; </w:t>
      </w:r>
      <w:r w:rsidRPr="00226CAC">
        <w:rPr>
          <w:bCs/>
          <w:color w:val="000000" w:themeColor="text1"/>
        </w:rPr>
        <w:t>EwDN Secretariat</w:t>
      </w:r>
    </w:p>
    <w:p w:rsidR="00FA2F54" w:rsidRDefault="00FA2F54" w:rsidP="008500AE">
      <w:pPr>
        <w:rPr>
          <w:b/>
          <w:bCs/>
          <w:color w:val="000000" w:themeColor="text1"/>
        </w:rPr>
      </w:pPr>
    </w:p>
    <w:p w:rsidR="00A5685F" w:rsidRDefault="00B66343" w:rsidP="008500AE">
      <w:pPr>
        <w:rPr>
          <w:bCs/>
          <w:color w:val="000000" w:themeColor="text1"/>
        </w:rPr>
      </w:pPr>
      <w:r>
        <w:rPr>
          <w:bCs/>
          <w:color w:val="000000" w:themeColor="text1"/>
        </w:rPr>
        <w:t xml:space="preserve">The workshop focus was to bring forward the DTA </w:t>
      </w:r>
      <w:r w:rsidR="008D567F">
        <w:rPr>
          <w:bCs/>
          <w:color w:val="000000" w:themeColor="text1"/>
        </w:rPr>
        <w:t>challenges</w:t>
      </w:r>
      <w:r>
        <w:rPr>
          <w:bCs/>
          <w:color w:val="000000" w:themeColor="text1"/>
        </w:rPr>
        <w:t xml:space="preserve"> identified in the </w:t>
      </w:r>
      <w:r w:rsidR="008D567F">
        <w:rPr>
          <w:bCs/>
          <w:color w:val="000000" w:themeColor="text1"/>
        </w:rPr>
        <w:t>Career</w:t>
      </w:r>
      <w:r>
        <w:rPr>
          <w:bCs/>
          <w:color w:val="000000" w:themeColor="text1"/>
        </w:rPr>
        <w:t xml:space="preserve"> Development and Culture </w:t>
      </w:r>
      <w:r w:rsidR="008D567F">
        <w:rPr>
          <w:bCs/>
          <w:color w:val="000000" w:themeColor="text1"/>
        </w:rPr>
        <w:t>Change</w:t>
      </w:r>
      <w:r>
        <w:rPr>
          <w:bCs/>
          <w:color w:val="000000" w:themeColor="text1"/>
        </w:rPr>
        <w:t xml:space="preserve"> workshops. Additional Problems were </w:t>
      </w:r>
      <w:r w:rsidR="008D567F">
        <w:rPr>
          <w:bCs/>
          <w:color w:val="000000" w:themeColor="text1"/>
        </w:rPr>
        <w:t>identified</w:t>
      </w:r>
      <w:r>
        <w:rPr>
          <w:bCs/>
          <w:color w:val="000000" w:themeColor="text1"/>
        </w:rPr>
        <w:t xml:space="preserve"> </w:t>
      </w:r>
      <w:r w:rsidR="008D567F">
        <w:rPr>
          <w:bCs/>
          <w:color w:val="000000" w:themeColor="text1"/>
        </w:rPr>
        <w:t>e.g.</w:t>
      </w:r>
      <w:r>
        <w:rPr>
          <w:bCs/>
          <w:color w:val="000000" w:themeColor="text1"/>
        </w:rPr>
        <w:t xml:space="preserve"> Onus on employee to for the DTA. The workshop completed an Ideate session brainstorming solutions for DTA. </w:t>
      </w:r>
      <w:r w:rsidR="00A5685F">
        <w:rPr>
          <w:bCs/>
          <w:color w:val="000000" w:themeColor="text1"/>
        </w:rPr>
        <w:t xml:space="preserve">The </w:t>
      </w:r>
      <w:r w:rsidR="008D567F">
        <w:rPr>
          <w:bCs/>
          <w:color w:val="000000" w:themeColor="text1"/>
        </w:rPr>
        <w:t>number</w:t>
      </w:r>
      <w:r w:rsidR="00A5685F">
        <w:rPr>
          <w:bCs/>
          <w:color w:val="000000" w:themeColor="text1"/>
        </w:rPr>
        <w:t xml:space="preserve"> of </w:t>
      </w:r>
      <w:r w:rsidR="008D567F">
        <w:rPr>
          <w:bCs/>
          <w:color w:val="000000" w:themeColor="text1"/>
        </w:rPr>
        <w:t>solutions</w:t>
      </w:r>
      <w:r w:rsidR="00A5685F">
        <w:rPr>
          <w:bCs/>
          <w:color w:val="000000" w:themeColor="text1"/>
        </w:rPr>
        <w:t xml:space="preserve"> put forward was 24 and challenges were </w:t>
      </w:r>
      <w:r w:rsidR="008D567F">
        <w:rPr>
          <w:bCs/>
          <w:color w:val="000000" w:themeColor="text1"/>
        </w:rPr>
        <w:t>identified</w:t>
      </w:r>
      <w:r w:rsidR="00A5685F">
        <w:rPr>
          <w:bCs/>
          <w:color w:val="000000" w:themeColor="text1"/>
        </w:rPr>
        <w:t xml:space="preserve">. </w:t>
      </w:r>
    </w:p>
    <w:p w:rsidR="00A5685F" w:rsidRDefault="00A5685F" w:rsidP="008500AE">
      <w:pPr>
        <w:rPr>
          <w:bCs/>
          <w:color w:val="000000" w:themeColor="text1"/>
        </w:rPr>
      </w:pPr>
    </w:p>
    <w:p w:rsidR="00EB3612" w:rsidRDefault="00A5685F" w:rsidP="008500AE">
      <w:pPr>
        <w:rPr>
          <w:b/>
          <w:bCs/>
          <w:color w:val="000000" w:themeColor="text1"/>
        </w:rPr>
      </w:pPr>
      <w:r>
        <w:rPr>
          <w:bCs/>
          <w:color w:val="000000" w:themeColor="text1"/>
        </w:rPr>
        <w:t xml:space="preserve">Next step will commence development of a working group incorporating HR, SSC, IT </w:t>
      </w:r>
      <w:r w:rsidR="008D567F">
        <w:rPr>
          <w:bCs/>
          <w:color w:val="000000" w:themeColor="text1"/>
        </w:rPr>
        <w:t>Accessibility</w:t>
      </w:r>
      <w:r>
        <w:rPr>
          <w:bCs/>
          <w:color w:val="000000" w:themeColor="text1"/>
        </w:rPr>
        <w:t xml:space="preserve"> Office</w:t>
      </w:r>
      <w:r w:rsidR="008D567F">
        <w:rPr>
          <w:bCs/>
          <w:color w:val="000000" w:themeColor="text1"/>
        </w:rPr>
        <w:t xml:space="preserve">, </w:t>
      </w:r>
    </w:p>
    <w:p w:rsidR="00EB3612" w:rsidRDefault="00EB3612" w:rsidP="008500AE">
      <w:pPr>
        <w:rPr>
          <w:b/>
          <w:bCs/>
          <w:color w:val="000000" w:themeColor="text1"/>
        </w:rPr>
      </w:pPr>
    </w:p>
    <w:p w:rsidR="00EB3612" w:rsidRDefault="00EB3612" w:rsidP="008500AE">
      <w:pPr>
        <w:rPr>
          <w:b/>
          <w:bCs/>
          <w:color w:val="000000" w:themeColor="text1"/>
        </w:rPr>
      </w:pPr>
    </w:p>
    <w:p w:rsidR="00EB3612" w:rsidRDefault="00EB3612" w:rsidP="008500AE">
      <w:pPr>
        <w:rPr>
          <w:b/>
          <w:bCs/>
          <w:color w:val="000000" w:themeColor="text1"/>
        </w:rPr>
      </w:pPr>
    </w:p>
    <w:p w:rsidR="00EB3612" w:rsidRDefault="00EB3612" w:rsidP="008500AE">
      <w:pPr>
        <w:rPr>
          <w:b/>
          <w:bCs/>
          <w:color w:val="000000" w:themeColor="text1"/>
        </w:rPr>
      </w:pPr>
    </w:p>
    <w:p w:rsidR="00EB3612" w:rsidRDefault="00EB3612" w:rsidP="008500AE">
      <w:pPr>
        <w:rPr>
          <w:b/>
          <w:bCs/>
          <w:color w:val="000000" w:themeColor="text1"/>
        </w:rPr>
      </w:pPr>
    </w:p>
    <w:sectPr w:rsidR="00EB3612" w:rsidSect="005A2022">
      <w:headerReference w:type="default" r:id="rId13"/>
      <w:footerReference w:type="even" r:id="rId14"/>
      <w:footerReference w:type="default" r:id="rId15"/>
      <w:headerReference w:type="first" r:id="rId16"/>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3B" w:rsidRDefault="00E12E3B" w:rsidP="005A2022">
      <w:r>
        <w:separator/>
      </w:r>
    </w:p>
  </w:endnote>
  <w:endnote w:type="continuationSeparator" w:id="0">
    <w:p w:rsidR="00E12E3B" w:rsidRDefault="00E12E3B"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BA4F51">
      <w:rPr>
        <w:rStyle w:val="PageNumber"/>
        <w:rFonts w:ascii="Century Gothic" w:hAnsi="Century Gothic"/>
        <w:b/>
        <w:bCs/>
        <w:noProof/>
        <w:color w:val="808080" w:themeColor="background1" w:themeShade="80"/>
      </w:rPr>
      <w:t>3</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lang w:eastAsia="en-CA"/>
      </w:rPr>
      <w:drawing>
        <wp:anchor distT="0" distB="0" distL="114300" distR="114300" simplePos="0" relativeHeight="251661312" behindDoc="1" locked="0" layoutInCell="1" allowOverlap="1" wp14:anchorId="57369F85" wp14:editId="65929C3D">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3B" w:rsidRDefault="00E12E3B" w:rsidP="005A2022">
      <w:r>
        <w:separator/>
      </w:r>
    </w:p>
  </w:footnote>
  <w:footnote w:type="continuationSeparator" w:id="0">
    <w:p w:rsidR="00E12E3B" w:rsidRDefault="00E12E3B"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eastAsia="en-CA"/>
      </w:rPr>
      <w:drawing>
        <wp:anchor distT="0" distB="0" distL="114300" distR="114300" simplePos="0" relativeHeight="251660288" behindDoc="1" locked="0" layoutInCell="1" allowOverlap="1" wp14:anchorId="79B0117B" wp14:editId="729B9F2E">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eastAsia="en-CA"/>
      </w:rPr>
      <w:drawing>
        <wp:anchor distT="0" distB="0" distL="114300" distR="114300" simplePos="0" relativeHeight="251659264" behindDoc="1" locked="0" layoutInCell="1" allowOverlap="1" wp14:anchorId="4480B1B8" wp14:editId="182EA65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00E"/>
    <w:multiLevelType w:val="hybridMultilevel"/>
    <w:tmpl w:val="55FAA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9B4359A"/>
    <w:multiLevelType w:val="hybridMultilevel"/>
    <w:tmpl w:val="51DCB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9CE4A66"/>
    <w:multiLevelType w:val="hybridMultilevel"/>
    <w:tmpl w:val="43568B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CB47A79"/>
    <w:multiLevelType w:val="hybridMultilevel"/>
    <w:tmpl w:val="60065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83064FA"/>
    <w:multiLevelType w:val="hybridMultilevel"/>
    <w:tmpl w:val="5422F454"/>
    <w:lvl w:ilvl="0" w:tplc="C1209C3C">
      <w:start w:val="1"/>
      <w:numFmt w:val="bullet"/>
      <w:lvlText w:val="–"/>
      <w:lvlJc w:val="left"/>
      <w:pPr>
        <w:tabs>
          <w:tab w:val="num" w:pos="720"/>
        </w:tabs>
        <w:ind w:left="720" w:hanging="360"/>
      </w:pPr>
      <w:rPr>
        <w:rFonts w:ascii="Arial" w:hAnsi="Arial" w:hint="default"/>
      </w:rPr>
    </w:lvl>
    <w:lvl w:ilvl="1" w:tplc="1BF27AAC">
      <w:start w:val="1"/>
      <w:numFmt w:val="bullet"/>
      <w:lvlText w:val="–"/>
      <w:lvlJc w:val="left"/>
      <w:pPr>
        <w:tabs>
          <w:tab w:val="num" w:pos="1440"/>
        </w:tabs>
        <w:ind w:left="1440" w:hanging="360"/>
      </w:pPr>
      <w:rPr>
        <w:rFonts w:ascii="Arial" w:hAnsi="Arial" w:hint="default"/>
      </w:rPr>
    </w:lvl>
    <w:lvl w:ilvl="2" w:tplc="7E342FBE" w:tentative="1">
      <w:start w:val="1"/>
      <w:numFmt w:val="bullet"/>
      <w:lvlText w:val="–"/>
      <w:lvlJc w:val="left"/>
      <w:pPr>
        <w:tabs>
          <w:tab w:val="num" w:pos="2160"/>
        </w:tabs>
        <w:ind w:left="2160" w:hanging="360"/>
      </w:pPr>
      <w:rPr>
        <w:rFonts w:ascii="Arial" w:hAnsi="Arial" w:hint="default"/>
      </w:rPr>
    </w:lvl>
    <w:lvl w:ilvl="3" w:tplc="D0B2CA34" w:tentative="1">
      <w:start w:val="1"/>
      <w:numFmt w:val="bullet"/>
      <w:lvlText w:val="–"/>
      <w:lvlJc w:val="left"/>
      <w:pPr>
        <w:tabs>
          <w:tab w:val="num" w:pos="2880"/>
        </w:tabs>
        <w:ind w:left="2880" w:hanging="360"/>
      </w:pPr>
      <w:rPr>
        <w:rFonts w:ascii="Arial" w:hAnsi="Arial" w:hint="default"/>
      </w:rPr>
    </w:lvl>
    <w:lvl w:ilvl="4" w:tplc="C5EC6208" w:tentative="1">
      <w:start w:val="1"/>
      <w:numFmt w:val="bullet"/>
      <w:lvlText w:val="–"/>
      <w:lvlJc w:val="left"/>
      <w:pPr>
        <w:tabs>
          <w:tab w:val="num" w:pos="3600"/>
        </w:tabs>
        <w:ind w:left="3600" w:hanging="360"/>
      </w:pPr>
      <w:rPr>
        <w:rFonts w:ascii="Arial" w:hAnsi="Arial" w:hint="default"/>
      </w:rPr>
    </w:lvl>
    <w:lvl w:ilvl="5" w:tplc="693A5FF2" w:tentative="1">
      <w:start w:val="1"/>
      <w:numFmt w:val="bullet"/>
      <w:lvlText w:val="–"/>
      <w:lvlJc w:val="left"/>
      <w:pPr>
        <w:tabs>
          <w:tab w:val="num" w:pos="4320"/>
        </w:tabs>
        <w:ind w:left="4320" w:hanging="360"/>
      </w:pPr>
      <w:rPr>
        <w:rFonts w:ascii="Arial" w:hAnsi="Arial" w:hint="default"/>
      </w:rPr>
    </w:lvl>
    <w:lvl w:ilvl="6" w:tplc="44689F44" w:tentative="1">
      <w:start w:val="1"/>
      <w:numFmt w:val="bullet"/>
      <w:lvlText w:val="–"/>
      <w:lvlJc w:val="left"/>
      <w:pPr>
        <w:tabs>
          <w:tab w:val="num" w:pos="5040"/>
        </w:tabs>
        <w:ind w:left="5040" w:hanging="360"/>
      </w:pPr>
      <w:rPr>
        <w:rFonts w:ascii="Arial" w:hAnsi="Arial" w:hint="default"/>
      </w:rPr>
    </w:lvl>
    <w:lvl w:ilvl="7" w:tplc="5AA4D70C" w:tentative="1">
      <w:start w:val="1"/>
      <w:numFmt w:val="bullet"/>
      <w:lvlText w:val="–"/>
      <w:lvlJc w:val="left"/>
      <w:pPr>
        <w:tabs>
          <w:tab w:val="num" w:pos="5760"/>
        </w:tabs>
        <w:ind w:left="5760" w:hanging="360"/>
      </w:pPr>
      <w:rPr>
        <w:rFonts w:ascii="Arial" w:hAnsi="Arial" w:hint="default"/>
      </w:rPr>
    </w:lvl>
    <w:lvl w:ilvl="8" w:tplc="6914B252" w:tentative="1">
      <w:start w:val="1"/>
      <w:numFmt w:val="bullet"/>
      <w:lvlText w:val="–"/>
      <w:lvlJc w:val="left"/>
      <w:pPr>
        <w:tabs>
          <w:tab w:val="num" w:pos="6480"/>
        </w:tabs>
        <w:ind w:left="6480" w:hanging="360"/>
      </w:pPr>
      <w:rPr>
        <w:rFonts w:ascii="Arial" w:hAnsi="Arial" w:hint="default"/>
      </w:rPr>
    </w:lvl>
  </w:abstractNum>
  <w:abstractNum w:abstractNumId="5">
    <w:nsid w:val="72CA106D"/>
    <w:multiLevelType w:val="hybridMultilevel"/>
    <w:tmpl w:val="A6328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3170E25"/>
    <w:multiLevelType w:val="hybridMultilevel"/>
    <w:tmpl w:val="CCC8B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5562956"/>
    <w:multiLevelType w:val="hybridMultilevel"/>
    <w:tmpl w:val="2DBAC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494F7E"/>
    <w:rsid w:val="00022B6C"/>
    <w:rsid w:val="0009007F"/>
    <w:rsid w:val="00147BE0"/>
    <w:rsid w:val="00152758"/>
    <w:rsid w:val="001A72C9"/>
    <w:rsid w:val="001C5300"/>
    <w:rsid w:val="001E58D2"/>
    <w:rsid w:val="00226CAC"/>
    <w:rsid w:val="00307A67"/>
    <w:rsid w:val="00316BD9"/>
    <w:rsid w:val="00483066"/>
    <w:rsid w:val="00494F7E"/>
    <w:rsid w:val="00497949"/>
    <w:rsid w:val="00502D26"/>
    <w:rsid w:val="00512027"/>
    <w:rsid w:val="005213E9"/>
    <w:rsid w:val="005409FD"/>
    <w:rsid w:val="005A2022"/>
    <w:rsid w:val="006E4995"/>
    <w:rsid w:val="00717302"/>
    <w:rsid w:val="0079759C"/>
    <w:rsid w:val="008500AE"/>
    <w:rsid w:val="008501D9"/>
    <w:rsid w:val="008D567F"/>
    <w:rsid w:val="009251D9"/>
    <w:rsid w:val="00972F4B"/>
    <w:rsid w:val="009840F2"/>
    <w:rsid w:val="00993226"/>
    <w:rsid w:val="009C0C73"/>
    <w:rsid w:val="00A5685F"/>
    <w:rsid w:val="00B66343"/>
    <w:rsid w:val="00B844C3"/>
    <w:rsid w:val="00B87A69"/>
    <w:rsid w:val="00BA4F51"/>
    <w:rsid w:val="00BA7CA7"/>
    <w:rsid w:val="00BC0A2E"/>
    <w:rsid w:val="00C16FDE"/>
    <w:rsid w:val="00D26833"/>
    <w:rsid w:val="00D37F79"/>
    <w:rsid w:val="00D74921"/>
    <w:rsid w:val="00DD44C3"/>
    <w:rsid w:val="00E12E3B"/>
    <w:rsid w:val="00E344A7"/>
    <w:rsid w:val="00E50091"/>
    <w:rsid w:val="00EB3612"/>
    <w:rsid w:val="00EB74D9"/>
    <w:rsid w:val="00EF0F6A"/>
    <w:rsid w:val="00FA2F54"/>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basedOn w:val="DefaultParagraphFont"/>
    <w:uiPriority w:val="99"/>
    <w:unhideWhenUsed/>
    <w:rsid w:val="008501D9"/>
    <w:rPr>
      <w:color w:val="0563C1"/>
      <w:u w:val="single"/>
    </w:rPr>
  </w:style>
  <w:style w:type="paragraph" w:styleId="PlainText">
    <w:name w:val="Plain Text"/>
    <w:basedOn w:val="Normal"/>
    <w:link w:val="PlainTextChar"/>
    <w:uiPriority w:val="99"/>
    <w:unhideWhenUsed/>
    <w:rsid w:val="008501D9"/>
    <w:rPr>
      <w:rFonts w:ascii="Calibri" w:eastAsiaTheme="minorHAnsi" w:hAnsi="Calibri" w:cs="Times New Roman"/>
      <w:sz w:val="22"/>
      <w:szCs w:val="22"/>
      <w:lang w:eastAsia="en-CA"/>
    </w:rPr>
  </w:style>
  <w:style w:type="character" w:customStyle="1" w:styleId="PlainTextChar">
    <w:name w:val="Plain Text Char"/>
    <w:basedOn w:val="DefaultParagraphFont"/>
    <w:link w:val="PlainText"/>
    <w:uiPriority w:val="99"/>
    <w:rsid w:val="008501D9"/>
    <w:rPr>
      <w:rFonts w:ascii="Calibri" w:eastAsiaTheme="minorHAnsi" w:hAnsi="Calibri" w:cs="Times New Roman"/>
      <w:sz w:val="22"/>
      <w:szCs w:val="22"/>
      <w:lang w:eastAsia="en-CA"/>
    </w:rPr>
  </w:style>
  <w:style w:type="paragraph" w:styleId="ListParagraph">
    <w:name w:val="List Paragraph"/>
    <w:basedOn w:val="Normal"/>
    <w:uiPriority w:val="34"/>
    <w:qFormat/>
    <w:rsid w:val="009C0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basedOn w:val="DefaultParagraphFont"/>
    <w:uiPriority w:val="99"/>
    <w:unhideWhenUsed/>
    <w:rsid w:val="008501D9"/>
    <w:rPr>
      <w:color w:val="0563C1"/>
      <w:u w:val="single"/>
    </w:rPr>
  </w:style>
  <w:style w:type="paragraph" w:styleId="PlainText">
    <w:name w:val="Plain Text"/>
    <w:basedOn w:val="Normal"/>
    <w:link w:val="PlainTextChar"/>
    <w:uiPriority w:val="99"/>
    <w:unhideWhenUsed/>
    <w:rsid w:val="008501D9"/>
    <w:rPr>
      <w:rFonts w:ascii="Calibri" w:eastAsiaTheme="minorHAnsi" w:hAnsi="Calibri" w:cs="Times New Roman"/>
      <w:sz w:val="22"/>
      <w:szCs w:val="22"/>
      <w:lang w:eastAsia="en-CA"/>
    </w:rPr>
  </w:style>
  <w:style w:type="character" w:customStyle="1" w:styleId="PlainTextChar">
    <w:name w:val="Plain Text Char"/>
    <w:basedOn w:val="DefaultParagraphFont"/>
    <w:link w:val="PlainText"/>
    <w:uiPriority w:val="99"/>
    <w:rsid w:val="008501D9"/>
    <w:rPr>
      <w:rFonts w:ascii="Calibri" w:eastAsiaTheme="minorHAnsi" w:hAnsi="Calibri" w:cs="Times New Roman"/>
      <w:sz w:val="22"/>
      <w:szCs w:val="22"/>
      <w:lang w:eastAsia="en-CA"/>
    </w:rPr>
  </w:style>
  <w:style w:type="paragraph" w:styleId="ListParagraph">
    <w:name w:val="List Paragraph"/>
    <w:basedOn w:val="Normal"/>
    <w:uiPriority w:val="34"/>
    <w:qFormat/>
    <w:rsid w:val="009C0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947">
      <w:bodyDiv w:val="1"/>
      <w:marLeft w:val="0"/>
      <w:marRight w:val="0"/>
      <w:marTop w:val="0"/>
      <w:marBottom w:val="0"/>
      <w:divBdr>
        <w:top w:val="none" w:sz="0" w:space="0" w:color="auto"/>
        <w:left w:val="none" w:sz="0" w:space="0" w:color="auto"/>
        <w:bottom w:val="none" w:sz="0" w:space="0" w:color="auto"/>
        <w:right w:val="none" w:sz="0" w:space="0" w:color="auto"/>
      </w:divBdr>
    </w:div>
    <w:div w:id="266737700">
      <w:bodyDiv w:val="1"/>
      <w:marLeft w:val="0"/>
      <w:marRight w:val="0"/>
      <w:marTop w:val="0"/>
      <w:marBottom w:val="0"/>
      <w:divBdr>
        <w:top w:val="none" w:sz="0" w:space="0" w:color="auto"/>
        <w:left w:val="none" w:sz="0" w:space="0" w:color="auto"/>
        <w:bottom w:val="none" w:sz="0" w:space="0" w:color="auto"/>
        <w:right w:val="none" w:sz="0" w:space="0" w:color="auto"/>
      </w:divBdr>
    </w:div>
    <w:div w:id="619068606">
      <w:bodyDiv w:val="1"/>
      <w:marLeft w:val="0"/>
      <w:marRight w:val="0"/>
      <w:marTop w:val="0"/>
      <w:marBottom w:val="0"/>
      <w:divBdr>
        <w:top w:val="none" w:sz="0" w:space="0" w:color="auto"/>
        <w:left w:val="none" w:sz="0" w:space="0" w:color="auto"/>
        <w:bottom w:val="none" w:sz="0" w:space="0" w:color="auto"/>
        <w:right w:val="none" w:sz="0" w:space="0" w:color="auto"/>
      </w:divBdr>
    </w:div>
    <w:div w:id="963459899">
      <w:bodyDiv w:val="1"/>
      <w:marLeft w:val="0"/>
      <w:marRight w:val="0"/>
      <w:marTop w:val="0"/>
      <w:marBottom w:val="0"/>
      <w:divBdr>
        <w:top w:val="none" w:sz="0" w:space="0" w:color="auto"/>
        <w:left w:val="none" w:sz="0" w:space="0" w:color="auto"/>
        <w:bottom w:val="none" w:sz="0" w:space="0" w:color="auto"/>
        <w:right w:val="none" w:sz="0" w:space="0" w:color="auto"/>
      </w:divBdr>
    </w:div>
    <w:div w:id="1044479460">
      <w:bodyDiv w:val="1"/>
      <w:marLeft w:val="0"/>
      <w:marRight w:val="0"/>
      <w:marTop w:val="0"/>
      <w:marBottom w:val="0"/>
      <w:divBdr>
        <w:top w:val="none" w:sz="0" w:space="0" w:color="auto"/>
        <w:left w:val="none" w:sz="0" w:space="0" w:color="auto"/>
        <w:bottom w:val="none" w:sz="0" w:space="0" w:color="auto"/>
        <w:right w:val="none" w:sz="0" w:space="0" w:color="auto"/>
      </w:divBdr>
      <w:divsChild>
        <w:div w:id="1295402581">
          <w:marLeft w:val="1138"/>
          <w:marRight w:val="0"/>
          <w:marTop w:val="0"/>
          <w:marBottom w:val="0"/>
          <w:divBdr>
            <w:top w:val="none" w:sz="0" w:space="0" w:color="auto"/>
            <w:left w:val="none" w:sz="0" w:space="0" w:color="auto"/>
            <w:bottom w:val="none" w:sz="0" w:space="0" w:color="auto"/>
            <w:right w:val="none" w:sz="0" w:space="0" w:color="auto"/>
          </w:divBdr>
        </w:div>
      </w:divsChild>
    </w:div>
    <w:div w:id="1726680461">
      <w:bodyDiv w:val="1"/>
      <w:marLeft w:val="0"/>
      <w:marRight w:val="0"/>
      <w:marTop w:val="0"/>
      <w:marBottom w:val="0"/>
      <w:divBdr>
        <w:top w:val="none" w:sz="0" w:space="0" w:color="auto"/>
        <w:left w:val="none" w:sz="0" w:space="0" w:color="auto"/>
        <w:bottom w:val="none" w:sz="0" w:space="0" w:color="auto"/>
        <w:right w:val="none" w:sz="0" w:space="0" w:color="auto"/>
      </w:divBdr>
    </w:div>
    <w:div w:id="1826968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cpedia.gc.ca/wiki/AccessAbilityroom201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2.xml><?xml version="1.0" encoding="utf-8"?>
<ds:datastoreItem xmlns:ds="http://schemas.openxmlformats.org/officeDocument/2006/customXml" ds:itemID="{006AACAF-869F-415B-B861-C6C6AA18809B}">
  <ds:schemaRefs>
    <ds:schemaRef ds:uri="http://purl.org/dc/terms/"/>
    <ds:schemaRef ds:uri="http://purl.org/dc/elements/1.1/"/>
    <ds:schemaRef ds:uri="http://www.w3.org/XML/1998/namespace"/>
    <ds:schemaRef ds:uri="http://schemas.microsoft.com/sharepoint/v3"/>
    <ds:schemaRef ds:uri="aeabe285-28c2-4b4a-a8cd-631679229c94"/>
    <ds:schemaRef ds:uri="http://schemas.microsoft.com/office/infopath/2007/PartnerControls"/>
    <ds:schemaRef ds:uri="4f810ac0-7940-4b47-8510-ccc18747f341"/>
    <ds:schemaRef ds:uri="http://schemas.microsoft.com/sharepoint/v4"/>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9803A-41C8-4E46-8B37-2502701B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Template>
  <TotalTime>1</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Simon [W-T]</dc:creator>
  <cp:lastModifiedBy>Leenhouts, Jennifer JA [W-T]</cp:lastModifiedBy>
  <cp:revision>2</cp:revision>
  <dcterms:created xsi:type="dcterms:W3CDTF">2018-07-04T18:35:00Z</dcterms:created>
  <dcterms:modified xsi:type="dcterms:W3CDTF">2018-07-04T18:35:00Z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