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71" w:rsidRDefault="002A5971">
      <w:bookmarkStart w:id="0" w:name="_GoBack"/>
      <w:bookmarkEnd w:id="0"/>
    </w:p>
    <w:tbl>
      <w:tblPr>
        <w:tblW w:w="9591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4771"/>
        <w:gridCol w:w="4820"/>
      </w:tblGrid>
      <w:tr w:rsidR="00642FA9" w:rsidRPr="00E945E6" w:rsidTr="00642FA9">
        <w:tc>
          <w:tcPr>
            <w:tcW w:w="9591" w:type="dxa"/>
            <w:gridSpan w:val="2"/>
            <w:shd w:val="clear" w:color="auto" w:fill="auto"/>
          </w:tcPr>
          <w:p w:rsidR="00642FA9" w:rsidRPr="00DA3225" w:rsidRDefault="00642FA9" w:rsidP="00220AA9">
            <w:pPr>
              <w:spacing w:after="120" w:line="240" w:lineRule="auto"/>
              <w:ind w:right="-705"/>
              <w:rPr>
                <w:rFonts w:asciiTheme="minorHAnsi" w:hAnsiTheme="minorHAnsi" w:cstheme="minorHAnsi"/>
                <w:color w:val="4F81BD"/>
                <w:sz w:val="36"/>
                <w:szCs w:val="36"/>
                <w:lang w:val="fr-CA"/>
              </w:rPr>
            </w:pPr>
            <w:r w:rsidRPr="00DA3225">
              <w:rPr>
                <w:rFonts w:asciiTheme="minorHAnsi" w:hAnsiTheme="minorHAnsi" w:cstheme="minorHAnsi"/>
                <w:color w:val="4F81BD"/>
                <w:sz w:val="36"/>
                <w:szCs w:val="36"/>
                <w:lang w:val="fr-CA"/>
              </w:rPr>
              <w:t>Bulletin en Approvisionnement / Procurement Bulletin</w:t>
            </w:r>
          </w:p>
          <w:p w:rsidR="00642FA9" w:rsidRPr="00FC2891" w:rsidRDefault="00FC2891" w:rsidP="00220AA9">
            <w:pPr>
              <w:spacing w:after="120" w:line="240" w:lineRule="auto"/>
              <w:rPr>
                <w:color w:val="4F81BD"/>
                <w:sz w:val="36"/>
                <w:szCs w:val="36"/>
                <w:lang w:val="fr-CA"/>
              </w:rPr>
            </w:pPr>
            <w:r w:rsidRPr="00FC2891">
              <w:rPr>
                <w:rFonts w:asciiTheme="minorHAnsi" w:hAnsiTheme="minorHAnsi" w:cstheme="minorHAnsi"/>
                <w:color w:val="4F81BD"/>
                <w:sz w:val="36"/>
                <w:szCs w:val="36"/>
                <w:lang w:val="fr-CA"/>
              </w:rPr>
              <w:t>2014-08</w:t>
            </w:r>
          </w:p>
        </w:tc>
      </w:tr>
      <w:tr w:rsidR="00642FA9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642FA9" w:rsidRPr="006C1387" w:rsidRDefault="00642FA9" w:rsidP="009D7553">
            <w:pPr>
              <w:spacing w:after="120"/>
              <w:rPr>
                <w:rFonts w:ascii="Arial" w:hAnsi="Arial" w:cs="Arial"/>
                <w:lang w:val="fr-CA"/>
              </w:rPr>
            </w:pPr>
            <w:r w:rsidRPr="006C1387">
              <w:rPr>
                <w:rFonts w:ascii="Arial" w:hAnsi="Arial" w:cs="Arial"/>
                <w:lang w:val="fr-CA"/>
              </w:rPr>
              <w:t xml:space="preserve">DATE : </w:t>
            </w:r>
            <w:r w:rsidR="00455C70">
              <w:rPr>
                <w:rFonts w:ascii="Arial" w:hAnsi="Arial" w:cs="Arial"/>
                <w:lang w:val="fr-CA"/>
              </w:rPr>
              <w:t>octobre 2014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642FA9" w:rsidRPr="006C1387" w:rsidRDefault="00642FA9" w:rsidP="00455C70">
            <w:pPr>
              <w:spacing w:after="120" w:line="240" w:lineRule="auto"/>
              <w:rPr>
                <w:rFonts w:ascii="Arial" w:hAnsi="Arial" w:cs="Arial"/>
              </w:rPr>
            </w:pPr>
            <w:r w:rsidRPr="006C1387">
              <w:rPr>
                <w:rFonts w:ascii="Arial" w:hAnsi="Arial" w:cs="Arial"/>
              </w:rPr>
              <w:t xml:space="preserve">DATE: </w:t>
            </w:r>
            <w:r w:rsidR="0088265D">
              <w:rPr>
                <w:rFonts w:ascii="Arial" w:hAnsi="Arial" w:cs="Arial"/>
              </w:rPr>
              <w:t xml:space="preserve">October </w:t>
            </w:r>
            <w:r w:rsidR="00455C70" w:rsidRPr="00455C70">
              <w:rPr>
                <w:rFonts w:ascii="Arial" w:hAnsi="Arial" w:cs="Arial"/>
              </w:rPr>
              <w:t xml:space="preserve"> 2014</w:t>
            </w:r>
          </w:p>
        </w:tc>
      </w:tr>
      <w:tr w:rsidR="00642FA9" w:rsidRPr="00FA1928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642FA9" w:rsidRPr="006C1387" w:rsidRDefault="00642FA9" w:rsidP="009D7553">
            <w:pPr>
              <w:spacing w:after="120"/>
              <w:rPr>
                <w:rFonts w:ascii="Arial" w:hAnsi="Arial" w:cs="Arial"/>
                <w:lang w:val="fr-CA"/>
              </w:rPr>
            </w:pPr>
            <w:r w:rsidRPr="006C1387">
              <w:rPr>
                <w:rFonts w:ascii="Arial" w:hAnsi="Arial" w:cs="Arial"/>
                <w:lang w:val="fr-CA"/>
              </w:rPr>
              <w:t xml:space="preserve">OBJET : </w:t>
            </w:r>
            <w:r w:rsidR="0088265D">
              <w:rPr>
                <w:rFonts w:ascii="Arial" w:hAnsi="Arial" w:cs="Arial"/>
                <w:lang w:val="fr-CA"/>
              </w:rPr>
              <w:t>Avis important – les échéanciers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642FA9" w:rsidRPr="006C1387" w:rsidRDefault="00642FA9" w:rsidP="009D7553">
            <w:pPr>
              <w:spacing w:after="120"/>
              <w:rPr>
                <w:rFonts w:ascii="Arial" w:hAnsi="Arial" w:cs="Arial"/>
              </w:rPr>
            </w:pPr>
            <w:r w:rsidRPr="006C1387">
              <w:rPr>
                <w:rFonts w:ascii="Arial" w:hAnsi="Arial" w:cs="Arial"/>
              </w:rPr>
              <w:t xml:space="preserve">SUBJECT: </w:t>
            </w:r>
            <w:r w:rsidR="0088265D">
              <w:rPr>
                <w:rFonts w:ascii="Arial" w:hAnsi="Arial" w:cs="Arial"/>
              </w:rPr>
              <w:t>Important notice – Deadlines</w:t>
            </w:r>
          </w:p>
        </w:tc>
      </w:tr>
      <w:tr w:rsidR="00642FA9" w:rsidRPr="006C1387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642FA9" w:rsidRPr="00FF16AB" w:rsidRDefault="0088265D" w:rsidP="0095689D">
            <w:pPr>
              <w:spacing w:after="160"/>
              <w:rPr>
                <w:rFonts w:ascii="Arial" w:hAnsi="Arial" w:cs="Arial"/>
                <w:lang w:val="fr-CA"/>
              </w:rPr>
            </w:pPr>
            <w:r w:rsidRPr="0088265D">
              <w:rPr>
                <w:rFonts w:ascii="Arial" w:hAnsi="Arial" w:cs="Arial"/>
                <w:lang w:val="fr-CA"/>
              </w:rPr>
              <w:t xml:space="preserve">Les renseignements suivants vous sont offerts par </w:t>
            </w:r>
            <w:hyperlink r:id="rId9" w:history="1">
              <w:r w:rsidRPr="007E3E46">
                <w:rPr>
                  <w:rStyle w:val="Hyperlink"/>
                  <w:rFonts w:ascii="Arial" w:hAnsi="Arial" w:cs="Arial"/>
                  <w:lang w:val="fr-CA"/>
                </w:rPr>
                <w:t xml:space="preserve">l'équipe d'approvisionnement </w:t>
              </w:r>
              <w:r w:rsidR="007E3E46" w:rsidRPr="007E3E46">
                <w:rPr>
                  <w:rStyle w:val="Hyperlink"/>
                  <w:rFonts w:ascii="Arial" w:hAnsi="Arial" w:cs="Arial"/>
                  <w:lang w:val="fr-CA"/>
                </w:rPr>
                <w:t>d’E</w:t>
              </w:r>
              <w:r w:rsidRPr="007E3E46">
                <w:rPr>
                  <w:rStyle w:val="Hyperlink"/>
                  <w:rFonts w:ascii="Arial" w:hAnsi="Arial" w:cs="Arial"/>
                  <w:lang w:val="fr-CA"/>
                </w:rPr>
                <w:t>D</w:t>
              </w:r>
              <w:r w:rsidR="007E3E46" w:rsidRPr="007E3E46">
                <w:rPr>
                  <w:rStyle w:val="Hyperlink"/>
                  <w:rFonts w:ascii="Arial" w:hAnsi="Arial" w:cs="Arial"/>
                  <w:lang w:val="fr-CA"/>
                </w:rPr>
                <w:t>S</w:t>
              </w:r>
              <w:r w:rsidRPr="007E3E46">
                <w:rPr>
                  <w:rStyle w:val="Hyperlink"/>
                  <w:rFonts w:ascii="Arial" w:hAnsi="Arial" w:cs="Arial"/>
                  <w:lang w:val="fr-CA"/>
                </w:rPr>
                <w:t>C</w:t>
              </w:r>
            </w:hyperlink>
            <w:r w:rsidRPr="0088265D">
              <w:rPr>
                <w:rFonts w:ascii="Arial" w:hAnsi="Arial" w:cs="Arial"/>
                <w:lang w:val="fr-CA"/>
              </w:rPr>
              <w:t xml:space="preserve">. Ils s’appliquent aux besoins en approvisionnement de biens et services visant une </w:t>
            </w:r>
            <w:r w:rsidRPr="0088265D">
              <w:rPr>
                <w:rFonts w:ascii="Arial" w:hAnsi="Arial" w:cs="Arial"/>
                <w:i/>
                <w:iCs/>
                <w:lang w:val="fr-CA"/>
              </w:rPr>
              <w:t>livraison avant le 31 mars 201</w:t>
            </w:r>
            <w:r w:rsidR="00455C70">
              <w:rPr>
                <w:rFonts w:ascii="Arial" w:hAnsi="Arial" w:cs="Arial"/>
                <w:i/>
                <w:iCs/>
                <w:lang w:val="fr-CA"/>
              </w:rPr>
              <w:t>5</w:t>
            </w:r>
            <w:r w:rsidRPr="0088265D">
              <w:rPr>
                <w:rFonts w:ascii="Arial" w:hAnsi="Arial" w:cs="Arial"/>
                <w:lang w:val="fr-CA"/>
              </w:rPr>
              <w:t>.</w:t>
            </w:r>
            <w:r w:rsidRPr="0088265D">
              <w:rPr>
                <w:rFonts w:ascii="Arial" w:hAnsi="Arial" w:cs="Arial"/>
                <w:b/>
                <w:lang w:val="fr-CA"/>
              </w:rPr>
              <w:t xml:space="preserve"> </w:t>
            </w:r>
            <w:r w:rsidRPr="0088265D">
              <w:rPr>
                <w:rFonts w:ascii="Arial" w:hAnsi="Arial" w:cs="Arial"/>
                <w:lang w:val="fr-CA"/>
              </w:rPr>
              <w:t>Tous les montants ci-dessous comprennent toutes taxes applicables.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642FA9" w:rsidRPr="0088265D" w:rsidRDefault="0088265D" w:rsidP="0095689D">
            <w:pPr>
              <w:spacing w:after="160"/>
              <w:rPr>
                <w:rFonts w:ascii="Arial" w:hAnsi="Arial" w:cs="Arial"/>
              </w:rPr>
            </w:pPr>
            <w:r w:rsidRPr="0088265D">
              <w:rPr>
                <w:rFonts w:ascii="Arial" w:hAnsi="Arial" w:cs="Arial"/>
              </w:rPr>
              <w:t xml:space="preserve">To help manage your year-end requirements, the </w:t>
            </w:r>
            <w:hyperlink r:id="rId10" w:history="1">
              <w:r w:rsidR="007E3E46" w:rsidRPr="007E3E46">
                <w:rPr>
                  <w:rStyle w:val="Hyperlink"/>
                  <w:rFonts w:ascii="Arial" w:hAnsi="Arial" w:cs="Arial"/>
                </w:rPr>
                <w:t xml:space="preserve">ESDC </w:t>
              </w:r>
              <w:r w:rsidRPr="007E3E46">
                <w:rPr>
                  <w:rStyle w:val="Hyperlink"/>
                  <w:rFonts w:ascii="Arial" w:hAnsi="Arial" w:cs="Arial"/>
                </w:rPr>
                <w:t>Procurement Team</w:t>
              </w:r>
            </w:hyperlink>
            <w:r w:rsidRPr="0088265D">
              <w:rPr>
                <w:rFonts w:ascii="Arial" w:hAnsi="Arial" w:cs="Arial"/>
              </w:rPr>
              <w:t xml:space="preserve"> is providing the following information for the acquisition of goods and services that target </w:t>
            </w:r>
            <w:r w:rsidRPr="0088265D">
              <w:rPr>
                <w:rFonts w:ascii="Arial" w:hAnsi="Arial" w:cs="Arial"/>
                <w:i/>
                <w:iCs/>
              </w:rPr>
              <w:t>d</w:t>
            </w:r>
            <w:r w:rsidR="00455C70">
              <w:rPr>
                <w:rFonts w:ascii="Arial" w:hAnsi="Arial" w:cs="Arial"/>
                <w:i/>
                <w:iCs/>
              </w:rPr>
              <w:t>elivery prior to March 31, 2015</w:t>
            </w:r>
            <w:r w:rsidRPr="0088265D">
              <w:rPr>
                <w:rFonts w:ascii="Arial" w:hAnsi="Arial" w:cs="Arial"/>
              </w:rPr>
              <w:t>. All amounts below include all applicable taxes.</w:t>
            </w:r>
          </w:p>
        </w:tc>
      </w:tr>
      <w:tr w:rsidR="0080231B" w:rsidRPr="00AE1F77" w:rsidTr="00191584">
        <w:trPr>
          <w:trHeight w:val="3836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A93E65" w:rsidRDefault="0080231B" w:rsidP="0080231B">
            <w:pPr>
              <w:numPr>
                <w:ilvl w:val="0"/>
                <w:numId w:val="3"/>
              </w:numPr>
              <w:tabs>
                <w:tab w:val="num" w:pos="190"/>
              </w:tabs>
              <w:spacing w:after="160"/>
              <w:rPr>
                <w:rFonts w:ascii="Arial" w:hAnsi="Arial" w:cs="Arial"/>
                <w:lang w:val="fr-CA"/>
              </w:rPr>
            </w:pPr>
            <w:r w:rsidRPr="00A93E65">
              <w:rPr>
                <w:rFonts w:ascii="Arial" w:hAnsi="Arial" w:cs="Arial"/>
                <w:lang w:val="fr-CA"/>
              </w:rPr>
              <w:t xml:space="preserve">Concurrentiel sujet à l’AMP-OMC et/ou l'ALENA : </w:t>
            </w:r>
            <w:r w:rsidRPr="00A93E65">
              <w:rPr>
                <w:rFonts w:ascii="Arial" w:hAnsi="Arial" w:cs="Arial"/>
                <w:b/>
                <w:bCs/>
                <w:lang w:val="fr-CA"/>
              </w:rPr>
              <w:t xml:space="preserve">le </w:t>
            </w:r>
            <w:r w:rsidR="00D62D35" w:rsidRPr="00A93E65">
              <w:rPr>
                <w:rFonts w:ascii="Arial" w:hAnsi="Arial" w:cs="Arial"/>
                <w:b/>
                <w:bCs/>
                <w:lang w:val="fr-CA"/>
              </w:rPr>
              <w:t>2</w:t>
            </w:r>
            <w:r w:rsidR="00455C70" w:rsidRPr="00A93E65">
              <w:rPr>
                <w:rFonts w:ascii="Arial" w:hAnsi="Arial" w:cs="Arial"/>
                <w:b/>
                <w:bCs/>
                <w:lang w:val="fr-CA"/>
              </w:rPr>
              <w:t>4</w:t>
            </w:r>
            <w:r w:rsidRPr="00A93E65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 w:rsidR="00191584">
              <w:rPr>
                <w:rFonts w:ascii="Arial" w:hAnsi="Arial" w:cs="Arial"/>
                <w:b/>
                <w:bCs/>
                <w:lang w:val="fr-CA"/>
              </w:rPr>
              <w:t>oct. 2014</w:t>
            </w:r>
          </w:p>
          <w:p w:rsidR="0080231B" w:rsidRPr="00A93E65" w:rsidRDefault="0080231B" w:rsidP="0080231B">
            <w:pPr>
              <w:numPr>
                <w:ilvl w:val="0"/>
                <w:numId w:val="3"/>
              </w:numPr>
              <w:tabs>
                <w:tab w:val="num" w:pos="190"/>
              </w:tabs>
              <w:spacing w:after="160"/>
              <w:rPr>
                <w:rFonts w:ascii="Arial" w:hAnsi="Arial" w:cs="Arial"/>
                <w:lang w:val="fr-CA"/>
              </w:rPr>
            </w:pPr>
            <w:r w:rsidRPr="00A93E65">
              <w:rPr>
                <w:rFonts w:ascii="Arial" w:hAnsi="Arial" w:cs="Arial"/>
                <w:lang w:val="fr-CA"/>
              </w:rPr>
              <w:t>Concurrentie</w:t>
            </w:r>
            <w:r w:rsidR="00142174">
              <w:rPr>
                <w:rFonts w:ascii="Arial" w:hAnsi="Arial" w:cs="Arial"/>
                <w:lang w:val="fr-CA"/>
              </w:rPr>
              <w:t xml:space="preserve">l : </w:t>
            </w:r>
            <w:r w:rsidR="00142174" w:rsidRPr="00142174">
              <w:rPr>
                <w:rFonts w:ascii="Arial" w:hAnsi="Arial" w:cs="Arial"/>
                <w:lang w:val="fr-CA"/>
              </w:rPr>
              <w:t>80</w:t>
            </w:r>
            <w:r w:rsidR="00142174">
              <w:rPr>
                <w:rFonts w:ascii="Arial" w:hAnsi="Arial" w:cs="Arial"/>
                <w:lang w:val="fr-CA"/>
              </w:rPr>
              <w:t xml:space="preserve"> </w:t>
            </w:r>
            <w:r w:rsidR="00142174" w:rsidRPr="00142174">
              <w:rPr>
                <w:rFonts w:ascii="Arial" w:hAnsi="Arial" w:cs="Arial"/>
                <w:lang w:val="fr-CA"/>
              </w:rPr>
              <w:t xml:space="preserve">400 </w:t>
            </w:r>
            <w:r w:rsidR="00142174">
              <w:rPr>
                <w:rFonts w:ascii="Arial" w:hAnsi="Arial" w:cs="Arial"/>
                <w:lang w:val="fr-CA"/>
              </w:rPr>
              <w:t xml:space="preserve">$ </w:t>
            </w:r>
            <w:r w:rsidR="00191584">
              <w:rPr>
                <w:rFonts w:ascii="Arial" w:hAnsi="Arial" w:cs="Arial"/>
                <w:lang w:val="fr-CA"/>
              </w:rPr>
              <w:t>et plus, et</w:t>
            </w:r>
            <w:r w:rsidR="00142174" w:rsidRPr="00A93E65">
              <w:rPr>
                <w:rFonts w:ascii="Arial" w:hAnsi="Arial" w:cs="Arial"/>
                <w:lang w:val="fr-CA"/>
              </w:rPr>
              <w:t xml:space="preserve"> non sujet à l’AMP-OMC ni l'ALENA </w:t>
            </w:r>
            <w:r w:rsidR="00142174">
              <w:rPr>
                <w:rFonts w:ascii="Arial" w:hAnsi="Arial" w:cs="Arial"/>
                <w:lang w:val="fr-CA"/>
              </w:rPr>
              <w:t>(</w:t>
            </w:r>
            <w:r w:rsidR="00191584">
              <w:rPr>
                <w:rFonts w:ascii="Arial" w:hAnsi="Arial" w:cs="Arial"/>
                <w:lang w:val="fr-CA"/>
              </w:rPr>
              <w:t>c.à.d.</w:t>
            </w:r>
            <w:r w:rsidR="00142174">
              <w:rPr>
                <w:rFonts w:ascii="Arial" w:hAnsi="Arial" w:cs="Arial"/>
                <w:lang w:val="fr-CA"/>
              </w:rPr>
              <w:t xml:space="preserve"> </w:t>
            </w:r>
            <w:r w:rsidR="00142174" w:rsidRPr="00AE1F77">
              <w:rPr>
                <w:rFonts w:ascii="Arial" w:hAnsi="Arial" w:cs="Arial"/>
                <w:lang w:val="fr-CA"/>
              </w:rPr>
              <w:t>SPTS</w:t>
            </w:r>
            <w:r w:rsidR="00142174" w:rsidRPr="00142174">
              <w:rPr>
                <w:rFonts w:ascii="Arial" w:hAnsi="Arial" w:cs="Arial"/>
                <w:lang w:val="fr-CA"/>
              </w:rPr>
              <w:t xml:space="preserve">, </w:t>
            </w:r>
            <w:bookmarkStart w:id="1" w:name="cont"/>
            <w:r w:rsidR="00142174" w:rsidRPr="00AE1F77">
              <w:rPr>
                <w:rFonts w:ascii="Arial" w:hAnsi="Arial" w:cs="Arial"/>
                <w:lang w:val="fr-CA"/>
              </w:rPr>
              <w:t>SPICT</w:t>
            </w:r>
            <w:bookmarkEnd w:id="1"/>
            <w:r w:rsidR="00142174" w:rsidRPr="00AE1F77">
              <w:rPr>
                <w:rFonts w:ascii="Arial" w:hAnsi="Arial" w:cs="Arial"/>
                <w:lang w:val="fr-CA"/>
              </w:rPr>
              <w:t>, SPICS,</w:t>
            </w:r>
            <w:r w:rsidR="00AE1F77">
              <w:rPr>
                <w:rFonts w:ascii="Arial" w:hAnsi="Arial" w:cs="Arial"/>
                <w:lang w:val="fr-CA"/>
              </w:rPr>
              <w:t xml:space="preserve"> </w:t>
            </w:r>
            <w:r w:rsidR="00142174">
              <w:rPr>
                <w:rFonts w:ascii="Arial" w:hAnsi="Arial" w:cs="Arial"/>
                <w:lang w:val="fr-CA"/>
              </w:rPr>
              <w:t>services d’aide temporaire)</w:t>
            </w:r>
            <w:r w:rsidR="00AE1F77">
              <w:rPr>
                <w:rFonts w:ascii="Arial" w:hAnsi="Arial" w:cs="Arial"/>
                <w:lang w:val="fr-CA"/>
              </w:rPr>
              <w:t> :</w:t>
            </w:r>
            <w:r w:rsidRPr="00A93E65">
              <w:rPr>
                <w:rFonts w:ascii="Arial" w:hAnsi="Arial" w:cs="Arial"/>
                <w:lang w:val="fr-CA"/>
              </w:rPr>
              <w:t xml:space="preserve"> </w:t>
            </w:r>
            <w:r w:rsidR="00455C70" w:rsidRPr="00A93E65">
              <w:rPr>
                <w:rFonts w:ascii="Arial" w:hAnsi="Arial" w:cs="Arial"/>
                <w:b/>
                <w:bCs/>
                <w:lang w:val="fr-CA"/>
              </w:rPr>
              <w:t>le 7</w:t>
            </w:r>
            <w:r w:rsidRPr="00A93E65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 w:rsidR="00D62D35" w:rsidRPr="00A93E65">
              <w:rPr>
                <w:rFonts w:ascii="Arial" w:hAnsi="Arial" w:cs="Arial"/>
                <w:b/>
                <w:bCs/>
                <w:lang w:val="fr-CA"/>
              </w:rPr>
              <w:t>nov. 201</w:t>
            </w:r>
            <w:r w:rsidR="00455C70" w:rsidRPr="00A93E65">
              <w:rPr>
                <w:rFonts w:ascii="Arial" w:hAnsi="Arial" w:cs="Arial"/>
                <w:b/>
                <w:bCs/>
                <w:lang w:val="fr-CA"/>
              </w:rPr>
              <w:t>4</w:t>
            </w:r>
          </w:p>
          <w:p w:rsidR="00D62D35" w:rsidRPr="00A93E65" w:rsidRDefault="0080231B" w:rsidP="00D62D35">
            <w:pPr>
              <w:numPr>
                <w:ilvl w:val="0"/>
                <w:numId w:val="3"/>
              </w:numPr>
              <w:tabs>
                <w:tab w:val="num" w:pos="190"/>
              </w:tabs>
              <w:spacing w:after="160"/>
              <w:rPr>
                <w:rFonts w:ascii="Arial" w:hAnsi="Arial" w:cs="Arial"/>
                <w:lang w:val="fr-CA"/>
              </w:rPr>
            </w:pPr>
            <w:r w:rsidRPr="00A93E65">
              <w:rPr>
                <w:rFonts w:ascii="Arial" w:hAnsi="Arial" w:cs="Arial"/>
                <w:lang w:val="fr-CA"/>
              </w:rPr>
              <w:t>Concurrentie</w:t>
            </w:r>
            <w:r w:rsidR="00142174">
              <w:rPr>
                <w:rFonts w:ascii="Arial" w:hAnsi="Arial" w:cs="Arial"/>
                <w:lang w:val="fr-CA"/>
              </w:rPr>
              <w:t>l :</w:t>
            </w:r>
            <w:r w:rsidRPr="00A93E65">
              <w:rPr>
                <w:rFonts w:ascii="Arial" w:hAnsi="Arial" w:cs="Arial"/>
                <w:lang w:val="fr-CA"/>
              </w:rPr>
              <w:t xml:space="preserve"> moins de </w:t>
            </w:r>
            <w:r w:rsidR="00142174" w:rsidRPr="00142174">
              <w:rPr>
                <w:rFonts w:ascii="Arial" w:hAnsi="Arial" w:cs="Arial"/>
                <w:lang w:val="fr-CA"/>
              </w:rPr>
              <w:t>80</w:t>
            </w:r>
            <w:r w:rsidR="00142174">
              <w:rPr>
                <w:rFonts w:ascii="Arial" w:hAnsi="Arial" w:cs="Arial"/>
                <w:lang w:val="fr-CA"/>
              </w:rPr>
              <w:t xml:space="preserve"> </w:t>
            </w:r>
            <w:r w:rsidR="00142174" w:rsidRPr="00142174">
              <w:rPr>
                <w:rFonts w:ascii="Arial" w:hAnsi="Arial" w:cs="Arial"/>
                <w:lang w:val="fr-CA"/>
              </w:rPr>
              <w:t xml:space="preserve">400 </w:t>
            </w:r>
            <w:r w:rsidR="00142174">
              <w:rPr>
                <w:rFonts w:ascii="Arial" w:hAnsi="Arial" w:cs="Arial"/>
                <w:lang w:val="fr-CA"/>
              </w:rPr>
              <w:t>$</w:t>
            </w:r>
            <w:r w:rsidR="00191584">
              <w:rPr>
                <w:rFonts w:ascii="Arial" w:hAnsi="Arial" w:cs="Arial"/>
                <w:lang w:val="fr-CA"/>
              </w:rPr>
              <w:t xml:space="preserve"> et</w:t>
            </w:r>
            <w:r w:rsidR="00142174" w:rsidRPr="00A93E65">
              <w:rPr>
                <w:rFonts w:ascii="Arial" w:hAnsi="Arial" w:cs="Arial"/>
                <w:lang w:val="fr-CA"/>
              </w:rPr>
              <w:t xml:space="preserve"> non sujet à l’AMP-OMC ni l'ALENA </w:t>
            </w:r>
            <w:r w:rsidR="00142174">
              <w:rPr>
                <w:rFonts w:ascii="Arial" w:hAnsi="Arial" w:cs="Arial"/>
                <w:lang w:val="fr-CA"/>
              </w:rPr>
              <w:t xml:space="preserve">(i.e. </w:t>
            </w:r>
            <w:r w:rsidR="00142174" w:rsidRPr="00142174">
              <w:rPr>
                <w:rFonts w:ascii="Arial" w:hAnsi="Arial" w:cs="Arial"/>
                <w:lang w:val="fr-CA"/>
              </w:rPr>
              <w:t>(i</w:t>
            </w:r>
            <w:r w:rsidR="00AE1F77">
              <w:rPr>
                <w:rFonts w:ascii="Arial" w:hAnsi="Arial" w:cs="Arial"/>
                <w:lang w:val="fr-CA"/>
              </w:rPr>
              <w:t>.</w:t>
            </w:r>
            <w:r w:rsidR="00142174" w:rsidRPr="00142174">
              <w:rPr>
                <w:rFonts w:ascii="Arial" w:hAnsi="Arial" w:cs="Arial"/>
                <w:lang w:val="fr-CA"/>
              </w:rPr>
              <w:t>e</w:t>
            </w:r>
            <w:r w:rsidR="00AE1F77">
              <w:rPr>
                <w:rFonts w:ascii="Arial" w:hAnsi="Arial" w:cs="Arial"/>
                <w:lang w:val="fr-CA"/>
              </w:rPr>
              <w:t>.</w:t>
            </w:r>
            <w:r w:rsidR="00142174" w:rsidRPr="00142174">
              <w:rPr>
                <w:rFonts w:ascii="Arial" w:hAnsi="Arial" w:cs="Arial"/>
                <w:lang w:val="fr-CA"/>
              </w:rPr>
              <w:t xml:space="preserve"> – ProServices, </w:t>
            </w:r>
            <w:r w:rsidR="00142174">
              <w:rPr>
                <w:rFonts w:ascii="Arial" w:hAnsi="Arial" w:cs="Arial"/>
                <w:lang w:val="fr-CA"/>
              </w:rPr>
              <w:t>services d’aide temporaire)</w:t>
            </w:r>
            <w:r w:rsidRPr="00A93E65">
              <w:rPr>
                <w:rFonts w:ascii="Arial" w:hAnsi="Arial" w:cs="Arial"/>
                <w:lang w:val="fr-CA"/>
              </w:rPr>
              <w:t xml:space="preserve">: </w:t>
            </w:r>
            <w:r w:rsidR="00455C70" w:rsidRPr="00A93E65">
              <w:rPr>
                <w:rFonts w:ascii="Arial" w:hAnsi="Arial" w:cs="Arial"/>
                <w:b/>
                <w:bCs/>
                <w:lang w:val="fr-CA"/>
              </w:rPr>
              <w:t xml:space="preserve">le </w:t>
            </w:r>
            <w:r w:rsidR="00AE1F77">
              <w:rPr>
                <w:rFonts w:ascii="Arial" w:hAnsi="Arial" w:cs="Arial"/>
                <w:b/>
                <w:bCs/>
                <w:lang w:val="fr-CA"/>
              </w:rPr>
              <w:t xml:space="preserve">5 </w:t>
            </w:r>
            <w:r w:rsidR="00191584">
              <w:rPr>
                <w:rFonts w:ascii="Arial" w:hAnsi="Arial" w:cs="Arial"/>
                <w:b/>
                <w:bCs/>
                <w:lang w:val="fr-CA"/>
              </w:rPr>
              <w:t>déc.</w:t>
            </w:r>
            <w:r w:rsidR="00455C70" w:rsidRPr="00A93E65">
              <w:rPr>
                <w:rFonts w:ascii="Arial" w:hAnsi="Arial" w:cs="Arial"/>
                <w:b/>
                <w:bCs/>
                <w:lang w:val="fr-CA"/>
              </w:rPr>
              <w:t xml:space="preserve"> 201</w:t>
            </w:r>
            <w:r w:rsidR="00AE1F77">
              <w:rPr>
                <w:rFonts w:ascii="Arial" w:hAnsi="Arial" w:cs="Arial"/>
                <w:b/>
                <w:bCs/>
                <w:lang w:val="fr-CA"/>
              </w:rPr>
              <w:t>4</w:t>
            </w:r>
          </w:p>
          <w:p w:rsidR="0080231B" w:rsidRPr="00A93E65" w:rsidRDefault="0080231B" w:rsidP="00142174">
            <w:pPr>
              <w:numPr>
                <w:ilvl w:val="0"/>
                <w:numId w:val="3"/>
              </w:numPr>
              <w:tabs>
                <w:tab w:val="num" w:pos="190"/>
              </w:tabs>
              <w:spacing w:after="160"/>
              <w:rPr>
                <w:rFonts w:ascii="Arial" w:hAnsi="Arial" w:cs="Arial"/>
                <w:lang w:val="fr-CA"/>
              </w:rPr>
            </w:pPr>
            <w:r w:rsidRPr="00A93E65">
              <w:rPr>
                <w:rFonts w:ascii="Arial" w:hAnsi="Arial" w:cs="Arial"/>
                <w:lang w:val="fr-CA"/>
              </w:rPr>
              <w:t>Source unique</w:t>
            </w:r>
            <w:r w:rsidR="00E945E6">
              <w:rPr>
                <w:rFonts w:ascii="Arial" w:hAnsi="Arial" w:cs="Arial"/>
                <w:lang w:val="fr-CA"/>
              </w:rPr>
              <w:t>, autorisation de tâ</w:t>
            </w:r>
            <w:r w:rsidR="00142174">
              <w:rPr>
                <w:rFonts w:ascii="Arial" w:hAnsi="Arial" w:cs="Arial"/>
                <w:lang w:val="fr-CA"/>
              </w:rPr>
              <w:t>ches, et commande subséquentes</w:t>
            </w:r>
            <w:r w:rsidRPr="00A93E65">
              <w:rPr>
                <w:rFonts w:ascii="Arial" w:hAnsi="Arial" w:cs="Arial"/>
                <w:lang w:val="fr-CA"/>
              </w:rPr>
              <w:t xml:space="preserve">: </w:t>
            </w:r>
            <w:r w:rsidRPr="00A93E65">
              <w:rPr>
                <w:rFonts w:ascii="Arial" w:hAnsi="Arial" w:cs="Arial"/>
                <w:b/>
                <w:bCs/>
                <w:lang w:val="fr-CA"/>
              </w:rPr>
              <w:t xml:space="preserve">le </w:t>
            </w:r>
            <w:r w:rsidR="00455C70" w:rsidRPr="00A93E65">
              <w:rPr>
                <w:rFonts w:ascii="Arial" w:hAnsi="Arial" w:cs="Arial"/>
                <w:b/>
                <w:bCs/>
                <w:lang w:val="fr-CA"/>
              </w:rPr>
              <w:t>30</w:t>
            </w:r>
            <w:r w:rsidRPr="00A93E65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 w:rsidR="008B1072" w:rsidRPr="00A93E65">
              <w:rPr>
                <w:rFonts w:ascii="Arial" w:hAnsi="Arial" w:cs="Arial"/>
                <w:b/>
                <w:bCs/>
                <w:lang w:val="fr-CA"/>
              </w:rPr>
              <w:t>jan. 201</w:t>
            </w:r>
            <w:r w:rsidR="00455C70" w:rsidRPr="00A93E65">
              <w:rPr>
                <w:rFonts w:ascii="Arial" w:hAnsi="Arial" w:cs="Arial"/>
                <w:b/>
                <w:bCs/>
                <w:lang w:val="fr-CA"/>
              </w:rPr>
              <w:t>5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AE1F77" w:rsidRDefault="0004166C" w:rsidP="0080231B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ind w:left="346" w:hanging="274"/>
              <w:contextualSpacing/>
              <w:rPr>
                <w:rFonts w:ascii="Arial" w:hAnsi="Arial" w:cs="Arial"/>
              </w:rPr>
            </w:pPr>
            <w:r w:rsidRPr="00AE1F77">
              <w:rPr>
                <w:rFonts w:ascii="Arial" w:hAnsi="Arial" w:cs="Arial"/>
              </w:rPr>
              <w:t>Competitive:  s</w:t>
            </w:r>
            <w:r w:rsidR="0080231B" w:rsidRPr="00AE1F77">
              <w:rPr>
                <w:rFonts w:ascii="Arial" w:hAnsi="Arial" w:cs="Arial"/>
              </w:rPr>
              <w:t xml:space="preserve">ubject to WTO-AGP and/or NAFTA: </w:t>
            </w:r>
            <w:r w:rsidR="00D62D35" w:rsidRPr="00AE1F77">
              <w:rPr>
                <w:rFonts w:ascii="Arial" w:hAnsi="Arial" w:cs="Arial"/>
                <w:b/>
                <w:bCs/>
              </w:rPr>
              <w:t>Oct. 2</w:t>
            </w:r>
            <w:r w:rsidR="00455C70" w:rsidRPr="00AE1F77">
              <w:rPr>
                <w:rFonts w:ascii="Arial" w:hAnsi="Arial" w:cs="Arial"/>
                <w:b/>
                <w:bCs/>
              </w:rPr>
              <w:t>4, 2014</w:t>
            </w:r>
          </w:p>
          <w:p w:rsidR="0004166C" w:rsidRPr="00AE1F77" w:rsidRDefault="0004166C" w:rsidP="0004166C">
            <w:pPr>
              <w:ind w:left="346"/>
              <w:contextualSpacing/>
              <w:rPr>
                <w:rFonts w:ascii="Arial" w:hAnsi="Arial" w:cs="Arial"/>
              </w:rPr>
            </w:pPr>
          </w:p>
          <w:p w:rsidR="0004166C" w:rsidRPr="00AE1F77" w:rsidRDefault="0004166C" w:rsidP="0004166C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ind w:left="346" w:hanging="274"/>
              <w:contextualSpacing/>
              <w:rPr>
                <w:rFonts w:ascii="Arial" w:hAnsi="Arial" w:cs="Arial"/>
              </w:rPr>
            </w:pPr>
            <w:r w:rsidRPr="00AE1F77">
              <w:rPr>
                <w:rFonts w:ascii="Arial" w:hAnsi="Arial" w:cs="Arial"/>
              </w:rPr>
              <w:t>Competitive</w:t>
            </w:r>
            <w:r w:rsidR="00191584">
              <w:rPr>
                <w:rFonts w:ascii="Arial" w:hAnsi="Arial" w:cs="Arial"/>
              </w:rPr>
              <w:t>:</w:t>
            </w:r>
            <w:r w:rsidRPr="00AE1F77">
              <w:rPr>
                <w:rFonts w:ascii="Arial" w:hAnsi="Arial" w:cs="Arial"/>
              </w:rPr>
              <w:t xml:space="preserve">  $80,400 </w:t>
            </w:r>
            <w:r w:rsidR="00191584">
              <w:rPr>
                <w:rFonts w:ascii="Arial" w:hAnsi="Arial" w:cs="Arial"/>
              </w:rPr>
              <w:t>or more, a</w:t>
            </w:r>
            <w:r w:rsidRPr="00AE1F77">
              <w:rPr>
                <w:rFonts w:ascii="Arial" w:hAnsi="Arial" w:cs="Arial"/>
              </w:rPr>
              <w:t xml:space="preserve">nd subject </w:t>
            </w:r>
            <w:r w:rsidR="00191584">
              <w:rPr>
                <w:rFonts w:ascii="Arial" w:hAnsi="Arial" w:cs="Arial"/>
              </w:rPr>
              <w:t xml:space="preserve">neither </w:t>
            </w:r>
            <w:r w:rsidRPr="00AE1F77">
              <w:rPr>
                <w:rFonts w:ascii="Arial" w:hAnsi="Arial" w:cs="Arial"/>
              </w:rPr>
              <w:t>to WTO-AGP nor NAFTA (i</w:t>
            </w:r>
            <w:r w:rsidR="00191584">
              <w:rPr>
                <w:rFonts w:ascii="Arial" w:hAnsi="Arial" w:cs="Arial"/>
              </w:rPr>
              <w:t>.</w:t>
            </w:r>
            <w:r w:rsidRPr="00AE1F77">
              <w:rPr>
                <w:rFonts w:ascii="Arial" w:hAnsi="Arial" w:cs="Arial"/>
              </w:rPr>
              <w:t>e</w:t>
            </w:r>
            <w:r w:rsidR="00191584">
              <w:rPr>
                <w:rFonts w:ascii="Arial" w:hAnsi="Arial" w:cs="Arial"/>
              </w:rPr>
              <w:t xml:space="preserve">. </w:t>
            </w:r>
            <w:r w:rsidRPr="00AE1F77">
              <w:rPr>
                <w:rFonts w:ascii="Arial" w:hAnsi="Arial" w:cs="Arial"/>
              </w:rPr>
              <w:t xml:space="preserve">TSPS, TBIPS, SBIPS, THS): </w:t>
            </w:r>
            <w:r w:rsidRPr="00AE1F77">
              <w:rPr>
                <w:rFonts w:ascii="Arial" w:hAnsi="Arial" w:cs="Arial"/>
                <w:b/>
                <w:bCs/>
              </w:rPr>
              <w:t>Nov. 7, 2014</w:t>
            </w:r>
          </w:p>
          <w:p w:rsidR="0080231B" w:rsidRPr="00AE1F77" w:rsidRDefault="0080231B" w:rsidP="0080231B">
            <w:pPr>
              <w:ind w:left="346"/>
              <w:contextualSpacing/>
              <w:rPr>
                <w:rFonts w:ascii="Arial" w:hAnsi="Arial" w:cs="Arial"/>
              </w:rPr>
            </w:pPr>
          </w:p>
          <w:p w:rsidR="0080231B" w:rsidRPr="00AE1F77" w:rsidRDefault="0004166C" w:rsidP="0004166C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ind w:left="346" w:hanging="274"/>
              <w:contextualSpacing/>
              <w:rPr>
                <w:rFonts w:ascii="Arial" w:hAnsi="Arial" w:cs="Arial"/>
              </w:rPr>
            </w:pPr>
            <w:r w:rsidRPr="00AE1F77">
              <w:rPr>
                <w:rFonts w:ascii="Arial" w:hAnsi="Arial" w:cs="Arial"/>
              </w:rPr>
              <w:t>Competitive</w:t>
            </w:r>
            <w:r w:rsidR="00191584">
              <w:rPr>
                <w:rFonts w:ascii="Arial" w:hAnsi="Arial" w:cs="Arial"/>
              </w:rPr>
              <w:t>:</w:t>
            </w:r>
            <w:r w:rsidRPr="00AE1F77">
              <w:rPr>
                <w:rFonts w:ascii="Arial" w:hAnsi="Arial" w:cs="Arial"/>
              </w:rPr>
              <w:t xml:space="preserve">  less than $80,400 and </w:t>
            </w:r>
            <w:r w:rsidR="0080231B" w:rsidRPr="00AE1F77">
              <w:rPr>
                <w:rFonts w:ascii="Arial" w:hAnsi="Arial" w:cs="Arial"/>
              </w:rPr>
              <w:t xml:space="preserve">subject </w:t>
            </w:r>
            <w:r w:rsidR="00191584">
              <w:rPr>
                <w:rFonts w:ascii="Arial" w:hAnsi="Arial" w:cs="Arial"/>
              </w:rPr>
              <w:t xml:space="preserve">neither </w:t>
            </w:r>
            <w:r w:rsidR="0080231B" w:rsidRPr="00AE1F77">
              <w:rPr>
                <w:rFonts w:ascii="Arial" w:hAnsi="Arial" w:cs="Arial"/>
              </w:rPr>
              <w:t>to WTO-AGP nor NAFTA</w:t>
            </w:r>
            <w:r w:rsidRPr="00AE1F77">
              <w:rPr>
                <w:rFonts w:ascii="Arial" w:hAnsi="Arial" w:cs="Arial"/>
              </w:rPr>
              <w:t xml:space="preserve"> (ie – ProServices, THS)</w:t>
            </w:r>
            <w:r w:rsidR="0080231B" w:rsidRPr="00AE1F77">
              <w:rPr>
                <w:rFonts w:ascii="Arial" w:hAnsi="Arial" w:cs="Arial"/>
              </w:rPr>
              <w:t xml:space="preserve">: </w:t>
            </w:r>
            <w:r w:rsidRPr="00AE1F77">
              <w:rPr>
                <w:rFonts w:ascii="Arial" w:hAnsi="Arial" w:cs="Arial"/>
                <w:b/>
                <w:bCs/>
              </w:rPr>
              <w:t>December 5</w:t>
            </w:r>
            <w:r w:rsidR="00455C70" w:rsidRPr="00AE1F77">
              <w:rPr>
                <w:rFonts w:ascii="Arial" w:hAnsi="Arial" w:cs="Arial"/>
                <w:b/>
                <w:bCs/>
              </w:rPr>
              <w:t>, 2014</w:t>
            </w:r>
          </w:p>
          <w:p w:rsidR="0080231B" w:rsidRPr="00AE1F77" w:rsidRDefault="0080231B" w:rsidP="0080231B">
            <w:pPr>
              <w:contextualSpacing/>
              <w:rPr>
                <w:rFonts w:ascii="Arial" w:hAnsi="Arial" w:cs="Arial"/>
              </w:rPr>
            </w:pPr>
          </w:p>
          <w:p w:rsidR="0004166C" w:rsidRPr="00191584" w:rsidRDefault="0080231B" w:rsidP="00191584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ind w:left="346" w:hanging="274"/>
              <w:contextualSpacing/>
              <w:rPr>
                <w:rFonts w:ascii="Arial" w:hAnsi="Arial" w:cs="Arial"/>
              </w:rPr>
            </w:pPr>
            <w:r w:rsidRPr="00AE1F77">
              <w:rPr>
                <w:rFonts w:ascii="Arial" w:hAnsi="Arial" w:cs="Arial"/>
              </w:rPr>
              <w:t>Sole source</w:t>
            </w:r>
            <w:r w:rsidR="0004166C" w:rsidRPr="00AE1F77">
              <w:rPr>
                <w:rFonts w:ascii="Arial" w:hAnsi="Arial" w:cs="Arial"/>
              </w:rPr>
              <w:t xml:space="preserve">, Task Authorizations and Call-ups:  </w:t>
            </w:r>
            <w:r w:rsidR="008B1072" w:rsidRPr="00AE1F77">
              <w:rPr>
                <w:rFonts w:ascii="Arial" w:hAnsi="Arial" w:cs="Arial"/>
                <w:b/>
                <w:bCs/>
              </w:rPr>
              <w:t>Jan</w:t>
            </w:r>
            <w:r w:rsidRPr="00AE1F77">
              <w:rPr>
                <w:rFonts w:ascii="Arial" w:hAnsi="Arial" w:cs="Arial"/>
                <w:b/>
                <w:bCs/>
              </w:rPr>
              <w:t xml:space="preserve">. </w:t>
            </w:r>
            <w:r w:rsidR="00455C70" w:rsidRPr="00AE1F77">
              <w:rPr>
                <w:rFonts w:ascii="Arial" w:hAnsi="Arial" w:cs="Arial"/>
                <w:b/>
                <w:bCs/>
              </w:rPr>
              <w:t>30</w:t>
            </w:r>
            <w:r w:rsidR="008B1072" w:rsidRPr="00AE1F77">
              <w:rPr>
                <w:rFonts w:ascii="Arial" w:hAnsi="Arial" w:cs="Arial"/>
                <w:b/>
                <w:bCs/>
              </w:rPr>
              <w:t>, 201</w:t>
            </w:r>
            <w:r w:rsidR="00455C70" w:rsidRPr="00AE1F77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80231B" w:rsidRPr="00187B6A" w:rsidTr="00642FA9">
        <w:trPr>
          <w:trHeight w:val="396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187B6A" w:rsidRDefault="00942F9F" w:rsidP="00E945E6">
            <w:pPr>
              <w:spacing w:after="16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Si l’É</w:t>
            </w:r>
            <w:r w:rsidR="00187B6A" w:rsidRPr="00187B6A">
              <w:rPr>
                <w:rFonts w:ascii="Arial" w:hAnsi="Arial" w:cs="Arial"/>
                <w:lang w:val="fr-CA"/>
              </w:rPr>
              <w:t xml:space="preserve">quipe d’approvisionnement </w:t>
            </w:r>
            <w:r>
              <w:rPr>
                <w:rFonts w:ascii="Arial" w:hAnsi="Arial" w:cs="Arial"/>
                <w:lang w:val="fr-CA"/>
              </w:rPr>
              <w:t xml:space="preserve">d’EDSC </w:t>
            </w:r>
            <w:r w:rsidR="00187B6A" w:rsidRPr="00187B6A">
              <w:rPr>
                <w:rFonts w:ascii="Arial" w:hAnsi="Arial" w:cs="Arial"/>
                <w:lang w:val="fr-CA"/>
              </w:rPr>
              <w:t>reç</w:t>
            </w:r>
            <w:r w:rsidR="00E945E6">
              <w:rPr>
                <w:rFonts w:ascii="Arial" w:hAnsi="Arial" w:cs="Arial"/>
                <w:lang w:val="fr-CA"/>
              </w:rPr>
              <w:t>oit</w:t>
            </w:r>
            <w:r w:rsidR="00187B6A" w:rsidRPr="00187B6A">
              <w:rPr>
                <w:rFonts w:ascii="Arial" w:hAnsi="Arial" w:cs="Arial"/>
                <w:lang w:val="fr-CA"/>
              </w:rPr>
              <w:t xml:space="preserve"> une </w:t>
            </w:r>
            <w:r w:rsidR="00191584">
              <w:rPr>
                <w:rFonts w:ascii="Arial" w:hAnsi="Arial" w:cs="Arial"/>
                <w:lang w:val="fr-CA"/>
              </w:rPr>
              <w:t xml:space="preserve">Demande d’achat dans maSGE </w:t>
            </w:r>
            <w:r w:rsidR="00187B6A" w:rsidRPr="00187B6A">
              <w:rPr>
                <w:rFonts w:ascii="Arial" w:hAnsi="Arial" w:cs="Arial"/>
                <w:i/>
                <w:iCs/>
                <w:lang w:val="fr-CA"/>
              </w:rPr>
              <w:t xml:space="preserve">après la date </w:t>
            </w:r>
            <w:r w:rsidR="00E945E6">
              <w:rPr>
                <w:rFonts w:ascii="Arial" w:hAnsi="Arial" w:cs="Arial"/>
                <w:i/>
                <w:iCs/>
                <w:lang w:val="fr-CA"/>
              </w:rPr>
              <w:t>d’échéance</w:t>
            </w:r>
            <w:r w:rsidR="00187B6A" w:rsidRPr="00187B6A">
              <w:rPr>
                <w:rFonts w:ascii="Arial" w:hAnsi="Arial" w:cs="Arial"/>
                <w:i/>
                <w:iCs/>
                <w:lang w:val="fr-CA"/>
              </w:rPr>
              <w:t xml:space="preserve"> indiquée ci-haut</w:t>
            </w:r>
            <w:r w:rsidR="00187B6A" w:rsidRPr="00187B6A">
              <w:rPr>
                <w:rFonts w:ascii="Arial" w:hAnsi="Arial" w:cs="Arial"/>
                <w:lang w:val="fr-CA"/>
              </w:rPr>
              <w:t xml:space="preserve">, l’équipe fera de son mieux afin </w:t>
            </w:r>
            <w:r w:rsidR="00D64FE3">
              <w:rPr>
                <w:rFonts w:ascii="Arial" w:hAnsi="Arial" w:cs="Arial"/>
                <w:lang w:val="fr-CA"/>
              </w:rPr>
              <w:t>de la traiter</w:t>
            </w:r>
            <w:r w:rsidR="00187B6A" w:rsidRPr="00187B6A">
              <w:rPr>
                <w:rFonts w:ascii="Arial" w:hAnsi="Arial" w:cs="Arial"/>
                <w:lang w:val="fr-CA"/>
              </w:rPr>
              <w:t xml:space="preserve"> dans les plus brefs délais. Par contre, il </w:t>
            </w:r>
            <w:r w:rsidR="00187B6A" w:rsidRPr="00187B6A">
              <w:rPr>
                <w:rFonts w:ascii="Arial" w:hAnsi="Arial" w:cs="Arial"/>
                <w:b/>
                <w:bCs/>
                <w:i/>
                <w:iCs/>
                <w:lang w:val="fr-CA"/>
              </w:rPr>
              <w:t>ne sera peut-être pas possible de compléter le processus d’approvisionnement pour assurer une livraison avant le 31 mars 201</w:t>
            </w:r>
            <w:r w:rsidR="00455C70">
              <w:rPr>
                <w:rFonts w:ascii="Arial" w:hAnsi="Arial" w:cs="Arial"/>
                <w:b/>
                <w:bCs/>
                <w:i/>
                <w:iCs/>
                <w:lang w:val="fr-CA"/>
              </w:rPr>
              <w:t>5</w:t>
            </w:r>
            <w:r w:rsidR="00187B6A" w:rsidRPr="00187B6A">
              <w:rPr>
                <w:rFonts w:ascii="Arial" w:hAnsi="Arial" w:cs="Arial"/>
                <w:i/>
                <w:iCs/>
                <w:lang w:val="fr-CA"/>
              </w:rPr>
              <w:t xml:space="preserve">, considérant les délais minimums obligatoires d’affichage sur </w:t>
            </w:r>
            <w:hyperlink r:id="rId11" w:history="1">
              <w:r w:rsidR="00D64FE3" w:rsidRPr="00D64FE3">
                <w:rPr>
                  <w:rStyle w:val="Hyperlink"/>
                  <w:rFonts w:ascii="Arial" w:hAnsi="Arial" w:cs="Arial"/>
                  <w:i/>
                  <w:iCs/>
                  <w:lang w:val="fr-CA"/>
                </w:rPr>
                <w:t>achatsetventes.gc.ca/appels-d-offres</w:t>
              </w:r>
            </w:hyperlink>
            <w:r w:rsidR="00D64FE3">
              <w:rPr>
                <w:rFonts w:ascii="Arial" w:hAnsi="Arial" w:cs="Arial"/>
                <w:i/>
                <w:iCs/>
                <w:lang w:val="fr-CA"/>
              </w:rPr>
              <w:t xml:space="preserve"> </w:t>
            </w:r>
            <w:r w:rsidR="00187B6A" w:rsidRPr="00187B6A">
              <w:rPr>
                <w:rFonts w:ascii="Arial" w:hAnsi="Arial" w:cs="Arial"/>
                <w:i/>
                <w:iCs/>
                <w:lang w:val="fr-CA"/>
              </w:rPr>
              <w:t xml:space="preserve">et </w:t>
            </w:r>
            <w:r w:rsidR="003838A7">
              <w:rPr>
                <w:rFonts w:ascii="Arial" w:hAnsi="Arial" w:cs="Arial"/>
                <w:i/>
                <w:iCs/>
                <w:lang w:val="fr-CA"/>
              </w:rPr>
              <w:t xml:space="preserve">les </w:t>
            </w:r>
            <w:r w:rsidR="00D966E2">
              <w:rPr>
                <w:rFonts w:ascii="Arial" w:hAnsi="Arial" w:cs="Arial"/>
                <w:i/>
                <w:iCs/>
                <w:lang w:val="fr-CA"/>
              </w:rPr>
              <w:t>échéances</w:t>
            </w:r>
            <w:r w:rsidR="00187B6A" w:rsidRPr="00187B6A">
              <w:rPr>
                <w:rFonts w:ascii="Arial" w:hAnsi="Arial" w:cs="Arial"/>
                <w:i/>
                <w:iCs/>
                <w:lang w:val="fr-CA"/>
              </w:rPr>
              <w:t xml:space="preserve"> de TPSGC</w:t>
            </w:r>
            <w:r w:rsidR="00187B6A" w:rsidRPr="00187B6A">
              <w:rPr>
                <w:rFonts w:ascii="Arial" w:hAnsi="Arial" w:cs="Arial"/>
                <w:lang w:val="fr-CA"/>
              </w:rPr>
              <w:t>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187B6A" w:rsidRDefault="00187B6A" w:rsidP="00191584">
            <w:pPr>
              <w:spacing w:after="160"/>
              <w:rPr>
                <w:rFonts w:ascii="Arial" w:hAnsi="Arial" w:cs="Arial"/>
              </w:rPr>
            </w:pPr>
            <w:r w:rsidRPr="00187B6A">
              <w:rPr>
                <w:rFonts w:ascii="Arial" w:hAnsi="Arial" w:cs="Arial"/>
              </w:rPr>
              <w:t xml:space="preserve">If </w:t>
            </w:r>
            <w:r w:rsidR="00942F9F">
              <w:rPr>
                <w:rFonts w:ascii="Arial" w:hAnsi="Arial" w:cs="Arial"/>
              </w:rPr>
              <w:t xml:space="preserve">the ESDC </w:t>
            </w:r>
            <w:r w:rsidRPr="00187B6A">
              <w:rPr>
                <w:rFonts w:ascii="Arial" w:hAnsi="Arial" w:cs="Arial"/>
              </w:rPr>
              <w:t xml:space="preserve">Procurement </w:t>
            </w:r>
            <w:r w:rsidR="00942F9F">
              <w:rPr>
                <w:rFonts w:ascii="Arial" w:hAnsi="Arial" w:cs="Arial"/>
              </w:rPr>
              <w:t xml:space="preserve">Team </w:t>
            </w:r>
            <w:r w:rsidRPr="00187B6A">
              <w:rPr>
                <w:rFonts w:ascii="Arial" w:hAnsi="Arial" w:cs="Arial"/>
              </w:rPr>
              <w:t xml:space="preserve">receives a </w:t>
            </w:r>
            <w:r w:rsidR="00191584">
              <w:rPr>
                <w:rFonts w:ascii="Arial" w:hAnsi="Arial" w:cs="Arial"/>
              </w:rPr>
              <w:t>myEMS Purchase R</w:t>
            </w:r>
            <w:r w:rsidRPr="00191584">
              <w:rPr>
                <w:rFonts w:ascii="Arial" w:hAnsi="Arial" w:cs="Arial"/>
              </w:rPr>
              <w:t>equisition</w:t>
            </w:r>
            <w:r w:rsidRPr="00187B6A">
              <w:rPr>
                <w:rFonts w:ascii="Arial" w:hAnsi="Arial" w:cs="Arial"/>
              </w:rPr>
              <w:t xml:space="preserve"> </w:t>
            </w:r>
            <w:r w:rsidRPr="00187B6A">
              <w:rPr>
                <w:rFonts w:ascii="Arial" w:hAnsi="Arial" w:cs="Arial"/>
                <w:i/>
                <w:iCs/>
              </w:rPr>
              <w:t>after the deadlines indicated above</w:t>
            </w:r>
            <w:r w:rsidRPr="00187B6A">
              <w:rPr>
                <w:rFonts w:ascii="Arial" w:hAnsi="Arial" w:cs="Arial"/>
              </w:rPr>
              <w:t xml:space="preserve">, the team will do its best to </w:t>
            </w:r>
            <w:r w:rsidR="00D64FE3">
              <w:rPr>
                <w:rFonts w:ascii="Arial" w:hAnsi="Arial" w:cs="Arial"/>
              </w:rPr>
              <w:t>process</w:t>
            </w:r>
            <w:r w:rsidRPr="00187B6A">
              <w:rPr>
                <w:rFonts w:ascii="Arial" w:hAnsi="Arial" w:cs="Arial"/>
              </w:rPr>
              <w:t xml:space="preserve"> the requisition quickly. </w:t>
            </w:r>
            <w:r w:rsidRPr="00187B6A">
              <w:rPr>
                <w:rFonts w:ascii="Arial" w:hAnsi="Arial" w:cs="Arial"/>
                <w:i/>
                <w:iCs/>
              </w:rPr>
              <w:t xml:space="preserve">Because of the </w:t>
            </w:r>
            <w:r w:rsidR="002577C8">
              <w:rPr>
                <w:rFonts w:ascii="Arial" w:hAnsi="Arial" w:cs="Arial"/>
                <w:i/>
                <w:iCs/>
              </w:rPr>
              <w:t xml:space="preserve">minimum mandatory posting periods </w:t>
            </w:r>
            <w:r w:rsidR="00514938">
              <w:rPr>
                <w:rFonts w:ascii="Arial" w:hAnsi="Arial" w:cs="Arial"/>
                <w:i/>
                <w:iCs/>
              </w:rPr>
              <w:t xml:space="preserve">on </w:t>
            </w:r>
            <w:hyperlink r:id="rId12" w:history="1">
              <w:r w:rsidR="00514938" w:rsidRPr="00D64FE3">
                <w:rPr>
                  <w:rStyle w:val="Hyperlink"/>
                  <w:rFonts w:ascii="Arial" w:hAnsi="Arial" w:cs="Arial"/>
                  <w:i/>
                  <w:iCs/>
                </w:rPr>
                <w:t>buyandsell.gc.ca/tenders</w:t>
              </w:r>
            </w:hyperlink>
            <w:r w:rsidR="00514938">
              <w:rPr>
                <w:rFonts w:ascii="Arial" w:hAnsi="Arial" w:cs="Arial"/>
                <w:i/>
                <w:iCs/>
              </w:rPr>
              <w:t>, plus</w:t>
            </w:r>
            <w:r w:rsidRPr="00187B6A">
              <w:rPr>
                <w:rFonts w:ascii="Arial" w:hAnsi="Arial" w:cs="Arial"/>
                <w:i/>
                <w:iCs/>
              </w:rPr>
              <w:t xml:space="preserve"> PWGSC's own timelines, it </w:t>
            </w:r>
            <w:r w:rsidRPr="00187B6A">
              <w:rPr>
                <w:rFonts w:ascii="Arial" w:hAnsi="Arial" w:cs="Arial"/>
                <w:b/>
                <w:bCs/>
                <w:i/>
                <w:iCs/>
              </w:rPr>
              <w:t>may not be possible to complete such procurements for March 31, 201</w:t>
            </w:r>
            <w:r w:rsidR="00455C70">
              <w:rPr>
                <w:rFonts w:ascii="Arial" w:hAnsi="Arial" w:cs="Arial"/>
                <w:b/>
                <w:bCs/>
                <w:i/>
                <w:iCs/>
              </w:rPr>
              <w:t>5</w:t>
            </w:r>
            <w:r w:rsidRPr="00187B6A">
              <w:rPr>
                <w:rFonts w:ascii="Arial" w:hAnsi="Arial" w:cs="Arial"/>
                <w:b/>
                <w:bCs/>
                <w:i/>
                <w:iCs/>
              </w:rPr>
              <w:t xml:space="preserve"> delivery</w:t>
            </w:r>
            <w:r w:rsidRPr="00187B6A">
              <w:rPr>
                <w:rFonts w:ascii="Arial" w:hAnsi="Arial" w:cs="Arial"/>
              </w:rPr>
              <w:t>.</w:t>
            </w:r>
          </w:p>
        </w:tc>
      </w:tr>
      <w:tr w:rsidR="0080231B" w:rsidRPr="00187B6A" w:rsidTr="00642FA9">
        <w:trPr>
          <w:trHeight w:val="468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187B6A" w:rsidRDefault="00187B6A" w:rsidP="00191584">
            <w:pPr>
              <w:spacing w:after="160"/>
              <w:rPr>
                <w:rFonts w:ascii="Arial" w:hAnsi="Arial" w:cs="Arial"/>
                <w:lang w:val="fr-CA"/>
              </w:rPr>
            </w:pPr>
            <w:r w:rsidRPr="00187B6A">
              <w:rPr>
                <w:rFonts w:ascii="Arial" w:hAnsi="Arial" w:cs="Arial"/>
                <w:lang w:val="fr-CA"/>
              </w:rPr>
              <w:t xml:space="preserve">Le délai de traitement d'une </w:t>
            </w:r>
            <w:r w:rsidR="00191584">
              <w:rPr>
                <w:rFonts w:ascii="Arial" w:hAnsi="Arial" w:cs="Arial"/>
                <w:lang w:val="fr-CA"/>
              </w:rPr>
              <w:t>demande d’achat</w:t>
            </w:r>
            <w:r w:rsidRPr="00187B6A">
              <w:rPr>
                <w:rFonts w:ascii="Arial" w:hAnsi="Arial" w:cs="Arial"/>
                <w:lang w:val="fr-CA"/>
              </w:rPr>
              <w:t xml:space="preserve"> varie cons</w:t>
            </w:r>
            <w:r w:rsidR="00FC6357">
              <w:rPr>
                <w:rFonts w:ascii="Arial" w:hAnsi="Arial" w:cs="Arial"/>
                <w:lang w:val="fr-CA"/>
              </w:rPr>
              <w:t xml:space="preserve">idérablement, en fonction du but </w:t>
            </w:r>
            <w:r w:rsidRPr="00187B6A">
              <w:rPr>
                <w:rFonts w:ascii="Arial" w:hAnsi="Arial" w:cs="Arial"/>
                <w:lang w:val="fr-CA"/>
              </w:rPr>
              <w:t xml:space="preserve">de celle-ci, de sa complexité, de sa valeur et de l'applicabilité de plusieurs accords commerciaux. La qualité, le niveau d’exhaustivité, et l'exactitude </w:t>
            </w:r>
            <w:r w:rsidR="00C100ED">
              <w:rPr>
                <w:rFonts w:ascii="Arial" w:hAnsi="Arial" w:cs="Arial"/>
                <w:lang w:val="fr-CA"/>
              </w:rPr>
              <w:t>des renseignements reçus par l’Équipe d’a</w:t>
            </w:r>
            <w:r w:rsidRPr="00187B6A">
              <w:rPr>
                <w:rFonts w:ascii="Arial" w:hAnsi="Arial" w:cs="Arial"/>
                <w:lang w:val="fr-CA"/>
              </w:rPr>
              <w:t>pprovisionnement ont aussi un effet important sur la rapidité de traitement d'une commande.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187B6A" w:rsidRDefault="00191584" w:rsidP="006E6ACA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lead-time for processing a Purchase R</w:t>
            </w:r>
            <w:r w:rsidR="00187B6A" w:rsidRPr="00187B6A">
              <w:rPr>
                <w:rFonts w:ascii="Arial" w:hAnsi="Arial" w:cs="Arial"/>
              </w:rPr>
              <w:t xml:space="preserve">equisition varies considerably, depending on </w:t>
            </w:r>
            <w:r w:rsidR="00FC6357">
              <w:rPr>
                <w:rFonts w:ascii="Arial" w:hAnsi="Arial" w:cs="Arial"/>
              </w:rPr>
              <w:t>its object</w:t>
            </w:r>
            <w:r w:rsidR="00187B6A" w:rsidRPr="00187B6A">
              <w:rPr>
                <w:rFonts w:ascii="Arial" w:hAnsi="Arial" w:cs="Arial"/>
              </w:rPr>
              <w:t>, its complexity, its value and whether</w:t>
            </w:r>
            <w:r w:rsidR="006E6ACA">
              <w:rPr>
                <w:rFonts w:ascii="Arial" w:hAnsi="Arial" w:cs="Arial"/>
              </w:rPr>
              <w:t xml:space="preserve"> it is subject to</w:t>
            </w:r>
            <w:r w:rsidR="00187B6A" w:rsidRPr="00187B6A">
              <w:rPr>
                <w:rFonts w:ascii="Arial" w:hAnsi="Arial" w:cs="Arial"/>
              </w:rPr>
              <w:t xml:space="preserve"> trade agreement(s). The quality, completeness and accuracy of the information </w:t>
            </w:r>
            <w:r w:rsidR="00C100ED">
              <w:rPr>
                <w:rFonts w:ascii="Arial" w:hAnsi="Arial" w:cs="Arial"/>
              </w:rPr>
              <w:t xml:space="preserve">the </w:t>
            </w:r>
            <w:r w:rsidR="00187B6A" w:rsidRPr="00187B6A">
              <w:rPr>
                <w:rFonts w:ascii="Arial" w:hAnsi="Arial" w:cs="Arial"/>
              </w:rPr>
              <w:t xml:space="preserve">Procurement </w:t>
            </w:r>
            <w:r w:rsidR="00C100ED">
              <w:rPr>
                <w:rFonts w:ascii="Arial" w:hAnsi="Arial" w:cs="Arial"/>
              </w:rPr>
              <w:t xml:space="preserve">Team </w:t>
            </w:r>
            <w:r w:rsidR="00187B6A" w:rsidRPr="00187B6A">
              <w:rPr>
                <w:rFonts w:ascii="Arial" w:hAnsi="Arial" w:cs="Arial"/>
              </w:rPr>
              <w:t>receives also affect service speed.</w:t>
            </w:r>
          </w:p>
        </w:tc>
      </w:tr>
      <w:tr w:rsidR="0080231B" w:rsidRPr="00187B6A" w:rsidTr="00642FA9">
        <w:trPr>
          <w:trHeight w:val="450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187B6A" w:rsidRDefault="00187B6A" w:rsidP="001B22E2">
            <w:pPr>
              <w:spacing w:after="160"/>
              <w:rPr>
                <w:rFonts w:ascii="Arial" w:hAnsi="Arial" w:cs="Arial"/>
                <w:lang w:val="fr-CA"/>
              </w:rPr>
            </w:pPr>
            <w:r w:rsidRPr="00187B6A">
              <w:rPr>
                <w:rFonts w:ascii="Arial" w:hAnsi="Arial" w:cs="Arial"/>
                <w:lang w:val="fr-CA"/>
              </w:rPr>
              <w:lastRenderedPageBreak/>
              <w:t xml:space="preserve">Afin d'éviter </w:t>
            </w:r>
            <w:r w:rsidR="001B22E2">
              <w:rPr>
                <w:rFonts w:ascii="Arial" w:hAnsi="Arial" w:cs="Arial"/>
                <w:lang w:val="fr-CA"/>
              </w:rPr>
              <w:t>des</w:t>
            </w:r>
            <w:r w:rsidRPr="00187B6A">
              <w:rPr>
                <w:rFonts w:ascii="Arial" w:hAnsi="Arial" w:cs="Arial"/>
                <w:lang w:val="fr-CA"/>
              </w:rPr>
              <w:t xml:space="preserve"> débordements, </w:t>
            </w:r>
            <w:r w:rsidR="00250A14">
              <w:rPr>
                <w:rFonts w:ascii="Arial" w:hAnsi="Arial" w:cs="Arial"/>
                <w:lang w:val="fr-CA"/>
              </w:rPr>
              <w:t xml:space="preserve">veuillez </w:t>
            </w:r>
            <w:r w:rsidRPr="00187B6A">
              <w:rPr>
                <w:rFonts w:ascii="Arial" w:hAnsi="Arial" w:cs="Arial"/>
                <w:lang w:val="fr-CA"/>
              </w:rPr>
              <w:t>nous envoyer vos commandes dans les meilleurs délais.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187B6A" w:rsidRDefault="00187B6A" w:rsidP="001B22E2">
            <w:pPr>
              <w:spacing w:after="160"/>
              <w:rPr>
                <w:rFonts w:ascii="Arial" w:hAnsi="Arial" w:cs="Arial"/>
              </w:rPr>
            </w:pPr>
            <w:r w:rsidRPr="00187B6A">
              <w:rPr>
                <w:rFonts w:ascii="Arial" w:hAnsi="Arial" w:cs="Arial"/>
              </w:rPr>
              <w:t xml:space="preserve">To avoid </w:t>
            </w:r>
            <w:r w:rsidR="001B22E2">
              <w:rPr>
                <w:rFonts w:ascii="Arial" w:hAnsi="Arial" w:cs="Arial"/>
              </w:rPr>
              <w:t>any</w:t>
            </w:r>
            <w:r w:rsidRPr="00187B6A">
              <w:rPr>
                <w:rFonts w:ascii="Arial" w:hAnsi="Arial" w:cs="Arial"/>
              </w:rPr>
              <w:t xml:space="preserve"> "bottleneck</w:t>
            </w:r>
            <w:r w:rsidR="001B22E2">
              <w:rPr>
                <w:rFonts w:ascii="Arial" w:hAnsi="Arial" w:cs="Arial"/>
              </w:rPr>
              <w:t>s</w:t>
            </w:r>
            <w:r w:rsidR="00D76D35">
              <w:rPr>
                <w:rFonts w:ascii="Arial" w:hAnsi="Arial" w:cs="Arial"/>
              </w:rPr>
              <w:t>,</w:t>
            </w:r>
            <w:r w:rsidRPr="00187B6A">
              <w:rPr>
                <w:rFonts w:ascii="Arial" w:hAnsi="Arial" w:cs="Arial"/>
              </w:rPr>
              <w:t>" please submit your requisitions as soon as possible.</w:t>
            </w:r>
          </w:p>
        </w:tc>
      </w:tr>
      <w:tr w:rsidR="0080231B" w:rsidRPr="00187B6A" w:rsidTr="00642FA9">
        <w:trPr>
          <w:trHeight w:val="423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187B6A" w:rsidRPr="00187B6A" w:rsidRDefault="00187B6A" w:rsidP="00187B6A">
            <w:pPr>
              <w:rPr>
                <w:rFonts w:ascii="Arial" w:hAnsi="Arial" w:cs="Arial"/>
                <w:lang w:val="fr-CA"/>
              </w:rPr>
            </w:pPr>
            <w:r w:rsidRPr="00187B6A">
              <w:rPr>
                <w:rFonts w:ascii="Arial" w:hAnsi="Arial" w:cs="Arial"/>
                <w:lang w:val="fr-CA"/>
              </w:rPr>
              <w:t>Rappels importantes :</w:t>
            </w:r>
          </w:p>
          <w:p w:rsidR="00187B6A" w:rsidRPr="00187B6A" w:rsidRDefault="00187B6A" w:rsidP="00187B6A">
            <w:pPr>
              <w:numPr>
                <w:ilvl w:val="0"/>
                <w:numId w:val="5"/>
              </w:numPr>
              <w:tabs>
                <w:tab w:val="num" w:pos="190"/>
              </w:tabs>
              <w:rPr>
                <w:rFonts w:ascii="Arial" w:hAnsi="Arial" w:cs="Arial"/>
                <w:lang w:val="fr-CA"/>
              </w:rPr>
            </w:pPr>
            <w:r w:rsidRPr="00187B6A">
              <w:rPr>
                <w:rFonts w:ascii="Arial" w:hAnsi="Arial" w:cs="Arial"/>
                <w:lang w:val="fr-CA"/>
              </w:rPr>
              <w:t xml:space="preserve">Pour que le coût d'un achat puisse être imputé à l'exercice </w:t>
            </w:r>
            <w:r w:rsidR="00250A14">
              <w:rPr>
                <w:rFonts w:ascii="Arial" w:hAnsi="Arial" w:cs="Arial"/>
                <w:lang w:val="fr-CA"/>
              </w:rPr>
              <w:t>201</w:t>
            </w:r>
            <w:r w:rsidR="00455C70">
              <w:rPr>
                <w:rFonts w:ascii="Arial" w:hAnsi="Arial" w:cs="Arial"/>
                <w:lang w:val="fr-CA"/>
              </w:rPr>
              <w:t>4</w:t>
            </w:r>
            <w:r w:rsidR="00250A14">
              <w:rPr>
                <w:rFonts w:ascii="Arial" w:hAnsi="Arial" w:cs="Arial"/>
                <w:lang w:val="fr-CA"/>
              </w:rPr>
              <w:t>-201</w:t>
            </w:r>
            <w:r w:rsidR="00455C70">
              <w:rPr>
                <w:rFonts w:ascii="Arial" w:hAnsi="Arial" w:cs="Arial"/>
                <w:lang w:val="fr-CA"/>
              </w:rPr>
              <w:t>5</w:t>
            </w:r>
            <w:r w:rsidRPr="00187B6A">
              <w:rPr>
                <w:rFonts w:ascii="Arial" w:hAnsi="Arial" w:cs="Arial"/>
                <w:lang w:val="fr-CA"/>
              </w:rPr>
              <w:t xml:space="preserve">, le bien ou le service </w:t>
            </w:r>
            <w:r w:rsidRPr="00187B6A">
              <w:rPr>
                <w:rFonts w:ascii="Arial" w:hAnsi="Arial" w:cs="Arial"/>
                <w:b/>
                <w:bCs/>
                <w:lang w:val="fr-CA"/>
              </w:rPr>
              <w:t xml:space="preserve">devra avoir été reçu </w:t>
            </w:r>
            <w:r w:rsidRPr="00187B6A">
              <w:rPr>
                <w:rFonts w:ascii="Arial" w:hAnsi="Arial" w:cs="Arial"/>
                <w:b/>
                <w:bCs/>
                <w:i/>
                <w:iCs/>
                <w:lang w:val="fr-CA"/>
              </w:rPr>
              <w:t>au plus tard</w:t>
            </w:r>
            <w:r w:rsidRPr="00187B6A">
              <w:rPr>
                <w:rFonts w:ascii="Arial" w:hAnsi="Arial" w:cs="Arial"/>
                <w:b/>
                <w:bCs/>
                <w:lang w:val="fr-CA"/>
              </w:rPr>
              <w:t xml:space="preserve"> le 31 mars 201</w:t>
            </w:r>
            <w:r w:rsidR="00455C70">
              <w:rPr>
                <w:rFonts w:ascii="Arial" w:hAnsi="Arial" w:cs="Arial"/>
                <w:b/>
                <w:bCs/>
                <w:lang w:val="fr-CA"/>
              </w:rPr>
              <w:t>5</w:t>
            </w:r>
            <w:r w:rsidR="00250A14">
              <w:rPr>
                <w:rFonts w:ascii="Arial" w:hAnsi="Arial" w:cs="Arial"/>
                <w:b/>
                <w:bCs/>
                <w:lang w:val="fr-CA"/>
              </w:rPr>
              <w:t xml:space="preserve"> ;</w:t>
            </w:r>
            <w:r w:rsidR="00C6463F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 w:rsidR="00C6463F">
              <w:rPr>
                <w:rFonts w:ascii="Arial" w:hAnsi="Arial" w:cs="Arial"/>
                <w:bCs/>
                <w:lang w:val="fr-CA"/>
              </w:rPr>
              <w:t>et,</w:t>
            </w:r>
          </w:p>
          <w:p w:rsidR="0080231B" w:rsidRPr="00187B6A" w:rsidRDefault="00187B6A" w:rsidP="00187B6A">
            <w:pPr>
              <w:numPr>
                <w:ilvl w:val="0"/>
                <w:numId w:val="5"/>
              </w:numPr>
              <w:tabs>
                <w:tab w:val="num" w:pos="190"/>
              </w:tabs>
              <w:rPr>
                <w:rFonts w:ascii="Arial" w:hAnsi="Arial" w:cs="Arial"/>
                <w:lang w:val="fr-CA"/>
              </w:rPr>
            </w:pPr>
            <w:r w:rsidRPr="00187B6A">
              <w:rPr>
                <w:rFonts w:ascii="Arial" w:hAnsi="Arial" w:cs="Arial"/>
                <w:lang w:val="fr-CA"/>
              </w:rPr>
              <w:t xml:space="preserve">Il est interdit de fractionner un besoin en plusieurs petits contrats/achats dans le but de contourner une exigence d'approbation ou d'outrepasser une délégation de pouvoir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187B6A" w:rsidRPr="00187B6A" w:rsidRDefault="00187B6A" w:rsidP="00187B6A">
            <w:pPr>
              <w:rPr>
                <w:rFonts w:ascii="Arial" w:hAnsi="Arial" w:cs="Arial"/>
              </w:rPr>
            </w:pPr>
            <w:r w:rsidRPr="00187B6A">
              <w:rPr>
                <w:rFonts w:ascii="Arial" w:hAnsi="Arial" w:cs="Arial"/>
              </w:rPr>
              <w:t>Keep in mind:</w:t>
            </w:r>
          </w:p>
          <w:p w:rsidR="00187B6A" w:rsidRPr="00187B6A" w:rsidRDefault="00187B6A" w:rsidP="00187B6A">
            <w:pPr>
              <w:numPr>
                <w:ilvl w:val="0"/>
                <w:numId w:val="6"/>
              </w:numPr>
              <w:tabs>
                <w:tab w:val="num" w:pos="162"/>
              </w:tabs>
              <w:rPr>
                <w:rFonts w:ascii="Arial" w:hAnsi="Arial" w:cs="Arial"/>
              </w:rPr>
            </w:pPr>
            <w:r w:rsidRPr="00187B6A">
              <w:rPr>
                <w:rFonts w:ascii="Arial" w:hAnsi="Arial" w:cs="Arial"/>
              </w:rPr>
              <w:t xml:space="preserve">For an expenditure to be processed in the </w:t>
            </w:r>
            <w:r w:rsidR="00250A14">
              <w:rPr>
                <w:rFonts w:ascii="Arial" w:hAnsi="Arial" w:cs="Arial"/>
              </w:rPr>
              <w:t>1</w:t>
            </w:r>
            <w:r w:rsidR="00455C70">
              <w:rPr>
                <w:rFonts w:ascii="Arial" w:hAnsi="Arial" w:cs="Arial"/>
              </w:rPr>
              <w:t>4</w:t>
            </w:r>
            <w:r w:rsidR="00250A14">
              <w:rPr>
                <w:rFonts w:ascii="Arial" w:hAnsi="Arial" w:cs="Arial"/>
              </w:rPr>
              <w:t>-1</w:t>
            </w:r>
            <w:r w:rsidR="00455C70">
              <w:rPr>
                <w:rFonts w:ascii="Arial" w:hAnsi="Arial" w:cs="Arial"/>
              </w:rPr>
              <w:t>5</w:t>
            </w:r>
            <w:r w:rsidR="00250A14">
              <w:rPr>
                <w:rFonts w:ascii="Arial" w:hAnsi="Arial" w:cs="Arial"/>
              </w:rPr>
              <w:t xml:space="preserve"> fiscal year</w:t>
            </w:r>
            <w:r w:rsidRPr="00187B6A">
              <w:rPr>
                <w:rFonts w:ascii="Arial" w:hAnsi="Arial" w:cs="Arial"/>
              </w:rPr>
              <w:t xml:space="preserve">, the good or service </w:t>
            </w:r>
            <w:r w:rsidRPr="00187B6A">
              <w:rPr>
                <w:rFonts w:ascii="Arial" w:hAnsi="Arial" w:cs="Arial"/>
                <w:b/>
                <w:bCs/>
              </w:rPr>
              <w:t>mu</w:t>
            </w:r>
            <w:r w:rsidR="00250A14">
              <w:rPr>
                <w:rFonts w:ascii="Arial" w:hAnsi="Arial" w:cs="Arial"/>
                <w:b/>
                <w:bCs/>
              </w:rPr>
              <w:t>st be received by March 31, 201</w:t>
            </w:r>
            <w:r w:rsidR="00455C70">
              <w:rPr>
                <w:rFonts w:ascii="Arial" w:hAnsi="Arial" w:cs="Arial"/>
                <w:b/>
                <w:bCs/>
              </w:rPr>
              <w:t>5</w:t>
            </w:r>
            <w:r w:rsidRPr="00187B6A">
              <w:rPr>
                <w:rFonts w:ascii="Arial" w:hAnsi="Arial" w:cs="Arial"/>
                <w:b/>
                <w:bCs/>
              </w:rPr>
              <w:t xml:space="preserve"> </w:t>
            </w:r>
            <w:r w:rsidRPr="00187B6A">
              <w:rPr>
                <w:rFonts w:ascii="Arial" w:hAnsi="Arial" w:cs="Arial"/>
                <w:b/>
                <w:bCs/>
                <w:i/>
                <w:iCs/>
              </w:rPr>
              <w:t>at the latest</w:t>
            </w:r>
            <w:r w:rsidRPr="00187B6A">
              <w:rPr>
                <w:rFonts w:ascii="Arial" w:hAnsi="Arial" w:cs="Arial"/>
              </w:rPr>
              <w:t>;</w:t>
            </w:r>
            <w:r w:rsidR="00C6463F">
              <w:rPr>
                <w:rFonts w:ascii="Arial" w:hAnsi="Arial" w:cs="Arial"/>
              </w:rPr>
              <w:t xml:space="preserve"> and,</w:t>
            </w:r>
          </w:p>
          <w:p w:rsidR="0080231B" w:rsidRPr="00187B6A" w:rsidRDefault="00187B6A" w:rsidP="00C6463F">
            <w:pPr>
              <w:numPr>
                <w:ilvl w:val="0"/>
                <w:numId w:val="6"/>
              </w:numPr>
              <w:tabs>
                <w:tab w:val="num" w:pos="162"/>
              </w:tabs>
              <w:rPr>
                <w:rFonts w:ascii="Arial" w:hAnsi="Arial" w:cs="Arial"/>
              </w:rPr>
            </w:pPr>
            <w:r w:rsidRPr="00187B6A">
              <w:rPr>
                <w:rFonts w:ascii="Arial" w:hAnsi="Arial" w:cs="Arial"/>
              </w:rPr>
              <w:t>It is prohibited to split a requirement into smaller contracts/purchases to bypass approval</w:t>
            </w:r>
            <w:r w:rsidR="00C6463F">
              <w:rPr>
                <w:rFonts w:ascii="Arial" w:hAnsi="Arial" w:cs="Arial"/>
              </w:rPr>
              <w:t>s or delegated authority limits.</w:t>
            </w:r>
          </w:p>
        </w:tc>
      </w:tr>
      <w:tr w:rsidR="00F80287" w:rsidRPr="00187B6A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F80287" w:rsidRPr="00187B6A" w:rsidRDefault="00732A1D" w:rsidP="00E945E6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En ce qui concerne </w:t>
            </w:r>
            <w:r w:rsidR="00583CEB" w:rsidRPr="00E70581">
              <w:rPr>
                <w:rFonts w:ascii="Arial" w:hAnsi="Arial" w:cs="Arial"/>
                <w:i/>
                <w:lang w:val="fr-CA"/>
              </w:rPr>
              <w:t>la plupart</w:t>
            </w:r>
            <w:r w:rsidR="00583CEB">
              <w:rPr>
                <w:rFonts w:ascii="Arial" w:hAnsi="Arial" w:cs="Arial"/>
                <w:lang w:val="fr-CA"/>
              </w:rPr>
              <w:t xml:space="preserve"> des </w:t>
            </w:r>
            <w:r>
              <w:rPr>
                <w:rFonts w:ascii="Arial" w:hAnsi="Arial" w:cs="Arial"/>
                <w:lang w:val="fr-CA"/>
              </w:rPr>
              <w:t xml:space="preserve">achats de </w:t>
            </w:r>
            <w:r w:rsidR="00E945E6">
              <w:rPr>
                <w:rFonts w:ascii="Arial" w:hAnsi="Arial" w:cs="Arial"/>
                <w:lang w:val="fr-CA"/>
              </w:rPr>
              <w:t xml:space="preserve">       </w:t>
            </w:r>
            <w:r>
              <w:rPr>
                <w:rFonts w:ascii="Arial" w:hAnsi="Arial" w:cs="Arial"/>
                <w:lang w:val="fr-CA"/>
              </w:rPr>
              <w:t xml:space="preserve">10 000 $ ou moins, nous vous rappelons que vous pourriez utiliser la </w:t>
            </w:r>
            <w:hyperlink r:id="rId13" w:history="1">
              <w:r w:rsidRPr="00732A1D">
                <w:rPr>
                  <w:rStyle w:val="Hyperlink"/>
                  <w:rFonts w:ascii="Arial" w:hAnsi="Arial" w:cs="Arial"/>
                  <w:lang w:val="fr-CA"/>
                </w:rPr>
                <w:t>carte d’achat</w:t>
              </w:r>
            </w:hyperlink>
            <w:r>
              <w:rPr>
                <w:rFonts w:ascii="Arial" w:hAnsi="Arial" w:cs="Arial"/>
                <w:lang w:val="fr-CA"/>
              </w:rPr>
              <w:t xml:space="preserve"> comme </w:t>
            </w:r>
            <w:r w:rsidR="00780174">
              <w:rPr>
                <w:rFonts w:ascii="Arial" w:hAnsi="Arial" w:cs="Arial"/>
                <w:lang w:val="fr-CA"/>
              </w:rPr>
              <w:t>outil d’achat</w:t>
            </w:r>
            <w:r w:rsidR="00143DB6">
              <w:rPr>
                <w:rFonts w:ascii="Arial" w:hAnsi="Arial" w:cs="Arial"/>
                <w:lang w:val="fr-CA"/>
              </w:rPr>
              <w:t xml:space="preserve"> à </w:t>
            </w:r>
            <w:r w:rsidR="00E945E6">
              <w:rPr>
                <w:rFonts w:ascii="Arial" w:hAnsi="Arial" w:cs="Arial"/>
                <w:lang w:val="fr-CA"/>
              </w:rPr>
              <w:t>moins qu’une</w:t>
            </w:r>
            <w:r w:rsidR="00143DB6">
              <w:rPr>
                <w:rFonts w:ascii="Arial" w:hAnsi="Arial" w:cs="Arial"/>
                <w:lang w:val="fr-CA"/>
              </w:rPr>
              <w:t xml:space="preserve"> exception</w:t>
            </w:r>
            <w:r w:rsidR="00E945E6">
              <w:rPr>
                <w:rFonts w:ascii="Arial" w:hAnsi="Arial" w:cs="Arial"/>
                <w:lang w:val="fr-CA"/>
              </w:rPr>
              <w:t xml:space="preserve"> </w:t>
            </w:r>
            <w:r w:rsidR="00143DB6">
              <w:rPr>
                <w:rFonts w:ascii="Arial" w:hAnsi="Arial" w:cs="Arial"/>
                <w:lang w:val="fr-CA"/>
              </w:rPr>
              <w:t>s</w:t>
            </w:r>
            <w:r w:rsidR="00E945E6">
              <w:rPr>
                <w:rFonts w:ascii="Arial" w:hAnsi="Arial" w:cs="Arial"/>
                <w:lang w:val="fr-CA"/>
              </w:rPr>
              <w:t>’applique</w:t>
            </w:r>
            <w:r>
              <w:rPr>
                <w:rFonts w:ascii="Arial" w:hAnsi="Arial" w:cs="Arial"/>
                <w:lang w:val="fr-CA"/>
              </w:rPr>
              <w:t>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F80287" w:rsidRPr="00187B6A" w:rsidRDefault="00F80287" w:rsidP="00E70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="00583CEB" w:rsidRPr="00E70581">
              <w:rPr>
                <w:rFonts w:ascii="Arial" w:hAnsi="Arial" w:cs="Arial"/>
                <w:i/>
              </w:rPr>
              <w:t>most</w:t>
            </w:r>
            <w:r w:rsidR="00583C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purchases of $10,000 or less, we remind you that </w:t>
            </w:r>
            <w:r w:rsidR="00E70581">
              <w:rPr>
                <w:rFonts w:ascii="Arial" w:hAnsi="Arial" w:cs="Arial"/>
              </w:rPr>
              <w:t xml:space="preserve">you may use </w:t>
            </w:r>
            <w:r>
              <w:rPr>
                <w:rFonts w:ascii="Arial" w:hAnsi="Arial" w:cs="Arial"/>
              </w:rPr>
              <w:t xml:space="preserve">the </w:t>
            </w:r>
            <w:hyperlink r:id="rId14" w:history="1">
              <w:r w:rsidRPr="00F80287">
                <w:rPr>
                  <w:rStyle w:val="Hyperlink"/>
                  <w:rFonts w:ascii="Arial" w:hAnsi="Arial" w:cs="Arial"/>
                </w:rPr>
                <w:t>Acquisition Card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AC3F13">
              <w:rPr>
                <w:rFonts w:ascii="Arial" w:hAnsi="Arial" w:cs="Arial"/>
              </w:rPr>
              <w:t xml:space="preserve">as the </w:t>
            </w:r>
            <w:r w:rsidR="00780174">
              <w:rPr>
                <w:rFonts w:ascii="Arial" w:hAnsi="Arial" w:cs="Arial"/>
              </w:rPr>
              <w:t>purchasing tool</w:t>
            </w:r>
            <w:r w:rsidR="00143DB6">
              <w:rPr>
                <w:rFonts w:ascii="Arial" w:hAnsi="Arial" w:cs="Arial"/>
              </w:rPr>
              <w:t xml:space="preserve"> unless one of the exceptions </w:t>
            </w:r>
            <w:r w:rsidR="00253EFA">
              <w:rPr>
                <w:rFonts w:ascii="Arial" w:hAnsi="Arial" w:cs="Arial"/>
              </w:rPr>
              <w:t>applies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80231B" w:rsidRPr="00187B6A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187B6A" w:rsidRDefault="00187B6A" w:rsidP="009C399E">
            <w:pPr>
              <w:rPr>
                <w:rFonts w:ascii="Arial" w:hAnsi="Arial" w:cs="Arial"/>
                <w:lang w:val="fr-CA"/>
              </w:rPr>
            </w:pPr>
            <w:r w:rsidRPr="00187B6A">
              <w:rPr>
                <w:rFonts w:ascii="Arial" w:hAnsi="Arial" w:cs="Arial"/>
                <w:lang w:val="fr-CA"/>
              </w:rPr>
              <w:t>TPSGC communique</w:t>
            </w:r>
            <w:r w:rsidR="002500EB">
              <w:rPr>
                <w:rFonts w:ascii="Arial" w:hAnsi="Arial" w:cs="Arial"/>
                <w:lang w:val="fr-CA"/>
              </w:rPr>
              <w:t>ra</w:t>
            </w:r>
            <w:r w:rsidRPr="00187B6A">
              <w:rPr>
                <w:rFonts w:ascii="Arial" w:hAnsi="Arial" w:cs="Arial"/>
                <w:lang w:val="fr-CA"/>
              </w:rPr>
              <w:t xml:space="preserve"> leurs </w:t>
            </w:r>
            <w:r w:rsidR="00047797">
              <w:rPr>
                <w:rFonts w:ascii="Arial" w:hAnsi="Arial" w:cs="Arial"/>
                <w:lang w:val="fr-CA"/>
              </w:rPr>
              <w:t xml:space="preserve">propres </w:t>
            </w:r>
            <w:r w:rsidRPr="00187B6A">
              <w:rPr>
                <w:rFonts w:ascii="Arial" w:hAnsi="Arial" w:cs="Arial"/>
                <w:lang w:val="fr-CA"/>
              </w:rPr>
              <w:t xml:space="preserve">délais par région sur </w:t>
            </w:r>
            <w:hyperlink r:id="rId15" w:tgtFrame="_blank" w:tooltip="Communauté de l'approvisionnement - GCPedia" w:history="1">
              <w:proofErr w:type="spellStart"/>
              <w:r w:rsidRPr="00187B6A">
                <w:rPr>
                  <w:rStyle w:val="Hyperlink"/>
                  <w:rFonts w:ascii="Arial" w:hAnsi="Arial" w:cs="Arial"/>
                  <w:lang w:val="fr-CA"/>
                </w:rPr>
                <w:t>GCPedia</w:t>
              </w:r>
              <w:proofErr w:type="spellEnd"/>
            </w:hyperlink>
            <w:r w:rsidRPr="00187B6A">
              <w:rPr>
                <w:rFonts w:ascii="Arial" w:hAnsi="Arial" w:cs="Arial"/>
                <w:lang w:val="fr-CA"/>
              </w:rPr>
              <w:t>. Dans certains cas, les délais de TPSGC sont très restrictifs.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187B6A" w:rsidRDefault="00187B6A" w:rsidP="00143624">
            <w:pPr>
              <w:rPr>
                <w:rFonts w:ascii="Arial" w:hAnsi="Arial" w:cs="Arial"/>
              </w:rPr>
            </w:pPr>
            <w:r w:rsidRPr="00187B6A">
              <w:rPr>
                <w:rFonts w:ascii="Arial" w:hAnsi="Arial" w:cs="Arial"/>
              </w:rPr>
              <w:t xml:space="preserve">PWGSC </w:t>
            </w:r>
            <w:r w:rsidR="00D4724E">
              <w:rPr>
                <w:rFonts w:ascii="Arial" w:hAnsi="Arial" w:cs="Arial"/>
              </w:rPr>
              <w:t>will communicate</w:t>
            </w:r>
            <w:r w:rsidRPr="00187B6A">
              <w:rPr>
                <w:rFonts w:ascii="Arial" w:hAnsi="Arial" w:cs="Arial"/>
              </w:rPr>
              <w:t xml:space="preserve"> its timelines on a regional basis. Visit </w:t>
            </w:r>
            <w:hyperlink r:id="rId16" w:tgtFrame="_blank" w:tooltip="PWGSC deadline information on GCPedia" w:history="1">
              <w:r w:rsidRPr="00187B6A">
                <w:rPr>
                  <w:rStyle w:val="Hyperlink"/>
                  <w:rFonts w:ascii="Arial" w:hAnsi="Arial" w:cs="Arial"/>
                </w:rPr>
                <w:t>GCPedia</w:t>
              </w:r>
            </w:hyperlink>
            <w:r w:rsidRPr="00187B6A">
              <w:rPr>
                <w:rFonts w:ascii="Arial" w:hAnsi="Arial" w:cs="Arial"/>
              </w:rPr>
              <w:t xml:space="preserve"> for more details. In certain cases, PWGSC timelines are quite restrictive.</w:t>
            </w:r>
          </w:p>
        </w:tc>
      </w:tr>
      <w:tr w:rsidR="0080231B" w:rsidRPr="00187B6A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187B6A" w:rsidRDefault="00187B6A" w:rsidP="00220AA9">
            <w:pPr>
              <w:rPr>
                <w:rFonts w:ascii="Arial" w:hAnsi="Arial" w:cs="Arial"/>
                <w:lang w:val="fr-CA"/>
              </w:rPr>
            </w:pPr>
            <w:r w:rsidRPr="00187B6A">
              <w:rPr>
                <w:rFonts w:ascii="Arial" w:hAnsi="Arial" w:cs="Arial"/>
                <w:lang w:val="fr-CA"/>
              </w:rPr>
              <w:t>Nous vous remercions à l'avance de votre collaboration habituelle.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187B6A" w:rsidRDefault="00187B6A" w:rsidP="003D265B">
            <w:pPr>
              <w:rPr>
                <w:rFonts w:ascii="Arial" w:hAnsi="Arial" w:cs="Arial"/>
              </w:rPr>
            </w:pPr>
            <w:r w:rsidRPr="00187B6A">
              <w:rPr>
                <w:rFonts w:ascii="Arial" w:hAnsi="Arial" w:cs="Arial"/>
              </w:rPr>
              <w:t>We would like to</w:t>
            </w:r>
            <w:r>
              <w:rPr>
                <w:rFonts w:ascii="Arial" w:hAnsi="Arial" w:cs="Arial"/>
              </w:rPr>
              <w:t xml:space="preserve"> thank you for your cooperation</w:t>
            </w:r>
            <w:r w:rsidRPr="00187B6A">
              <w:rPr>
                <w:rFonts w:ascii="Arial" w:hAnsi="Arial" w:cs="Arial"/>
              </w:rPr>
              <w:t>.</w:t>
            </w:r>
          </w:p>
        </w:tc>
      </w:tr>
      <w:tr w:rsidR="0080231B" w:rsidRPr="000355ED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2B0C40" w:rsidRDefault="0080231B" w:rsidP="00220AA9">
            <w:pPr>
              <w:spacing w:after="80" w:line="240" w:lineRule="auto"/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</w:pPr>
            <w:r w:rsidRPr="002B0C40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 xml:space="preserve">Distribution : </w:t>
            </w:r>
          </w:p>
          <w:p w:rsidR="00187B6A" w:rsidRPr="002B0C40" w:rsidRDefault="00187B6A" w:rsidP="00187B6A">
            <w:pPr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2B0C40">
              <w:rPr>
                <w:rFonts w:ascii="Arial" w:hAnsi="Arial" w:cs="Arial"/>
                <w:sz w:val="16"/>
                <w:szCs w:val="16"/>
                <w:lang w:val="fr-CA"/>
              </w:rPr>
              <w:t>Réseau des professionnels de l’administration</w:t>
            </w:r>
          </w:p>
          <w:p w:rsidR="00187B6A" w:rsidRPr="002B0C40" w:rsidRDefault="00187B6A" w:rsidP="00187B6A">
            <w:pPr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2B0C40">
              <w:rPr>
                <w:rFonts w:ascii="Arial" w:hAnsi="Arial" w:cs="Arial"/>
                <w:sz w:val="16"/>
                <w:szCs w:val="16"/>
                <w:lang w:val="fr-CA"/>
              </w:rPr>
              <w:t>Services gérés régionaux, gestionnaires de la DGAPF</w:t>
            </w:r>
          </w:p>
          <w:p w:rsidR="0080231B" w:rsidRPr="002B0C40" w:rsidRDefault="00187B6A" w:rsidP="0067525B">
            <w:pPr>
              <w:numPr>
                <w:ilvl w:val="0"/>
                <w:numId w:val="2"/>
              </w:numPr>
              <w:spacing w:after="80" w:line="240" w:lineRule="auto"/>
              <w:ind w:left="714" w:hanging="357"/>
              <w:contextualSpacing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2B0C40">
              <w:rPr>
                <w:rFonts w:ascii="Arial" w:hAnsi="Arial" w:cs="Arial"/>
                <w:sz w:val="16"/>
                <w:szCs w:val="16"/>
                <w:lang w:val="fr-CA"/>
              </w:rPr>
              <w:t xml:space="preserve">Équipe </w:t>
            </w:r>
            <w:r w:rsidR="0067525B">
              <w:rPr>
                <w:rFonts w:ascii="Arial" w:hAnsi="Arial" w:cs="Arial"/>
                <w:sz w:val="16"/>
                <w:szCs w:val="16"/>
                <w:lang w:val="fr-CA"/>
              </w:rPr>
              <w:t>d’</w:t>
            </w:r>
            <w:r w:rsidRPr="002B0C40">
              <w:rPr>
                <w:rFonts w:ascii="Arial" w:hAnsi="Arial" w:cs="Arial"/>
                <w:sz w:val="16"/>
                <w:szCs w:val="16"/>
                <w:lang w:val="fr-CA"/>
              </w:rPr>
              <w:t>approvisionnement</w:t>
            </w:r>
            <w:r w:rsidR="0067525B">
              <w:rPr>
                <w:rFonts w:ascii="Arial" w:hAnsi="Arial" w:cs="Arial"/>
                <w:sz w:val="16"/>
                <w:szCs w:val="16"/>
                <w:lang w:val="fr-CA"/>
              </w:rPr>
              <w:t xml:space="preserve"> d’EDSC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0355ED" w:rsidRDefault="0080231B" w:rsidP="00220AA9">
            <w:pPr>
              <w:spacing w:after="8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355ED">
              <w:rPr>
                <w:rFonts w:ascii="Arial" w:hAnsi="Arial" w:cs="Arial"/>
                <w:sz w:val="16"/>
                <w:szCs w:val="16"/>
                <w:u w:val="single"/>
              </w:rPr>
              <w:t>Distribution:</w:t>
            </w:r>
          </w:p>
          <w:p w:rsidR="00187B6A" w:rsidRPr="000355ED" w:rsidRDefault="00187B6A" w:rsidP="00187B6A">
            <w:pPr>
              <w:numPr>
                <w:ilvl w:val="0"/>
                <w:numId w:val="1"/>
              </w:numPr>
              <w:ind w:left="714" w:hanging="357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355ED">
              <w:rPr>
                <w:rFonts w:ascii="Arial" w:hAnsi="Arial" w:cs="Arial"/>
                <w:sz w:val="16"/>
                <w:szCs w:val="16"/>
              </w:rPr>
              <w:t>Administrative Professionals Network</w:t>
            </w:r>
          </w:p>
          <w:p w:rsidR="00187B6A" w:rsidRPr="000355ED" w:rsidRDefault="00187B6A" w:rsidP="00187B6A">
            <w:pPr>
              <w:numPr>
                <w:ilvl w:val="0"/>
                <w:numId w:val="1"/>
              </w:numPr>
              <w:ind w:left="714" w:hanging="357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355ED">
              <w:rPr>
                <w:rFonts w:ascii="Arial" w:hAnsi="Arial" w:cs="Arial"/>
                <w:sz w:val="16"/>
                <w:szCs w:val="16"/>
              </w:rPr>
              <w:t>Regional Managed Services, CFOB managers</w:t>
            </w:r>
          </w:p>
          <w:p w:rsidR="0080231B" w:rsidRPr="000355ED" w:rsidRDefault="0067525B" w:rsidP="00187B6A">
            <w:pPr>
              <w:numPr>
                <w:ilvl w:val="0"/>
                <w:numId w:val="1"/>
              </w:numPr>
              <w:spacing w:after="80" w:line="240" w:lineRule="auto"/>
              <w:ind w:left="714" w:hanging="357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355ED">
              <w:rPr>
                <w:rFonts w:ascii="Arial" w:hAnsi="Arial" w:cs="Arial"/>
                <w:sz w:val="16"/>
                <w:szCs w:val="16"/>
              </w:rPr>
              <w:t xml:space="preserve">ESDC </w:t>
            </w:r>
            <w:r w:rsidR="00187B6A" w:rsidRPr="000355ED">
              <w:rPr>
                <w:rFonts w:ascii="Arial" w:hAnsi="Arial" w:cs="Arial"/>
                <w:sz w:val="16"/>
                <w:szCs w:val="16"/>
              </w:rPr>
              <w:t>Procurement Team</w:t>
            </w:r>
          </w:p>
        </w:tc>
      </w:tr>
    </w:tbl>
    <w:p w:rsidR="0002701B" w:rsidRPr="00642FA9" w:rsidRDefault="0002701B" w:rsidP="0024295A">
      <w:pPr>
        <w:spacing w:after="0" w:line="240" w:lineRule="auto"/>
        <w:rPr>
          <w:sz w:val="24"/>
        </w:rPr>
      </w:pPr>
    </w:p>
    <w:sectPr w:rsidR="0002701B" w:rsidRPr="00642FA9" w:rsidSect="00226F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8" w:right="1134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3C" w:rsidRDefault="003A633C" w:rsidP="0002701B">
      <w:pPr>
        <w:spacing w:after="0" w:line="240" w:lineRule="auto"/>
      </w:pPr>
      <w:r>
        <w:separator/>
      </w:r>
    </w:p>
  </w:endnote>
  <w:endnote w:type="continuationSeparator" w:id="0">
    <w:p w:rsidR="003A633C" w:rsidRDefault="003A633C" w:rsidP="0002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57" w:rsidRDefault="006670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78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6F72" w:rsidRDefault="0067525B" w:rsidP="0067525B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E3D">
          <w:rPr>
            <w:noProof/>
          </w:rPr>
          <w:t>2</w:t>
        </w:r>
        <w:r>
          <w:fldChar w:fldCharType="end"/>
        </w:r>
        <w:r>
          <w:t>/</w:t>
        </w:r>
        <w:r w:rsidR="003A633C">
          <w:fldChar w:fldCharType="begin"/>
        </w:r>
        <w:r w:rsidR="003A633C">
          <w:instrText xml:space="preserve"> NUMPAGES   \* MERGEFORMAT </w:instrText>
        </w:r>
        <w:r w:rsidR="003A633C">
          <w:fldChar w:fldCharType="separate"/>
        </w:r>
        <w:r w:rsidR="00C32E3D">
          <w:rPr>
            <w:noProof/>
          </w:rPr>
          <w:t>2</w:t>
        </w:r>
        <w:r w:rsidR="003A633C">
          <w:rPr>
            <w:noProof/>
          </w:rPr>
          <w:fldChar w:fldCharType="end"/>
        </w:r>
      </w:p>
    </w:sdtContent>
  </w:sdt>
  <w:p w:rsidR="00226F72" w:rsidRDefault="00226F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F2" w:rsidRDefault="006D31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32E3D">
      <w:rPr>
        <w:noProof/>
      </w:rPr>
      <w:t>1</w:t>
    </w:r>
    <w:r>
      <w:fldChar w:fldCharType="end"/>
    </w:r>
    <w:r>
      <w:t>/</w:t>
    </w:r>
    <w:r w:rsidR="003A633C">
      <w:fldChar w:fldCharType="begin"/>
    </w:r>
    <w:r w:rsidR="003A633C">
      <w:instrText xml:space="preserve"> NUMPAGES   \* MERGEFORMAT </w:instrText>
    </w:r>
    <w:r w:rsidR="003A633C">
      <w:fldChar w:fldCharType="separate"/>
    </w:r>
    <w:r w:rsidR="00C32E3D">
      <w:rPr>
        <w:noProof/>
      </w:rPr>
      <w:t>1</w:t>
    </w:r>
    <w:r w:rsidR="003A63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3C" w:rsidRDefault="003A633C" w:rsidP="0002701B">
      <w:pPr>
        <w:spacing w:after="0" w:line="240" w:lineRule="auto"/>
      </w:pPr>
      <w:r>
        <w:separator/>
      </w:r>
    </w:p>
  </w:footnote>
  <w:footnote w:type="continuationSeparator" w:id="0">
    <w:p w:rsidR="003A633C" w:rsidRDefault="003A633C" w:rsidP="0002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57" w:rsidRDefault="006670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57" w:rsidRDefault="006670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1B" w:rsidRDefault="006C2D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C1AFD5" wp14:editId="0A837F09">
              <wp:simplePos x="0" y="0"/>
              <wp:positionH relativeFrom="column">
                <wp:posOffset>2413635</wp:posOffset>
              </wp:positionH>
              <wp:positionV relativeFrom="paragraph">
                <wp:posOffset>-4445</wp:posOffset>
              </wp:positionV>
              <wp:extent cx="1769745" cy="694690"/>
              <wp:effectExtent l="0" t="0" r="190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745" cy="694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4F67" w:rsidRDefault="000D4F67" w:rsidP="00F076FD">
                          <w:pPr>
                            <w:spacing w:after="0" w:line="220" w:lineRule="exact"/>
                            <w:rPr>
                              <w:rFonts w:ascii="Arial" w:hAnsi="Arial" w:cs="Arial"/>
                              <w:lang w:val="fr-CA"/>
                            </w:rPr>
                          </w:pPr>
                          <w:r w:rsidRPr="00F076FD">
                            <w:rPr>
                              <w:rFonts w:ascii="Arial" w:hAnsi="Arial" w:cs="Arial"/>
                              <w:lang w:val="fr-CA"/>
                            </w:rPr>
                            <w:t>Emploi et</w:t>
                          </w:r>
                          <w:r w:rsidRPr="00F076FD">
                            <w:rPr>
                              <w:rFonts w:ascii="Arial" w:hAnsi="Arial" w:cs="Arial"/>
                              <w:lang w:val="fr-CA"/>
                            </w:rPr>
                            <w:br/>
                            <w:t>Développement social Canada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0.05pt;margin-top:-.35pt;width:139.35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" fillcolor="white [3212]" stroked="f" strokeweight=".5pt">
              <v:textbox inset="0,0,0,0">
                <w:txbxContent>
                  <w:p w:rsidR="000D4F67" w:rsidRDefault="000D4F67" w:rsidP="00F076FD">
                    <w:pPr>
                      <w:spacing w:after="0" w:line="220" w:lineRule="exact"/>
                      <w:rPr>
                        <w:rFonts w:ascii="Arial" w:hAnsi="Arial" w:cs="Arial"/>
                        <w:lang w:val="fr-CA"/>
                      </w:rPr>
                    </w:pPr>
                    <w:r w:rsidRPr="00F076FD">
                      <w:rPr>
                        <w:rFonts w:ascii="Arial" w:hAnsi="Arial" w:cs="Arial"/>
                        <w:lang w:val="fr-CA"/>
                      </w:rPr>
                      <w:t>Emploi et</w:t>
                    </w:r>
                    <w:r w:rsidRPr="00F076FD">
                      <w:rPr>
                        <w:rFonts w:ascii="Arial" w:hAnsi="Arial" w:cs="Arial"/>
                        <w:lang w:val="fr-CA"/>
                      </w:rPr>
                      <w:br/>
                      <w:t>Développement social Canada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D2B19" wp14:editId="1B5B4C14">
              <wp:simplePos x="0" y="0"/>
              <wp:positionH relativeFrom="column">
                <wp:posOffset>665480</wp:posOffset>
              </wp:positionH>
              <wp:positionV relativeFrom="paragraph">
                <wp:posOffset>-4445</wp:posOffset>
              </wp:positionV>
              <wp:extent cx="1777365" cy="6946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7365" cy="694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4F67" w:rsidRPr="00642FA9" w:rsidRDefault="000D4F67" w:rsidP="00F076FD">
                          <w:pPr>
                            <w:spacing w:after="0" w:line="220" w:lineRule="exact"/>
                            <w:rPr>
                              <w:rFonts w:ascii="Arial" w:hAnsi="Arial" w:cs="Arial"/>
                            </w:rPr>
                          </w:pPr>
                          <w:r w:rsidRPr="00642FA9">
                            <w:rPr>
                              <w:rFonts w:ascii="Arial" w:hAnsi="Arial" w:cs="Arial"/>
                            </w:rPr>
                            <w:t>Employment and</w:t>
                          </w:r>
                          <w:r w:rsidRPr="00642FA9">
                            <w:rPr>
                              <w:rFonts w:ascii="Arial" w:hAnsi="Arial" w:cs="Arial"/>
                            </w:rPr>
                            <w:br/>
                            <w:t>Social Development Canada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2.4pt;margin-top:-.35pt;width:139.95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" fillcolor="white [3212]" stroked="f" strokeweight=".5pt">
              <v:textbox inset="0,0,0,0">
                <w:txbxContent>
                  <w:p w:rsidR="000D4F67" w:rsidRPr="00642FA9" w:rsidRDefault="000D4F67" w:rsidP="00F076FD">
                    <w:pPr>
                      <w:spacing w:after="0" w:line="220" w:lineRule="exact"/>
                      <w:rPr>
                        <w:rFonts w:ascii="Arial" w:hAnsi="Arial" w:cs="Arial"/>
                      </w:rPr>
                    </w:pPr>
                    <w:r w:rsidRPr="00642FA9">
                      <w:rPr>
                        <w:rFonts w:ascii="Arial" w:hAnsi="Arial" w:cs="Arial"/>
                      </w:rPr>
                      <w:t>Employment and</w:t>
                    </w:r>
                    <w:r w:rsidRPr="00642FA9">
                      <w:rPr>
                        <w:rFonts w:ascii="Arial" w:hAnsi="Arial" w:cs="Arial"/>
                      </w:rPr>
                      <w:br/>
                      <w:t>Social Development Canada</w:t>
                    </w:r>
                  </w:p>
                </w:txbxContent>
              </v:textbox>
            </v:shape>
          </w:pict>
        </mc:Fallback>
      </mc:AlternateContent>
    </w:r>
    <w:r w:rsidR="00F076FD">
      <w:rPr>
        <w:noProof/>
      </w:rPr>
      <w:drawing>
        <wp:anchor distT="0" distB="0" distL="114300" distR="114300" simplePos="0" relativeHeight="251663360" behindDoc="1" locked="0" layoutInCell="1" allowOverlap="1" wp14:anchorId="72565D10" wp14:editId="763D3289">
          <wp:simplePos x="0" y="0"/>
          <wp:positionH relativeFrom="column">
            <wp:posOffset>-700710</wp:posOffset>
          </wp:positionH>
          <wp:positionV relativeFrom="paragraph">
            <wp:posOffset>-445770</wp:posOffset>
          </wp:positionV>
          <wp:extent cx="7808595" cy="10091420"/>
          <wp:effectExtent l="0" t="0" r="0" b="0"/>
          <wp:wrapNone/>
          <wp:docPr id="1" name="Picture 1" descr="EDSC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09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5F49"/>
    <w:multiLevelType w:val="multilevel"/>
    <w:tmpl w:val="675E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E51A4"/>
    <w:multiLevelType w:val="hybridMultilevel"/>
    <w:tmpl w:val="8A8E0A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23E57"/>
    <w:multiLevelType w:val="multilevel"/>
    <w:tmpl w:val="98E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418DC"/>
    <w:multiLevelType w:val="multilevel"/>
    <w:tmpl w:val="40FA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D4AF6"/>
    <w:multiLevelType w:val="hybridMultilevel"/>
    <w:tmpl w:val="FFBA4A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B0B9D"/>
    <w:multiLevelType w:val="multilevel"/>
    <w:tmpl w:val="6B76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2B"/>
    <w:rsid w:val="00006354"/>
    <w:rsid w:val="0002701B"/>
    <w:rsid w:val="000355ED"/>
    <w:rsid w:val="0004166C"/>
    <w:rsid w:val="00047797"/>
    <w:rsid w:val="000D4F67"/>
    <w:rsid w:val="000E44D7"/>
    <w:rsid w:val="00111EBB"/>
    <w:rsid w:val="00142174"/>
    <w:rsid w:val="00143624"/>
    <w:rsid w:val="00143DB6"/>
    <w:rsid w:val="00144C6E"/>
    <w:rsid w:val="001626F1"/>
    <w:rsid w:val="00187B6A"/>
    <w:rsid w:val="00191584"/>
    <w:rsid w:val="001B22E2"/>
    <w:rsid w:val="001B3BC5"/>
    <w:rsid w:val="001C02EC"/>
    <w:rsid w:val="001E56CF"/>
    <w:rsid w:val="00226F72"/>
    <w:rsid w:val="0024295A"/>
    <w:rsid w:val="002500EB"/>
    <w:rsid w:val="00250A14"/>
    <w:rsid w:val="00253EFA"/>
    <w:rsid w:val="002577C8"/>
    <w:rsid w:val="00260259"/>
    <w:rsid w:val="002A5971"/>
    <w:rsid w:val="002B0C40"/>
    <w:rsid w:val="002B6E55"/>
    <w:rsid w:val="0031076E"/>
    <w:rsid w:val="00317E21"/>
    <w:rsid w:val="00336236"/>
    <w:rsid w:val="00340EC5"/>
    <w:rsid w:val="0035475F"/>
    <w:rsid w:val="003838A7"/>
    <w:rsid w:val="003A633C"/>
    <w:rsid w:val="003D265B"/>
    <w:rsid w:val="00455C70"/>
    <w:rsid w:val="00514938"/>
    <w:rsid w:val="00537E94"/>
    <w:rsid w:val="00583CEB"/>
    <w:rsid w:val="005B4FA9"/>
    <w:rsid w:val="00642FA9"/>
    <w:rsid w:val="00663CAC"/>
    <w:rsid w:val="00667057"/>
    <w:rsid w:val="0067525B"/>
    <w:rsid w:val="006C12DF"/>
    <w:rsid w:val="006C2D44"/>
    <w:rsid w:val="006D31F2"/>
    <w:rsid w:val="006E6ACA"/>
    <w:rsid w:val="00705124"/>
    <w:rsid w:val="0071530F"/>
    <w:rsid w:val="00732A1D"/>
    <w:rsid w:val="00762B2B"/>
    <w:rsid w:val="00780174"/>
    <w:rsid w:val="007A784C"/>
    <w:rsid w:val="007D5D2B"/>
    <w:rsid w:val="007E3E46"/>
    <w:rsid w:val="007F0BE5"/>
    <w:rsid w:val="0080231B"/>
    <w:rsid w:val="0088265D"/>
    <w:rsid w:val="008B1072"/>
    <w:rsid w:val="008E7E86"/>
    <w:rsid w:val="00942F9F"/>
    <w:rsid w:val="00955F97"/>
    <w:rsid w:val="0095689D"/>
    <w:rsid w:val="009A7A7B"/>
    <w:rsid w:val="009C25F3"/>
    <w:rsid w:val="009C399E"/>
    <w:rsid w:val="009D7553"/>
    <w:rsid w:val="00A116B6"/>
    <w:rsid w:val="00A23802"/>
    <w:rsid w:val="00A26E45"/>
    <w:rsid w:val="00A52EF9"/>
    <w:rsid w:val="00A6444D"/>
    <w:rsid w:val="00A93E65"/>
    <w:rsid w:val="00AC3F13"/>
    <w:rsid w:val="00AD55F9"/>
    <w:rsid w:val="00AE1D01"/>
    <w:rsid w:val="00AE1F77"/>
    <w:rsid w:val="00B433F0"/>
    <w:rsid w:val="00BB2A05"/>
    <w:rsid w:val="00BE7ED5"/>
    <w:rsid w:val="00C100ED"/>
    <w:rsid w:val="00C32E3D"/>
    <w:rsid w:val="00C51F2C"/>
    <w:rsid w:val="00C6463F"/>
    <w:rsid w:val="00C93366"/>
    <w:rsid w:val="00CB71B3"/>
    <w:rsid w:val="00D00CE1"/>
    <w:rsid w:val="00D4724E"/>
    <w:rsid w:val="00D62D35"/>
    <w:rsid w:val="00D64FE3"/>
    <w:rsid w:val="00D76D35"/>
    <w:rsid w:val="00D966E2"/>
    <w:rsid w:val="00DA3225"/>
    <w:rsid w:val="00DA71A2"/>
    <w:rsid w:val="00DC4188"/>
    <w:rsid w:val="00DF7CEF"/>
    <w:rsid w:val="00E0322D"/>
    <w:rsid w:val="00E70581"/>
    <w:rsid w:val="00E86A85"/>
    <w:rsid w:val="00E945E6"/>
    <w:rsid w:val="00EB3D73"/>
    <w:rsid w:val="00ED07C7"/>
    <w:rsid w:val="00ED73FD"/>
    <w:rsid w:val="00F076FD"/>
    <w:rsid w:val="00F80287"/>
    <w:rsid w:val="00FC2891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1B"/>
    <w:rPr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1B"/>
    <w:rPr>
      <w:sz w:val="20"/>
      <w:lang w:eastAsia="en-CA"/>
    </w:rPr>
  </w:style>
  <w:style w:type="character" w:styleId="Hyperlink">
    <w:name w:val="Hyperlink"/>
    <w:rsid w:val="00642F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23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6E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1B"/>
    <w:rPr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1B"/>
    <w:rPr>
      <w:sz w:val="20"/>
      <w:lang w:eastAsia="en-CA"/>
    </w:rPr>
  </w:style>
  <w:style w:type="character" w:styleId="Hyperlink">
    <w:name w:val="Hyperlink"/>
    <w:rsid w:val="00642F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23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6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ervice.prv/fra/finance/achats/acquisition/carte-acq.s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buyandsell.gc.ca/tende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cpedia.gc.ca/wiki/Procurement_community/Policies_and_process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hatsetventes.gc.ca/appels-d-offre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cpedia.gc.ca/wiki/Communaut%C3%A9_de_l%27approvisionnement/Politiques_et_process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service.prv/eng/finance/purchasing/contacts.s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service.prv/fra/finance/achats/contacts.shtml" TargetMode="External"/><Relationship Id="rId14" Type="http://schemas.openxmlformats.org/officeDocument/2006/relationships/hyperlink" Target="http://iservice.prv/eng/finance/purchasing/acquisition/acq-card.shtml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BA44-06F0-45B3-91E1-A21D6DB4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2015-03-04T18:46:00Z</dcterms:created>
  <dcterms:modified xsi:type="dcterms:W3CDTF">2015-03-04T18:46:00Z</dcterms:modified>
</cp:coreProperties>
</file>