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4" w:rsidRDefault="005D65F2" w:rsidP="005D65F2">
      <w:pPr>
        <w:pStyle w:val="Title"/>
      </w:pPr>
      <w:r>
        <w:t>Acquisition Card Use –</w:t>
      </w:r>
      <w:r w:rsidR="00741181">
        <w:t xml:space="preserve"> </w:t>
      </w:r>
      <w:r>
        <w:t>Manager’s Guide</w:t>
      </w:r>
    </w:p>
    <w:p w:rsidR="005D65F2" w:rsidRDefault="005D65F2" w:rsidP="00797E0B">
      <w:pPr>
        <w:pStyle w:val="Heading1"/>
        <w:spacing w:before="240"/>
      </w:pPr>
      <w:r>
        <w:t xml:space="preserve">What </w:t>
      </w:r>
      <w:r w:rsidR="00224767" w:rsidRPr="00F126F5">
        <w:rPr>
          <w:i/>
        </w:rPr>
        <w:t>Y</w:t>
      </w:r>
      <w:r w:rsidRPr="00F126F5">
        <w:rPr>
          <w:i/>
        </w:rPr>
        <w:t>ou</w:t>
      </w:r>
      <w:r w:rsidR="00D277C0">
        <w:t xml:space="preserve"> N</w:t>
      </w:r>
      <w:r>
        <w:t xml:space="preserve">eed to </w:t>
      </w:r>
      <w:r w:rsidR="00D277C0">
        <w:t>K</w:t>
      </w:r>
      <w:r>
        <w:t>now</w:t>
      </w:r>
    </w:p>
    <w:p w:rsidR="005D65F2" w:rsidRDefault="005D65F2" w:rsidP="005D65F2">
      <w:r>
        <w:t xml:space="preserve">This is a one-page highlight </w:t>
      </w:r>
      <w:r w:rsidR="00AA4EB3">
        <w:t xml:space="preserve">of the </w:t>
      </w:r>
      <w:r w:rsidR="00FD1790">
        <w:t>Acquisition Card program</w:t>
      </w:r>
      <w:r w:rsidR="00741181">
        <w:t xml:space="preserve"> for </w:t>
      </w:r>
      <w:r w:rsidR="004409DA">
        <w:t>funds center</w:t>
      </w:r>
      <w:r w:rsidR="00741181">
        <w:t xml:space="preserve"> </w:t>
      </w:r>
      <w:r w:rsidR="004409DA">
        <w:t>m</w:t>
      </w:r>
      <w:r w:rsidR="00741181">
        <w:t>anagers</w:t>
      </w:r>
      <w:r w:rsidR="00FD1790">
        <w:t xml:space="preserve">. </w:t>
      </w:r>
      <w:r w:rsidR="00741181">
        <w:t>R</w:t>
      </w:r>
      <w:r>
        <w:t xml:space="preserve">ead </w:t>
      </w:r>
      <w:r w:rsidR="00DF21F2">
        <w:t xml:space="preserve">it </w:t>
      </w:r>
      <w:r>
        <w:t xml:space="preserve">before </w:t>
      </w:r>
      <w:r w:rsidR="00FD1790">
        <w:t>you begin to supervise any employee</w:t>
      </w:r>
      <w:r>
        <w:t xml:space="preserve"> who </w:t>
      </w:r>
      <w:r w:rsidR="00FD1790">
        <w:t>has an Acquisition Card</w:t>
      </w:r>
      <w:r>
        <w:t>.</w:t>
      </w:r>
    </w:p>
    <w:p w:rsidR="005D65F2" w:rsidRDefault="005D65F2" w:rsidP="00797E0B">
      <w:pPr>
        <w:pStyle w:val="Heading1"/>
        <w:spacing w:before="300"/>
      </w:pPr>
      <w:r>
        <w:t xml:space="preserve">What is </w:t>
      </w:r>
      <w:r w:rsidR="00E827D9">
        <w:t>the</w:t>
      </w:r>
      <w:r>
        <w:t xml:space="preserve"> Acquisition Card?</w:t>
      </w:r>
    </w:p>
    <w:p w:rsidR="00B46440" w:rsidRDefault="00B46440" w:rsidP="00B46440">
      <w:pPr>
        <w:rPr>
          <w:rFonts w:ascii="Calibri" w:hAnsi="Calibri"/>
        </w:rPr>
      </w:pPr>
      <w:r>
        <w:t xml:space="preserve">It is a one-stop self-service purchasing and payment tool. Currently, the card is </w:t>
      </w:r>
      <w:r w:rsidRPr="00B46440">
        <w:t xml:space="preserve">a Desjardins VISA </w:t>
      </w:r>
      <w:r>
        <w:t>credit card with an easily-iden</w:t>
      </w:r>
      <w:r>
        <w:t>tified black and white mountain-</w:t>
      </w:r>
      <w:bookmarkStart w:id="0" w:name="_GoBack"/>
      <w:bookmarkEnd w:id="0"/>
      <w:r>
        <w:t>view background.</w:t>
      </w:r>
    </w:p>
    <w:p w:rsidR="005D65F2" w:rsidRDefault="005D65F2" w:rsidP="00797E0B">
      <w:pPr>
        <w:pStyle w:val="Heading1"/>
        <w:spacing w:before="300"/>
      </w:pPr>
      <w:r>
        <w:t>What is it for?</w:t>
      </w:r>
    </w:p>
    <w:p w:rsidR="005D65F2" w:rsidRDefault="005D65F2" w:rsidP="005D65F2">
      <w:r>
        <w:t>Purchasing</w:t>
      </w:r>
      <w:hyperlink r:id="rId8" w:history="1">
        <w:r w:rsidRPr="00F126F5">
          <w:rPr>
            <w:rStyle w:val="Hyperlink"/>
          </w:rPr>
          <w:t xml:space="preserve"> low dollar value (LDV) goods and services</w:t>
        </w:r>
      </w:hyperlink>
      <w:r>
        <w:t xml:space="preserve"> to meet </w:t>
      </w:r>
      <w:r w:rsidRPr="005D65F2">
        <w:rPr>
          <w:i/>
        </w:rPr>
        <w:t>operational requirements</w:t>
      </w:r>
      <w:r>
        <w:t xml:space="preserve">. An </w:t>
      </w:r>
      <w:r w:rsidRPr="005D65F2">
        <w:rPr>
          <w:i/>
        </w:rPr>
        <w:t>operational requirement</w:t>
      </w:r>
      <w:r>
        <w:t xml:space="preserve"> means </w:t>
      </w:r>
      <w:r w:rsidR="00DB4190">
        <w:t>a good or service</w:t>
      </w:r>
      <w:r>
        <w:t xml:space="preserve"> that your group </w:t>
      </w:r>
      <w:r w:rsidRPr="005D65F2">
        <w:rPr>
          <w:i/>
        </w:rPr>
        <w:t>needs</w:t>
      </w:r>
      <w:r>
        <w:t xml:space="preserve"> to fulfil its mandate. This would not usually include, for instance, coffee for the kitchen or flowers for a colleague. </w:t>
      </w:r>
      <w:r w:rsidR="00CD3FD3">
        <w:t xml:space="preserve">The card is now </w:t>
      </w:r>
      <w:r w:rsidR="00CD3FD3">
        <w:rPr>
          <w:i/>
        </w:rPr>
        <w:t xml:space="preserve">mandatory </w:t>
      </w:r>
      <w:r w:rsidR="00CD3FD3">
        <w:t xml:space="preserve">for most LDV purchases, </w:t>
      </w:r>
      <w:hyperlink r:id="rId9" w:anchor="6.1" w:history="1">
        <w:r w:rsidR="00CD3FD3" w:rsidRPr="00F126F5">
          <w:rPr>
            <w:rStyle w:val="Hyperlink"/>
          </w:rPr>
          <w:t>unless a policy exception applies</w:t>
        </w:r>
      </w:hyperlink>
      <w:r w:rsidR="00CD3FD3">
        <w:t xml:space="preserve">. </w:t>
      </w:r>
      <w:r>
        <w:t>An LDV purchase is typically up to $</w:t>
      </w:r>
      <w:r w:rsidR="005A147C">
        <w:t>10</w:t>
      </w:r>
      <w:r>
        <w:t>,00</w:t>
      </w:r>
      <w:r w:rsidR="00C0218E">
        <w:t>0, all taxes and fees included. Some Acquisition C</w:t>
      </w:r>
      <w:r>
        <w:t xml:space="preserve">ards may have higher or lower </w:t>
      </w:r>
      <w:r w:rsidR="00C0218E">
        <w:t xml:space="preserve">dollar </w:t>
      </w:r>
      <w:r>
        <w:t>limits.</w:t>
      </w:r>
    </w:p>
    <w:p w:rsidR="005D65F2" w:rsidRDefault="005D65F2" w:rsidP="00797E0B">
      <w:pPr>
        <w:pStyle w:val="Heading1"/>
        <w:spacing w:before="300"/>
      </w:pPr>
      <w:r>
        <w:t xml:space="preserve">What is </w:t>
      </w:r>
      <w:r w:rsidR="00FF4ED1">
        <w:t xml:space="preserve">the </w:t>
      </w:r>
      <w:r w:rsidR="004409DA">
        <w:t>funds center</w:t>
      </w:r>
      <w:r w:rsidR="00FF4ED1">
        <w:t xml:space="preserve"> </w:t>
      </w:r>
      <w:r w:rsidR="004409DA">
        <w:t>m</w:t>
      </w:r>
      <w:r w:rsidR="00FF4ED1">
        <w:t>anager’s</w:t>
      </w:r>
      <w:r>
        <w:t xml:space="preserve"> role</w:t>
      </w:r>
      <w:r w:rsidR="00FF4ED1">
        <w:t xml:space="preserve"> with the Acquisition Card</w:t>
      </w:r>
      <w:r>
        <w:t>?</w:t>
      </w:r>
    </w:p>
    <w:p w:rsidR="005D65F2" w:rsidRPr="005D65F2" w:rsidRDefault="004409DA" w:rsidP="005D65F2">
      <w:r>
        <w:t>Funds center</w:t>
      </w:r>
      <w:r w:rsidR="00D059B6">
        <w:t xml:space="preserve"> </w:t>
      </w:r>
      <w:r>
        <w:t>m</w:t>
      </w:r>
      <w:r w:rsidR="00D059B6">
        <w:t>anagers must</w:t>
      </w:r>
      <w:r w:rsidR="00623B68">
        <w:t xml:space="preserve"> </w:t>
      </w:r>
      <w:r w:rsidR="005D65F2">
        <w:t xml:space="preserve">authorize </w:t>
      </w:r>
      <w:r w:rsidR="005D65F2">
        <w:rPr>
          <w:i/>
        </w:rPr>
        <w:t>all</w:t>
      </w:r>
      <w:r w:rsidR="005D65F2">
        <w:t xml:space="preserve"> purchases</w:t>
      </w:r>
      <w:r w:rsidR="009F711D">
        <w:t xml:space="preserve"> </w:t>
      </w:r>
      <w:r w:rsidR="00D059B6">
        <w:rPr>
          <w:i/>
        </w:rPr>
        <w:t xml:space="preserve">in writing </w:t>
      </w:r>
      <w:r w:rsidR="00D059B6">
        <w:t>(</w:t>
      </w:r>
      <w:r w:rsidR="0088062F">
        <w:t xml:space="preserve">an </w:t>
      </w:r>
      <w:r w:rsidR="00D059B6">
        <w:t>e-mail is OK)</w:t>
      </w:r>
      <w:r w:rsidR="00B85D01">
        <w:t xml:space="preserve"> and identify the approximate dollar amount</w:t>
      </w:r>
      <w:r w:rsidR="009F711D">
        <w:t>,</w:t>
      </w:r>
      <w:r w:rsidR="005D65F2">
        <w:t xml:space="preserve"> </w:t>
      </w:r>
      <w:r w:rsidR="00D059B6">
        <w:t xml:space="preserve">per Section 32, </w:t>
      </w:r>
      <w:r w:rsidR="005D65F2" w:rsidRPr="00D059B6">
        <w:rPr>
          <w:i/>
        </w:rPr>
        <w:t>Financial Administration Act</w:t>
      </w:r>
      <w:r w:rsidR="00FD1790">
        <w:t xml:space="preserve"> (FAA)</w:t>
      </w:r>
      <w:r w:rsidR="00D059B6">
        <w:t xml:space="preserve">. This authorization </w:t>
      </w:r>
      <w:r w:rsidR="005D65F2">
        <w:t xml:space="preserve">can be </w:t>
      </w:r>
      <w:r w:rsidR="009F711D">
        <w:t xml:space="preserve">for just </w:t>
      </w:r>
      <w:r w:rsidR="005D65F2">
        <w:t>one purchase, or can be long-term</w:t>
      </w:r>
      <w:r w:rsidR="00AC7499">
        <w:t xml:space="preserve"> (e.g. office supplies)</w:t>
      </w:r>
      <w:r w:rsidR="005D65F2">
        <w:t xml:space="preserve">. </w:t>
      </w:r>
      <w:r w:rsidR="006D708D">
        <w:t>Funds c</w:t>
      </w:r>
      <w:r>
        <w:t>enter</w:t>
      </w:r>
      <w:r w:rsidR="00FD1790">
        <w:t xml:space="preserve"> </w:t>
      </w:r>
      <w:r w:rsidR="006D708D">
        <w:t>m</w:t>
      </w:r>
      <w:r w:rsidR="00FD1790">
        <w:t>anagers must review</w:t>
      </w:r>
      <w:r w:rsidR="00D059B6">
        <w:t xml:space="preserve"> the monthly </w:t>
      </w:r>
      <w:r w:rsidR="006D708D">
        <w:t xml:space="preserve">documents </w:t>
      </w:r>
      <w:r w:rsidR="00D059B6">
        <w:t>prepared by the cardholder</w:t>
      </w:r>
      <w:r w:rsidR="00EB1706">
        <w:t>,</w:t>
      </w:r>
      <w:r w:rsidR="00AC7499">
        <w:t xml:space="preserve"> </w:t>
      </w:r>
      <w:r w:rsidR="00EB1706">
        <w:t>and</w:t>
      </w:r>
      <w:r w:rsidR="00AC7499">
        <w:t xml:space="preserve"> flag </w:t>
      </w:r>
      <w:r w:rsidR="00EB1706">
        <w:t xml:space="preserve">any </w:t>
      </w:r>
      <w:r w:rsidR="005613E6">
        <w:t xml:space="preserve">inappropriate or </w:t>
      </w:r>
      <w:r w:rsidR="00FD1790">
        <w:t xml:space="preserve">unauthorized </w:t>
      </w:r>
      <w:r w:rsidR="00EB1706">
        <w:t>purchases</w:t>
      </w:r>
      <w:r w:rsidR="009F711D">
        <w:t xml:space="preserve">. </w:t>
      </w:r>
      <w:r w:rsidR="008A7709">
        <w:t>If all purchases are OK,</w:t>
      </w:r>
      <w:r w:rsidR="006D708D">
        <w:t xml:space="preserve"> approve the documents</w:t>
      </w:r>
      <w:r w:rsidR="008A7709">
        <w:t xml:space="preserve"> as per Section 34, </w:t>
      </w:r>
      <w:r w:rsidR="008A7709" w:rsidRPr="00D059B6">
        <w:rPr>
          <w:i/>
        </w:rPr>
        <w:t>FAA</w:t>
      </w:r>
      <w:r w:rsidR="008A7709">
        <w:t xml:space="preserve">. However, if </w:t>
      </w:r>
      <w:r w:rsidR="00D059B6">
        <w:t xml:space="preserve">any </w:t>
      </w:r>
      <w:r w:rsidR="00AD79D0">
        <w:t xml:space="preserve">such purchases </w:t>
      </w:r>
      <w:r w:rsidR="008A7709">
        <w:t xml:space="preserve">do </w:t>
      </w:r>
      <w:r w:rsidR="00D059B6">
        <w:t>appear, contact the Card Coordinator (</w:t>
      </w:r>
      <w:r w:rsidR="00E6153F">
        <w:t>see</w:t>
      </w:r>
      <w:r w:rsidR="00D059B6">
        <w:t xml:space="preserve"> iService)</w:t>
      </w:r>
      <w:r w:rsidR="00B76AAF">
        <w:t xml:space="preserve"> and i</w:t>
      </w:r>
      <w:r w:rsidR="00CD3FD3">
        <w:t xml:space="preserve">dentify the problematic purchases on the </w:t>
      </w:r>
      <w:r w:rsidR="006D708D">
        <w:t>documents</w:t>
      </w:r>
      <w:r w:rsidR="00D059B6">
        <w:t>.</w:t>
      </w:r>
      <w:r w:rsidR="00FD1790">
        <w:t xml:space="preserve"> </w:t>
      </w:r>
      <w:r w:rsidR="00337C3B">
        <w:t xml:space="preserve">For more </w:t>
      </w:r>
      <w:r w:rsidR="006137ED">
        <w:t>information</w:t>
      </w:r>
      <w:r w:rsidR="00337C3B">
        <w:t xml:space="preserve">, review the </w:t>
      </w:r>
      <w:hyperlink r:id="rId10" w:history="1">
        <w:r w:rsidR="00337C3B" w:rsidRPr="00F126F5">
          <w:rPr>
            <w:rStyle w:val="Hyperlink"/>
          </w:rPr>
          <w:t>Acquisition Card Policy</w:t>
        </w:r>
      </w:hyperlink>
      <w:r w:rsidR="00337C3B">
        <w:t>.</w:t>
      </w:r>
    </w:p>
    <w:p w:rsidR="005D65F2" w:rsidRDefault="005D65F2" w:rsidP="00797E0B">
      <w:pPr>
        <w:pStyle w:val="Heading1"/>
        <w:spacing w:before="300"/>
      </w:pPr>
      <w:r>
        <w:t>Who can use an Acquisition Card?</w:t>
      </w:r>
    </w:p>
    <w:p w:rsidR="00FD1790" w:rsidRDefault="00FD1790" w:rsidP="00B34346">
      <w:pPr>
        <w:pStyle w:val="ListParagraph"/>
        <w:numPr>
          <w:ilvl w:val="0"/>
          <w:numId w:val="1"/>
        </w:numPr>
        <w:tabs>
          <w:tab w:val="left" w:pos="540"/>
        </w:tabs>
        <w:ind w:left="540" w:hanging="180"/>
      </w:pPr>
      <w:r w:rsidRPr="00FD1790">
        <w:t xml:space="preserve">The person whose name is on the card (the “cardholder”) is the </w:t>
      </w:r>
      <w:r w:rsidRPr="00FD1790">
        <w:rPr>
          <w:i/>
        </w:rPr>
        <w:t>only</w:t>
      </w:r>
      <w:r w:rsidRPr="00FD1790">
        <w:t xml:space="preserve"> </w:t>
      </w:r>
      <w:r>
        <w:t xml:space="preserve">one </w:t>
      </w:r>
      <w:r w:rsidRPr="00FD1790">
        <w:t xml:space="preserve">permitted to use </w:t>
      </w:r>
      <w:r>
        <w:t>it</w:t>
      </w:r>
      <w:r w:rsidRPr="00FD1790">
        <w:t>.</w:t>
      </w:r>
    </w:p>
    <w:p w:rsidR="0092784B" w:rsidRDefault="0092784B" w:rsidP="00B34346">
      <w:pPr>
        <w:pStyle w:val="ListParagraph"/>
        <w:numPr>
          <w:ilvl w:val="0"/>
          <w:numId w:val="1"/>
        </w:numPr>
        <w:tabs>
          <w:tab w:val="left" w:pos="540"/>
        </w:tabs>
        <w:ind w:left="540" w:hanging="180"/>
      </w:pPr>
      <w:r w:rsidRPr="0092784B">
        <w:t xml:space="preserve">If a </w:t>
      </w:r>
      <w:r w:rsidR="00406D4E" w:rsidRPr="0092784B">
        <w:t>backup</w:t>
      </w:r>
      <w:r w:rsidRPr="0092784B">
        <w:t xml:space="preserve"> is required</w:t>
      </w:r>
      <w:r w:rsidR="00120F17">
        <w:t>,</w:t>
      </w:r>
      <w:r w:rsidRPr="0092784B">
        <w:t xml:space="preserve"> e.g. during cardholder’s vacation</w:t>
      </w:r>
      <w:r>
        <w:t xml:space="preserve">s, the </w:t>
      </w:r>
      <w:r w:rsidR="004409DA">
        <w:t>funds center m</w:t>
      </w:r>
      <w:r w:rsidRPr="0092784B">
        <w:t xml:space="preserve">anager must have another team member </w:t>
      </w:r>
      <w:r>
        <w:t>get</w:t>
      </w:r>
      <w:r w:rsidRPr="0092784B">
        <w:t xml:space="preserve"> a separate </w:t>
      </w:r>
      <w:r>
        <w:t>Acquisition C</w:t>
      </w:r>
      <w:r w:rsidRPr="0092784B">
        <w:t xml:space="preserve">ard. </w:t>
      </w:r>
      <w:r>
        <w:t xml:space="preserve">Acquisition </w:t>
      </w:r>
      <w:r w:rsidRPr="0092784B">
        <w:t xml:space="preserve">Cards must </w:t>
      </w:r>
      <w:r>
        <w:rPr>
          <w:i/>
        </w:rPr>
        <w:t xml:space="preserve">not </w:t>
      </w:r>
      <w:r w:rsidRPr="0092784B">
        <w:t>be lent or borrowed.</w:t>
      </w:r>
    </w:p>
    <w:p w:rsidR="00627B49" w:rsidRDefault="00627B49" w:rsidP="00627B49">
      <w:pPr>
        <w:pStyle w:val="ListParagraph"/>
        <w:numPr>
          <w:ilvl w:val="0"/>
          <w:numId w:val="1"/>
        </w:numPr>
        <w:ind w:left="540" w:hanging="180"/>
      </w:pPr>
      <w:r w:rsidRPr="00627B49">
        <w:t xml:space="preserve">New cardholders must pass </w:t>
      </w:r>
      <w:hyperlink r:id="rId11" w:history="1">
        <w:r w:rsidRPr="00F126F5">
          <w:rPr>
            <w:rStyle w:val="Hyperlink"/>
          </w:rPr>
          <w:t xml:space="preserve">free </w:t>
        </w:r>
        <w:r w:rsidRPr="00F126F5">
          <w:rPr>
            <w:rStyle w:val="Hyperlink"/>
            <w:i/>
          </w:rPr>
          <w:t>mandatory Acquisition Card training</w:t>
        </w:r>
      </w:hyperlink>
      <w:r w:rsidR="00F126F5">
        <w:t>.</w:t>
      </w:r>
    </w:p>
    <w:p w:rsidR="005D65F2" w:rsidRDefault="00435A98" w:rsidP="00B34346">
      <w:pPr>
        <w:pStyle w:val="ListParagraph"/>
        <w:numPr>
          <w:ilvl w:val="0"/>
          <w:numId w:val="1"/>
        </w:numPr>
        <w:tabs>
          <w:tab w:val="left" w:pos="540"/>
        </w:tabs>
        <w:ind w:left="540" w:hanging="180"/>
      </w:pPr>
      <w:r>
        <w:t>Cardholders must</w:t>
      </w:r>
      <w:r w:rsidR="005D65F2">
        <w:t xml:space="preserve"> have indeterminate </w:t>
      </w:r>
      <w:r w:rsidR="009937FD">
        <w:t xml:space="preserve">employment </w:t>
      </w:r>
      <w:r w:rsidR="00596706">
        <w:t>status, or minimum 6 months term service.</w:t>
      </w:r>
    </w:p>
    <w:p w:rsidR="005D65F2" w:rsidRDefault="00703F29" w:rsidP="00B34346">
      <w:pPr>
        <w:pStyle w:val="ListParagraph"/>
        <w:numPr>
          <w:ilvl w:val="0"/>
          <w:numId w:val="1"/>
        </w:numPr>
        <w:tabs>
          <w:tab w:val="left" w:pos="540"/>
        </w:tabs>
        <w:ind w:left="540" w:hanging="180"/>
      </w:pPr>
      <w:r>
        <w:t>Cann</w:t>
      </w:r>
      <w:r w:rsidR="005D65F2">
        <w:t>ot sign for own purchases</w:t>
      </w:r>
      <w:r w:rsidR="004347D7">
        <w:t xml:space="preserve">. </w:t>
      </w:r>
      <w:r w:rsidR="004409DA">
        <w:t>If a funds center m</w:t>
      </w:r>
      <w:r w:rsidR="0092784B">
        <w:t>anager has an Acquisition C</w:t>
      </w:r>
      <w:r w:rsidR="005D65F2">
        <w:t xml:space="preserve">ard then his or her superior will have to sign the monthly </w:t>
      </w:r>
      <w:r w:rsidR="004409DA">
        <w:t>documents</w:t>
      </w:r>
      <w:r w:rsidR="00F20309">
        <w:t>. C</w:t>
      </w:r>
      <w:r w:rsidR="005D65F2">
        <w:t>ardholder</w:t>
      </w:r>
      <w:r w:rsidR="00F13B91">
        <w:t>s</w:t>
      </w:r>
      <w:r w:rsidR="005D65F2">
        <w:t xml:space="preserve"> cannot </w:t>
      </w:r>
      <w:r w:rsidR="004409DA">
        <w:t>self-approve documents</w:t>
      </w:r>
      <w:r w:rsidR="00F20309">
        <w:t>.</w:t>
      </w:r>
    </w:p>
    <w:p w:rsidR="005D65F2" w:rsidRDefault="00892F61" w:rsidP="00B34346">
      <w:pPr>
        <w:pStyle w:val="ListParagraph"/>
        <w:numPr>
          <w:ilvl w:val="0"/>
          <w:numId w:val="1"/>
        </w:numPr>
        <w:tabs>
          <w:tab w:val="left" w:pos="540"/>
        </w:tabs>
        <w:ind w:left="540" w:hanging="180"/>
      </w:pPr>
      <w:r>
        <w:t>Some r</w:t>
      </w:r>
      <w:r w:rsidR="005D65F2">
        <w:t>egions and branches</w:t>
      </w:r>
      <w:r>
        <w:t xml:space="preserve"> have </w:t>
      </w:r>
      <w:r w:rsidR="005D65F2">
        <w:t xml:space="preserve">centralized </w:t>
      </w:r>
      <w:r>
        <w:t xml:space="preserve">all </w:t>
      </w:r>
      <w:r w:rsidR="00F13B91">
        <w:t>Acquisition Card</w:t>
      </w:r>
      <w:r w:rsidR="00CD3FD3">
        <w:t xml:space="preserve"> purchase</w:t>
      </w:r>
      <w:r w:rsidR="00F13B91">
        <w:t>s at</w:t>
      </w:r>
      <w:r w:rsidR="0092784B">
        <w:t xml:space="preserve"> </w:t>
      </w:r>
      <w:r w:rsidR="005D65F2">
        <w:t>managed services.</w:t>
      </w:r>
    </w:p>
    <w:p w:rsidR="005D65F2" w:rsidRDefault="005D65F2" w:rsidP="00797E0B">
      <w:pPr>
        <w:pStyle w:val="Heading1"/>
        <w:spacing w:before="300"/>
      </w:pPr>
      <w:r>
        <w:t>Where can I learn more?</w:t>
      </w:r>
    </w:p>
    <w:p w:rsidR="00337C3B" w:rsidRPr="005D65F2" w:rsidRDefault="004D74EE" w:rsidP="00D86C91">
      <w:r>
        <w:t>More info</w:t>
      </w:r>
      <w:r w:rsidR="00B070E1">
        <w:t>rmation</w:t>
      </w:r>
      <w:r w:rsidR="005D65F2">
        <w:t xml:space="preserve"> is available through </w:t>
      </w:r>
      <w:hyperlink r:id="rId12" w:history="1">
        <w:r w:rsidR="005D65F2" w:rsidRPr="00CD3FD3">
          <w:rPr>
            <w:rStyle w:val="Hyperlink"/>
          </w:rPr>
          <w:t>iService</w:t>
        </w:r>
      </w:hyperlink>
      <w:r w:rsidR="00F126F5">
        <w:t>.</w:t>
      </w:r>
    </w:p>
    <w:sectPr w:rsidR="00337C3B" w:rsidRPr="005D6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25" w:rsidRDefault="007B3725" w:rsidP="007B3725">
      <w:pPr>
        <w:spacing w:after="0" w:line="240" w:lineRule="auto"/>
      </w:pPr>
      <w:r>
        <w:separator/>
      </w:r>
    </w:p>
  </w:endnote>
  <w:endnote w:type="continuationSeparator" w:id="0">
    <w:p w:rsidR="007B3725" w:rsidRDefault="007B3725" w:rsidP="007B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25" w:rsidRDefault="007B3725" w:rsidP="007B3725">
      <w:pPr>
        <w:spacing w:after="0" w:line="240" w:lineRule="auto"/>
      </w:pPr>
      <w:r>
        <w:separator/>
      </w:r>
    </w:p>
  </w:footnote>
  <w:footnote w:type="continuationSeparator" w:id="0">
    <w:p w:rsidR="007B3725" w:rsidRDefault="007B3725" w:rsidP="007B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47D"/>
    <w:multiLevelType w:val="hybridMultilevel"/>
    <w:tmpl w:val="84427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285E"/>
    <w:multiLevelType w:val="hybridMultilevel"/>
    <w:tmpl w:val="ADF05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00E1"/>
    <w:multiLevelType w:val="hybridMultilevel"/>
    <w:tmpl w:val="C9D48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C9"/>
    <w:rsid w:val="00037349"/>
    <w:rsid w:val="00053FD5"/>
    <w:rsid w:val="00062C66"/>
    <w:rsid w:val="000907C5"/>
    <w:rsid w:val="00094F6F"/>
    <w:rsid w:val="000B5D2A"/>
    <w:rsid w:val="00120F17"/>
    <w:rsid w:val="00122E8B"/>
    <w:rsid w:val="001748D8"/>
    <w:rsid w:val="00224767"/>
    <w:rsid w:val="00261639"/>
    <w:rsid w:val="002F1CD2"/>
    <w:rsid w:val="002F70CC"/>
    <w:rsid w:val="00337C3B"/>
    <w:rsid w:val="003A45F3"/>
    <w:rsid w:val="003C1357"/>
    <w:rsid w:val="003E152C"/>
    <w:rsid w:val="003F4DFF"/>
    <w:rsid w:val="00406D4E"/>
    <w:rsid w:val="004347D7"/>
    <w:rsid w:val="00435A98"/>
    <w:rsid w:val="004409DA"/>
    <w:rsid w:val="004550FB"/>
    <w:rsid w:val="004D74EE"/>
    <w:rsid w:val="005613E6"/>
    <w:rsid w:val="00596706"/>
    <w:rsid w:val="005A147C"/>
    <w:rsid w:val="005A3B0A"/>
    <w:rsid w:val="005D65F2"/>
    <w:rsid w:val="005D7680"/>
    <w:rsid w:val="006020A8"/>
    <w:rsid w:val="006137ED"/>
    <w:rsid w:val="00623B68"/>
    <w:rsid w:val="00627B49"/>
    <w:rsid w:val="00675FF0"/>
    <w:rsid w:val="006A34CA"/>
    <w:rsid w:val="006D708D"/>
    <w:rsid w:val="00703F29"/>
    <w:rsid w:val="00741181"/>
    <w:rsid w:val="00786DCE"/>
    <w:rsid w:val="00797E0B"/>
    <w:rsid w:val="007B3725"/>
    <w:rsid w:val="0088062F"/>
    <w:rsid w:val="00892F61"/>
    <w:rsid w:val="008A4D3B"/>
    <w:rsid w:val="008A7709"/>
    <w:rsid w:val="008F49E0"/>
    <w:rsid w:val="0092784B"/>
    <w:rsid w:val="009937FD"/>
    <w:rsid w:val="00996CA7"/>
    <w:rsid w:val="009B5D4A"/>
    <w:rsid w:val="009F711D"/>
    <w:rsid w:val="00A13233"/>
    <w:rsid w:val="00AA4EB3"/>
    <w:rsid w:val="00AA589D"/>
    <w:rsid w:val="00AC7499"/>
    <w:rsid w:val="00AD79D0"/>
    <w:rsid w:val="00B070E1"/>
    <w:rsid w:val="00B34346"/>
    <w:rsid w:val="00B46440"/>
    <w:rsid w:val="00B76AAF"/>
    <w:rsid w:val="00B85D01"/>
    <w:rsid w:val="00BF604F"/>
    <w:rsid w:val="00C0218E"/>
    <w:rsid w:val="00CD3FD3"/>
    <w:rsid w:val="00D059B6"/>
    <w:rsid w:val="00D22D21"/>
    <w:rsid w:val="00D277C0"/>
    <w:rsid w:val="00D51EC9"/>
    <w:rsid w:val="00D86C91"/>
    <w:rsid w:val="00DB4190"/>
    <w:rsid w:val="00DC1025"/>
    <w:rsid w:val="00DF21F2"/>
    <w:rsid w:val="00E6153F"/>
    <w:rsid w:val="00E7774C"/>
    <w:rsid w:val="00E827D9"/>
    <w:rsid w:val="00EA6B16"/>
    <w:rsid w:val="00EB1706"/>
    <w:rsid w:val="00ED315C"/>
    <w:rsid w:val="00F01AE7"/>
    <w:rsid w:val="00F126F5"/>
    <w:rsid w:val="00F13B91"/>
    <w:rsid w:val="00F20309"/>
    <w:rsid w:val="00F65019"/>
    <w:rsid w:val="00F6584E"/>
    <w:rsid w:val="00F7110E"/>
    <w:rsid w:val="00FD1790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6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5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25"/>
  </w:style>
  <w:style w:type="paragraph" w:styleId="Footer">
    <w:name w:val="footer"/>
    <w:basedOn w:val="Normal"/>
    <w:link w:val="Foot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6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5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25"/>
  </w:style>
  <w:style w:type="paragraph" w:styleId="Footer">
    <w:name w:val="footer"/>
    <w:basedOn w:val="Normal"/>
    <w:link w:val="FooterChar"/>
    <w:uiPriority w:val="99"/>
    <w:unhideWhenUsed/>
    <w:rsid w:val="007B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finance/purchasing/low_dollar_value_purchases.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service.prv/eng/finance/purchasing/acquisition/acq-card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ervice.prv/eng/finance/purchasing/acquisition/acq-card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ervice.prv/eng/finance/policies/ad/acqcard_policy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rvice.prv/eng/finance/policies/ad/acqcard_policy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2016-11-17T18:30:00Z</dcterms:created>
  <dcterms:modified xsi:type="dcterms:W3CDTF">2016-11-17T18:30:00Z</dcterms:modified>
</cp:coreProperties>
</file>