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728" w:type="dxa"/>
        <w:tblInd w:w="-612" w:type="dxa"/>
        <w:tblLayout w:type="fixed"/>
        <w:tblLook w:val="04A0" w:firstRow="1" w:lastRow="0" w:firstColumn="1" w:lastColumn="0" w:noHBand="0" w:noVBand="1"/>
      </w:tblPr>
      <w:tblGrid>
        <w:gridCol w:w="1146"/>
        <w:gridCol w:w="6662"/>
        <w:gridCol w:w="1134"/>
        <w:gridCol w:w="1786"/>
      </w:tblGrid>
      <w:tr w:rsidR="00A868E6" w:rsidRPr="00EF2562" w14:paraId="4878D815" w14:textId="77777777" w:rsidTr="0044303D">
        <w:trPr>
          <w:trHeight w:val="525"/>
        </w:trPr>
        <w:tc>
          <w:tcPr>
            <w:tcW w:w="1146" w:type="dxa"/>
            <w:shd w:val="clear" w:color="auto" w:fill="BFBFBF" w:themeFill="background1" w:themeFillShade="BF"/>
            <w:hideMark/>
          </w:tcPr>
          <w:p w14:paraId="6F92F55B" w14:textId="77777777" w:rsidR="00A868E6" w:rsidRPr="00EF2562" w:rsidRDefault="00A868E6" w:rsidP="00EF2562">
            <w:pPr>
              <w:jc w:val="center"/>
              <w:rPr>
                <w:b/>
                <w:bCs/>
              </w:rPr>
            </w:pPr>
            <w:r w:rsidRPr="00EF2562">
              <w:rPr>
                <w:b/>
                <w:bCs/>
              </w:rPr>
              <w:t>Period</w:t>
            </w:r>
          </w:p>
        </w:tc>
        <w:tc>
          <w:tcPr>
            <w:tcW w:w="6662" w:type="dxa"/>
            <w:shd w:val="clear" w:color="auto" w:fill="BFBFBF" w:themeFill="background1" w:themeFillShade="BF"/>
            <w:hideMark/>
          </w:tcPr>
          <w:p w14:paraId="73DB9CB1" w14:textId="77777777" w:rsidR="00A868E6" w:rsidRPr="00EF2562" w:rsidRDefault="00FD1F4C" w:rsidP="001137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Task</w:t>
            </w:r>
          </w:p>
        </w:tc>
        <w:tc>
          <w:tcPr>
            <w:tcW w:w="1134" w:type="dxa"/>
            <w:shd w:val="clear" w:color="auto" w:fill="BFBFBF" w:themeFill="background1" w:themeFillShade="BF"/>
            <w:hideMark/>
          </w:tcPr>
          <w:p w14:paraId="4B171D39" w14:textId="77777777" w:rsidR="00A868E6" w:rsidRPr="00EF2562" w:rsidRDefault="00A868E6" w:rsidP="00EF2562">
            <w:pPr>
              <w:jc w:val="center"/>
              <w:rPr>
                <w:b/>
                <w:bCs/>
              </w:rPr>
            </w:pPr>
            <w:r w:rsidRPr="00EF2562">
              <w:rPr>
                <w:b/>
                <w:bCs/>
              </w:rPr>
              <w:t>Teams involved</w:t>
            </w:r>
          </w:p>
        </w:tc>
        <w:tc>
          <w:tcPr>
            <w:tcW w:w="1786" w:type="dxa"/>
            <w:shd w:val="clear" w:color="auto" w:fill="BFBFBF" w:themeFill="background1" w:themeFillShade="BF"/>
            <w:hideMark/>
          </w:tcPr>
          <w:p w14:paraId="50C8F557" w14:textId="77777777" w:rsidR="00A868E6" w:rsidRPr="00EF2562" w:rsidRDefault="00A868E6" w:rsidP="00EF2562">
            <w:pPr>
              <w:rPr>
                <w:b/>
                <w:bCs/>
              </w:rPr>
            </w:pPr>
            <w:r>
              <w:rPr>
                <w:b/>
                <w:bCs/>
              </w:rPr>
              <w:t>Deadline</w:t>
            </w:r>
            <w:r w:rsidR="001137F0">
              <w:rPr>
                <w:b/>
                <w:bCs/>
              </w:rPr>
              <w:t xml:space="preserve"> or Frequency</w:t>
            </w:r>
          </w:p>
        </w:tc>
      </w:tr>
      <w:tr w:rsidR="00A80004" w:rsidRPr="00EF2562" w14:paraId="343FA472" w14:textId="77777777" w:rsidTr="0043635A">
        <w:trPr>
          <w:trHeight w:val="438"/>
        </w:trPr>
        <w:tc>
          <w:tcPr>
            <w:tcW w:w="1146" w:type="dxa"/>
            <w:vMerge w:val="restart"/>
            <w:hideMark/>
          </w:tcPr>
          <w:p w14:paraId="5F06706C" w14:textId="77777777" w:rsidR="006F4345" w:rsidRDefault="00FE6AD5" w:rsidP="001F41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P1 to P12 Ongoing m</w:t>
            </w:r>
            <w:r w:rsidR="00A80004">
              <w:rPr>
                <w:b/>
                <w:bCs/>
              </w:rPr>
              <w:t>onthly</w:t>
            </w:r>
            <w:r w:rsidR="0043635A">
              <w:rPr>
                <w:b/>
                <w:bCs/>
              </w:rPr>
              <w:t xml:space="preserve"> activities</w:t>
            </w:r>
            <w:r w:rsidR="00A80004">
              <w:rPr>
                <w:b/>
                <w:bCs/>
              </w:rPr>
              <w:t xml:space="preserve"> </w:t>
            </w:r>
          </w:p>
          <w:p w14:paraId="1513D46D" w14:textId="77777777" w:rsidR="00A80004" w:rsidRPr="00EF2562" w:rsidRDefault="00A80004" w:rsidP="00FE6AD5">
            <w:pPr>
              <w:jc w:val="center"/>
              <w:rPr>
                <w:b/>
                <w:bCs/>
              </w:rPr>
            </w:pPr>
          </w:p>
        </w:tc>
        <w:tc>
          <w:tcPr>
            <w:tcW w:w="6662" w:type="dxa"/>
            <w:hideMark/>
          </w:tcPr>
          <w:p w14:paraId="34C9105F" w14:textId="77777777" w:rsidR="00056BC2" w:rsidRDefault="00A80004" w:rsidP="00056BC2">
            <w:r>
              <w:t>Ensure IOs/WBS structure is created for each approved project</w:t>
            </w:r>
          </w:p>
          <w:p w14:paraId="2085DDE3" w14:textId="77777777" w:rsidR="00A80004" w:rsidRPr="00EF2562" w:rsidRDefault="00056BC2" w:rsidP="00056BC2">
            <w:r>
              <w:t xml:space="preserve">(refer to the </w:t>
            </w:r>
            <w:hyperlink r:id="rId8" w:history="1">
              <w:r w:rsidRPr="00F80054">
                <w:rPr>
                  <w:rStyle w:val="Hyperlink"/>
                </w:rPr>
                <w:t>Guide to Project costing and Reporting)</w:t>
              </w:r>
            </w:hyperlink>
          </w:p>
        </w:tc>
        <w:tc>
          <w:tcPr>
            <w:tcW w:w="1134" w:type="dxa"/>
            <w:hideMark/>
          </w:tcPr>
          <w:p w14:paraId="4A9E0AFB" w14:textId="77777777" w:rsidR="00A80004" w:rsidRPr="00EF2562" w:rsidRDefault="00A80004" w:rsidP="006F4345">
            <w:r w:rsidRPr="00EF2562">
              <w:t>1</w:t>
            </w:r>
            <w:r w:rsidR="006F4345">
              <w:t xml:space="preserve"> &amp;</w:t>
            </w:r>
            <w:r w:rsidRPr="00EF2562">
              <w:t xml:space="preserve"> </w:t>
            </w:r>
            <w:r w:rsidR="006F4345">
              <w:t>2</w:t>
            </w:r>
          </w:p>
        </w:tc>
        <w:tc>
          <w:tcPr>
            <w:tcW w:w="1786" w:type="dxa"/>
            <w:hideMark/>
          </w:tcPr>
          <w:p w14:paraId="2C181DE5" w14:textId="77777777" w:rsidR="00A80004" w:rsidRPr="00EF2562" w:rsidRDefault="00A80004" w:rsidP="00185E79">
            <w:r>
              <w:t>Month-end</w:t>
            </w:r>
          </w:p>
        </w:tc>
      </w:tr>
      <w:tr w:rsidR="00A80004" w:rsidRPr="00EF2562" w14:paraId="16E523E0" w14:textId="77777777" w:rsidTr="0043635A">
        <w:trPr>
          <w:trHeight w:val="602"/>
        </w:trPr>
        <w:tc>
          <w:tcPr>
            <w:tcW w:w="1146" w:type="dxa"/>
            <w:vMerge/>
            <w:hideMark/>
          </w:tcPr>
          <w:p w14:paraId="0894837B" w14:textId="77777777" w:rsidR="00A80004" w:rsidRPr="00EF2562" w:rsidRDefault="00A80004" w:rsidP="00EF2562">
            <w:pPr>
              <w:rPr>
                <w:b/>
                <w:bCs/>
              </w:rPr>
            </w:pPr>
          </w:p>
        </w:tc>
        <w:tc>
          <w:tcPr>
            <w:tcW w:w="6662" w:type="dxa"/>
            <w:hideMark/>
          </w:tcPr>
          <w:p w14:paraId="4484C5E6" w14:textId="77777777" w:rsidR="00A80004" w:rsidRPr="00EF2562" w:rsidRDefault="00A80004" w:rsidP="001F4106">
            <w:r w:rsidRPr="00EF2562">
              <w:t>Ensure all salary costs</w:t>
            </w:r>
            <w:r>
              <w:t xml:space="preserve"> </w:t>
            </w:r>
            <w:r w:rsidRPr="00EF2562">
              <w:t>(CATS</w:t>
            </w:r>
            <w:r>
              <w:t xml:space="preserve"> timesheets</w:t>
            </w:r>
            <w:r w:rsidRPr="00EF2562">
              <w:t xml:space="preserve"> for IITB employees) and non-salary costs are capt</w:t>
            </w:r>
            <w:r>
              <w:t>ured in the appropriate IOs/WBS</w:t>
            </w:r>
          </w:p>
        </w:tc>
        <w:tc>
          <w:tcPr>
            <w:tcW w:w="1134" w:type="dxa"/>
            <w:hideMark/>
          </w:tcPr>
          <w:p w14:paraId="34A8D595" w14:textId="77777777" w:rsidR="00A80004" w:rsidRPr="00EF2562" w:rsidRDefault="006F4345" w:rsidP="00EF2562">
            <w:r w:rsidRPr="00EF2562">
              <w:t>1</w:t>
            </w:r>
            <w:r>
              <w:t xml:space="preserve"> &amp;</w:t>
            </w:r>
            <w:r w:rsidRPr="00EF2562">
              <w:t xml:space="preserve"> </w:t>
            </w:r>
            <w:r>
              <w:t>2</w:t>
            </w:r>
          </w:p>
        </w:tc>
        <w:tc>
          <w:tcPr>
            <w:tcW w:w="1786" w:type="dxa"/>
            <w:hideMark/>
          </w:tcPr>
          <w:p w14:paraId="4C16847A" w14:textId="77777777" w:rsidR="00A80004" w:rsidRPr="00EF2562" w:rsidRDefault="00A80004">
            <w:r>
              <w:t>Month-end</w:t>
            </w:r>
          </w:p>
        </w:tc>
      </w:tr>
      <w:tr w:rsidR="00227A0F" w:rsidRPr="00EF2562" w14:paraId="3555DE97" w14:textId="77777777" w:rsidTr="00F13DD1">
        <w:trPr>
          <w:trHeight w:val="552"/>
        </w:trPr>
        <w:tc>
          <w:tcPr>
            <w:tcW w:w="1146" w:type="dxa"/>
            <w:vMerge/>
          </w:tcPr>
          <w:p w14:paraId="6F9DFCE6" w14:textId="77777777" w:rsidR="00227A0F" w:rsidRPr="00EF2562" w:rsidRDefault="00227A0F" w:rsidP="00EF2562">
            <w:pPr>
              <w:rPr>
                <w:b/>
                <w:bCs/>
              </w:rPr>
            </w:pPr>
          </w:p>
        </w:tc>
        <w:tc>
          <w:tcPr>
            <w:tcW w:w="6662" w:type="dxa"/>
          </w:tcPr>
          <w:p w14:paraId="1AFBEA0F" w14:textId="77777777" w:rsidR="00227A0F" w:rsidRPr="00EF2562" w:rsidRDefault="00227A0F" w:rsidP="00DE7F59">
            <w:r>
              <w:t>Process JVs for project costs realignment (salary and non-salary costs for non-CATS cost centers)</w:t>
            </w:r>
          </w:p>
        </w:tc>
        <w:tc>
          <w:tcPr>
            <w:tcW w:w="1134" w:type="dxa"/>
          </w:tcPr>
          <w:p w14:paraId="4D4F0782" w14:textId="77777777" w:rsidR="00227A0F" w:rsidRPr="00EF2562" w:rsidRDefault="00227A0F" w:rsidP="001020A3">
            <w:r w:rsidRPr="00EF2562">
              <w:t>1</w:t>
            </w:r>
            <w:r>
              <w:t xml:space="preserve"> &amp;</w:t>
            </w:r>
            <w:r w:rsidRPr="00EF2562">
              <w:t xml:space="preserve"> </w:t>
            </w:r>
            <w:r>
              <w:t>2</w:t>
            </w:r>
          </w:p>
        </w:tc>
        <w:tc>
          <w:tcPr>
            <w:tcW w:w="1786" w:type="dxa"/>
          </w:tcPr>
          <w:p w14:paraId="6BDFD9B2" w14:textId="77777777" w:rsidR="00227A0F" w:rsidRDefault="00227A0F" w:rsidP="00D82C16">
            <w:r>
              <w:t>Month-end /</w:t>
            </w:r>
          </w:p>
          <w:p w14:paraId="05AF68D8" w14:textId="77777777" w:rsidR="00227A0F" w:rsidRPr="00EF2562" w:rsidRDefault="00227A0F" w:rsidP="00D82C16">
            <w:r>
              <w:t>Each quarter</w:t>
            </w:r>
          </w:p>
        </w:tc>
      </w:tr>
      <w:tr w:rsidR="00D82C16" w:rsidRPr="00EF2562" w14:paraId="6724A63E" w14:textId="77777777" w:rsidTr="0043635A">
        <w:trPr>
          <w:trHeight w:val="553"/>
        </w:trPr>
        <w:tc>
          <w:tcPr>
            <w:tcW w:w="1146" w:type="dxa"/>
            <w:vMerge/>
          </w:tcPr>
          <w:p w14:paraId="3A492292" w14:textId="77777777" w:rsidR="00D82C16" w:rsidRPr="00EF2562" w:rsidRDefault="00D82C16" w:rsidP="00EF2562">
            <w:pPr>
              <w:rPr>
                <w:b/>
                <w:bCs/>
              </w:rPr>
            </w:pPr>
          </w:p>
        </w:tc>
        <w:tc>
          <w:tcPr>
            <w:tcW w:w="6662" w:type="dxa"/>
          </w:tcPr>
          <w:p w14:paraId="22BFFB1B" w14:textId="67E22E50" w:rsidR="00D82C16" w:rsidRPr="00EF2562" w:rsidRDefault="008D3F33" w:rsidP="00C32633">
            <w:r>
              <w:t>For all new software development projects exceeding $10K, submit a completed</w:t>
            </w:r>
            <w:r w:rsidR="00D82C16">
              <w:t xml:space="preserve"> </w:t>
            </w:r>
            <w:hyperlink r:id="rId9" w:history="1">
              <w:r>
                <w:rPr>
                  <w:rStyle w:val="Hyperlink"/>
                </w:rPr>
                <w:t>AUC Criteria</w:t>
              </w:r>
              <w:r w:rsidR="00D82C16" w:rsidRPr="00185E79">
                <w:rPr>
                  <w:rStyle w:val="Hyperlink"/>
                </w:rPr>
                <w:t xml:space="preserve"> Form</w:t>
              </w:r>
            </w:hyperlink>
            <w:r>
              <w:rPr>
                <w:rStyle w:val="Hyperlink"/>
              </w:rPr>
              <w:t xml:space="preserve"> </w:t>
            </w:r>
            <w:r w:rsidRPr="008D3F33">
              <w:rPr>
                <w:rStyle w:val="Hyperlink"/>
                <w:color w:val="auto"/>
                <w:u w:val="none"/>
              </w:rPr>
              <w:t xml:space="preserve">to the </w:t>
            </w:r>
            <w:hyperlink r:id="rId10" w:history="1">
              <w:r w:rsidRPr="00F13DD1">
                <w:rPr>
                  <w:rStyle w:val="Hyperlink"/>
                </w:rPr>
                <w:t>Capital Asset Mailbox</w:t>
              </w:r>
            </w:hyperlink>
            <w:r w:rsidRPr="008D3F33">
              <w:rPr>
                <w:rStyle w:val="Hyperlink"/>
                <w:color w:val="auto"/>
                <w:u w:val="none"/>
              </w:rPr>
              <w:t xml:space="preserve"> </w:t>
            </w:r>
            <w:r w:rsidR="00C32633">
              <w:rPr>
                <w:rStyle w:val="Hyperlink"/>
                <w:b/>
                <w:color w:val="auto"/>
              </w:rPr>
              <w:t>at STAGE</w:t>
            </w:r>
            <w:r w:rsidR="00F056C2">
              <w:rPr>
                <w:rStyle w:val="Hyperlink"/>
                <w:b/>
                <w:color w:val="auto"/>
              </w:rPr>
              <w:t xml:space="preserve"> 2</w:t>
            </w:r>
          </w:p>
        </w:tc>
        <w:tc>
          <w:tcPr>
            <w:tcW w:w="1134" w:type="dxa"/>
          </w:tcPr>
          <w:p w14:paraId="3A10F9E6" w14:textId="77777777" w:rsidR="00D82C16" w:rsidRPr="00EF2562" w:rsidRDefault="006F4345" w:rsidP="00EF2562">
            <w:r w:rsidRPr="00EF2562">
              <w:t>1</w:t>
            </w:r>
            <w:r>
              <w:t xml:space="preserve"> &amp;</w:t>
            </w:r>
            <w:r w:rsidRPr="00EF2562">
              <w:t xml:space="preserve"> </w:t>
            </w:r>
            <w:r>
              <w:t>2</w:t>
            </w:r>
          </w:p>
        </w:tc>
        <w:tc>
          <w:tcPr>
            <w:tcW w:w="1786" w:type="dxa"/>
          </w:tcPr>
          <w:p w14:paraId="384FC426" w14:textId="77777777" w:rsidR="00D82C16" w:rsidRPr="00EF2562" w:rsidRDefault="00D82C16">
            <w:r>
              <w:t>Month-end</w:t>
            </w:r>
            <w:r w:rsidRPr="00EF2562">
              <w:t xml:space="preserve"> </w:t>
            </w:r>
          </w:p>
        </w:tc>
      </w:tr>
      <w:tr w:rsidR="00D82C16" w:rsidRPr="00EF2562" w14:paraId="1ED9F37A" w14:textId="77777777" w:rsidTr="0043635A">
        <w:trPr>
          <w:trHeight w:val="564"/>
        </w:trPr>
        <w:tc>
          <w:tcPr>
            <w:tcW w:w="1146" w:type="dxa"/>
            <w:vMerge/>
            <w:hideMark/>
          </w:tcPr>
          <w:p w14:paraId="040A7A75" w14:textId="77777777" w:rsidR="00D82C16" w:rsidRPr="00EF2562" w:rsidRDefault="00D82C16" w:rsidP="00EF2562">
            <w:pPr>
              <w:rPr>
                <w:b/>
                <w:bCs/>
              </w:rPr>
            </w:pPr>
          </w:p>
        </w:tc>
        <w:tc>
          <w:tcPr>
            <w:tcW w:w="6662" w:type="dxa"/>
            <w:hideMark/>
          </w:tcPr>
          <w:p w14:paraId="21089D7E" w14:textId="77777777" w:rsidR="00D82C16" w:rsidRPr="00EF2562" w:rsidRDefault="00D82C16">
            <w:r w:rsidRPr="00EF2562">
              <w:t>Establish settlement rules for all projects</w:t>
            </w:r>
            <w:r>
              <w:t xml:space="preserve"> and if required, establish manual settlements for specific projects</w:t>
            </w:r>
          </w:p>
        </w:tc>
        <w:tc>
          <w:tcPr>
            <w:tcW w:w="1134" w:type="dxa"/>
            <w:hideMark/>
          </w:tcPr>
          <w:p w14:paraId="628EAD15" w14:textId="77777777" w:rsidR="00D82C16" w:rsidRPr="00EF2562" w:rsidRDefault="006F4345" w:rsidP="00EF2562">
            <w:r w:rsidRPr="00EF2562">
              <w:t>1</w:t>
            </w:r>
            <w:r>
              <w:t xml:space="preserve"> &amp;</w:t>
            </w:r>
            <w:r w:rsidRPr="00EF2562">
              <w:t xml:space="preserve"> </w:t>
            </w:r>
            <w:r>
              <w:t>2</w:t>
            </w:r>
          </w:p>
        </w:tc>
        <w:tc>
          <w:tcPr>
            <w:tcW w:w="1786" w:type="dxa"/>
            <w:hideMark/>
          </w:tcPr>
          <w:p w14:paraId="1692F551" w14:textId="77777777" w:rsidR="00D82C16" w:rsidRPr="00EF2562" w:rsidRDefault="00D82C16">
            <w:r>
              <w:t>Month-end</w:t>
            </w:r>
          </w:p>
        </w:tc>
      </w:tr>
      <w:tr w:rsidR="00D82C16" w:rsidRPr="00EF2562" w14:paraId="6098B2EE" w14:textId="77777777" w:rsidTr="0043635A">
        <w:trPr>
          <w:trHeight w:val="315"/>
        </w:trPr>
        <w:tc>
          <w:tcPr>
            <w:tcW w:w="1146" w:type="dxa"/>
            <w:vMerge/>
            <w:hideMark/>
          </w:tcPr>
          <w:p w14:paraId="2A5E5B00" w14:textId="77777777" w:rsidR="00D82C16" w:rsidRPr="00EF2562" w:rsidRDefault="00D82C16" w:rsidP="00EF2562">
            <w:pPr>
              <w:rPr>
                <w:b/>
                <w:bCs/>
              </w:rPr>
            </w:pPr>
          </w:p>
        </w:tc>
        <w:tc>
          <w:tcPr>
            <w:tcW w:w="6662" w:type="dxa"/>
            <w:hideMark/>
          </w:tcPr>
          <w:p w14:paraId="00D5D403" w14:textId="77777777" w:rsidR="00D82C16" w:rsidRPr="00EF2562" w:rsidRDefault="00E7737D" w:rsidP="001A0BE1">
            <w:r>
              <w:t>Run cost allocation (unproductive time, EBP, etc.)</w:t>
            </w:r>
            <w:r w:rsidR="00300A09">
              <w:t xml:space="preserve"> and run </w:t>
            </w:r>
            <w:r w:rsidR="00D82C16">
              <w:t xml:space="preserve">monthly settlements </w:t>
            </w:r>
            <w:r w:rsidR="00300A09">
              <w:t>by ensuring that</w:t>
            </w:r>
            <w:r w:rsidR="00D82C16" w:rsidRPr="00EF2562">
              <w:t xml:space="preserve"> all costs </w:t>
            </w:r>
            <w:r w:rsidR="00D82C16">
              <w:t>are settled</w:t>
            </w:r>
          </w:p>
        </w:tc>
        <w:tc>
          <w:tcPr>
            <w:tcW w:w="1134" w:type="dxa"/>
            <w:hideMark/>
          </w:tcPr>
          <w:p w14:paraId="263335BB" w14:textId="77777777" w:rsidR="00D82C16" w:rsidRPr="00EF2562" w:rsidRDefault="001C06D7" w:rsidP="00EF2562">
            <w:r>
              <w:t>9</w:t>
            </w:r>
          </w:p>
        </w:tc>
        <w:tc>
          <w:tcPr>
            <w:tcW w:w="1786" w:type="dxa"/>
            <w:hideMark/>
          </w:tcPr>
          <w:p w14:paraId="15A11B15" w14:textId="56AA4A80" w:rsidR="00D82C16" w:rsidRPr="00EF2562" w:rsidRDefault="00D82C16" w:rsidP="00973FB6">
            <w:r>
              <w:t>3</w:t>
            </w:r>
            <w:r>
              <w:rPr>
                <w:vertAlign w:val="superscript"/>
              </w:rPr>
              <w:t xml:space="preserve">rd </w:t>
            </w:r>
            <w:r>
              <w:t>working day after month-end</w:t>
            </w:r>
            <w:r w:rsidR="00336A49" w:rsidRPr="00336A49">
              <w:rPr>
                <w:vertAlign w:val="superscript"/>
              </w:rPr>
              <w:t>1</w:t>
            </w:r>
          </w:p>
        </w:tc>
      </w:tr>
      <w:tr w:rsidR="00D82C16" w:rsidRPr="00EF2562" w14:paraId="22DC5616" w14:textId="77777777" w:rsidTr="003E590E">
        <w:trPr>
          <w:trHeight w:val="466"/>
        </w:trPr>
        <w:tc>
          <w:tcPr>
            <w:tcW w:w="1146" w:type="dxa"/>
            <w:vMerge/>
            <w:hideMark/>
          </w:tcPr>
          <w:p w14:paraId="5D1542CB" w14:textId="77777777" w:rsidR="00D82C16" w:rsidRPr="00EF2562" w:rsidRDefault="00D82C16" w:rsidP="00EF2562">
            <w:pPr>
              <w:rPr>
                <w:b/>
                <w:bCs/>
              </w:rPr>
            </w:pPr>
          </w:p>
        </w:tc>
        <w:tc>
          <w:tcPr>
            <w:tcW w:w="6662" w:type="dxa"/>
          </w:tcPr>
          <w:p w14:paraId="13B03E50" w14:textId="77777777" w:rsidR="00D82C16" w:rsidRPr="00EF2562" w:rsidRDefault="00D82C16" w:rsidP="00320CD3">
            <w:r w:rsidRPr="00EF2562">
              <w:t>Settlement of completed projects from AUC to final AMR</w:t>
            </w:r>
            <w:r w:rsidR="00C34A9D">
              <w:t xml:space="preserve"> </w:t>
            </w:r>
          </w:p>
        </w:tc>
        <w:tc>
          <w:tcPr>
            <w:tcW w:w="1134" w:type="dxa"/>
          </w:tcPr>
          <w:p w14:paraId="6B53515C" w14:textId="77777777" w:rsidR="00D82C16" w:rsidRPr="00EF2562" w:rsidRDefault="001C06D7" w:rsidP="001020A3">
            <w:r>
              <w:t>3</w:t>
            </w:r>
          </w:p>
        </w:tc>
        <w:tc>
          <w:tcPr>
            <w:tcW w:w="1786" w:type="dxa"/>
          </w:tcPr>
          <w:p w14:paraId="76652F81" w14:textId="5440F4F5" w:rsidR="00D82C16" w:rsidRPr="00336A49" w:rsidRDefault="00D82C16" w:rsidP="001020A3">
            <w:pPr>
              <w:rPr>
                <w:vertAlign w:val="superscript"/>
              </w:rPr>
            </w:pPr>
            <w:r>
              <w:t>4</w:t>
            </w:r>
            <w:r w:rsidRPr="00A80004">
              <w:rPr>
                <w:vertAlign w:val="superscript"/>
              </w:rPr>
              <w:t>th</w:t>
            </w:r>
            <w:r>
              <w:t xml:space="preserve"> working day after month-end</w:t>
            </w:r>
            <w:r w:rsidR="00336A49">
              <w:rPr>
                <w:vertAlign w:val="superscript"/>
              </w:rPr>
              <w:t>2</w:t>
            </w:r>
          </w:p>
        </w:tc>
      </w:tr>
      <w:tr w:rsidR="00320CD3" w:rsidRPr="00EF2562" w14:paraId="0FB1BA5A" w14:textId="77777777" w:rsidTr="003E590E">
        <w:trPr>
          <w:trHeight w:val="540"/>
        </w:trPr>
        <w:tc>
          <w:tcPr>
            <w:tcW w:w="1146" w:type="dxa"/>
            <w:vMerge/>
          </w:tcPr>
          <w:p w14:paraId="79DF44F5" w14:textId="77777777" w:rsidR="00320CD3" w:rsidRPr="00EF2562" w:rsidRDefault="00320CD3" w:rsidP="00EF2562">
            <w:pPr>
              <w:rPr>
                <w:b/>
                <w:bCs/>
              </w:rPr>
            </w:pPr>
          </w:p>
        </w:tc>
        <w:tc>
          <w:tcPr>
            <w:tcW w:w="6662" w:type="dxa"/>
          </w:tcPr>
          <w:p w14:paraId="05656956" w14:textId="77777777" w:rsidR="00320CD3" w:rsidRPr="00320CD3" w:rsidRDefault="00320CD3" w:rsidP="00D82C16">
            <w:r>
              <w:t xml:space="preserve">Review reasonableness </w:t>
            </w:r>
            <w:r w:rsidRPr="00320CD3">
              <w:t>and process monthly amortization</w:t>
            </w:r>
          </w:p>
        </w:tc>
        <w:tc>
          <w:tcPr>
            <w:tcW w:w="1134" w:type="dxa"/>
          </w:tcPr>
          <w:p w14:paraId="1E86C550" w14:textId="77777777" w:rsidR="00320CD3" w:rsidRPr="00EF2562" w:rsidRDefault="00320CD3" w:rsidP="00ED2AC6">
            <w:r>
              <w:t>3</w:t>
            </w:r>
          </w:p>
        </w:tc>
        <w:tc>
          <w:tcPr>
            <w:tcW w:w="1786" w:type="dxa"/>
          </w:tcPr>
          <w:p w14:paraId="334C42F7" w14:textId="4DB0C827" w:rsidR="00320CD3" w:rsidRPr="00336A49" w:rsidRDefault="00320CD3" w:rsidP="00ED2AC6">
            <w:pPr>
              <w:rPr>
                <w:vertAlign w:val="superscript"/>
              </w:rPr>
            </w:pPr>
            <w:r>
              <w:t>4</w:t>
            </w:r>
            <w:r w:rsidRPr="00A80004">
              <w:rPr>
                <w:vertAlign w:val="superscript"/>
              </w:rPr>
              <w:t>th</w:t>
            </w:r>
            <w:r>
              <w:t xml:space="preserve"> working day after month-end</w:t>
            </w:r>
            <w:r w:rsidR="00336A49">
              <w:rPr>
                <w:vertAlign w:val="superscript"/>
              </w:rPr>
              <w:t>2</w:t>
            </w:r>
          </w:p>
        </w:tc>
      </w:tr>
      <w:tr w:rsidR="00320CD3" w:rsidRPr="00EF2562" w14:paraId="4AC1D1A8" w14:textId="77777777" w:rsidTr="003E590E">
        <w:trPr>
          <w:trHeight w:val="540"/>
        </w:trPr>
        <w:tc>
          <w:tcPr>
            <w:tcW w:w="1146" w:type="dxa"/>
            <w:vMerge/>
          </w:tcPr>
          <w:p w14:paraId="3046C026" w14:textId="77777777" w:rsidR="00320CD3" w:rsidRPr="00EF2562" w:rsidRDefault="00320CD3" w:rsidP="00EF2562">
            <w:pPr>
              <w:rPr>
                <w:b/>
                <w:bCs/>
              </w:rPr>
            </w:pPr>
          </w:p>
        </w:tc>
        <w:tc>
          <w:tcPr>
            <w:tcW w:w="6662" w:type="dxa"/>
          </w:tcPr>
          <w:p w14:paraId="25464726" w14:textId="77777777" w:rsidR="00320CD3" w:rsidRPr="00EF2562" w:rsidRDefault="00320CD3" w:rsidP="00D82C16">
            <w:r w:rsidRPr="00EF2562">
              <w:t xml:space="preserve">Send </w:t>
            </w:r>
            <w:r>
              <w:t xml:space="preserve">monthly </w:t>
            </w:r>
            <w:r w:rsidRPr="00EF2562">
              <w:t>trial balance to the Receiver General</w:t>
            </w:r>
          </w:p>
        </w:tc>
        <w:tc>
          <w:tcPr>
            <w:tcW w:w="1134" w:type="dxa"/>
          </w:tcPr>
          <w:p w14:paraId="14245260" w14:textId="77777777" w:rsidR="00320CD3" w:rsidRPr="00EF2562" w:rsidRDefault="00320CD3" w:rsidP="001020A3">
            <w:r>
              <w:t>3</w:t>
            </w:r>
          </w:p>
        </w:tc>
        <w:tc>
          <w:tcPr>
            <w:tcW w:w="1786" w:type="dxa"/>
          </w:tcPr>
          <w:p w14:paraId="5078F0FC" w14:textId="11FB6746" w:rsidR="00320CD3" w:rsidRPr="00336A49" w:rsidRDefault="00320CD3" w:rsidP="00D82C16">
            <w:pPr>
              <w:rPr>
                <w:vertAlign w:val="superscript"/>
              </w:rPr>
            </w:pPr>
            <w:r>
              <w:t>5</w:t>
            </w:r>
            <w:r w:rsidRPr="00A80004">
              <w:rPr>
                <w:vertAlign w:val="superscript"/>
              </w:rPr>
              <w:t>th</w:t>
            </w:r>
            <w:r>
              <w:t xml:space="preserve"> working day after month-end</w:t>
            </w:r>
            <w:r w:rsidR="00336A49">
              <w:rPr>
                <w:vertAlign w:val="superscript"/>
              </w:rPr>
              <w:t>3</w:t>
            </w:r>
          </w:p>
        </w:tc>
      </w:tr>
      <w:tr w:rsidR="00320CD3" w:rsidRPr="00EF2562" w14:paraId="5C92BCAE" w14:textId="77777777" w:rsidTr="003E590E">
        <w:trPr>
          <w:trHeight w:val="532"/>
        </w:trPr>
        <w:tc>
          <w:tcPr>
            <w:tcW w:w="1146" w:type="dxa"/>
            <w:vMerge w:val="restart"/>
            <w:hideMark/>
          </w:tcPr>
          <w:p w14:paraId="0894F945" w14:textId="77777777" w:rsidR="00320CD3" w:rsidRDefault="00320CD3" w:rsidP="003E59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P1 to P12</w:t>
            </w:r>
          </w:p>
          <w:p w14:paraId="562B7A5F" w14:textId="77777777" w:rsidR="00320CD3" w:rsidRDefault="00320CD3" w:rsidP="003E59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Other activities</w:t>
            </w:r>
          </w:p>
          <w:p w14:paraId="5D027217" w14:textId="77777777" w:rsidR="00320CD3" w:rsidRPr="00EF2562" w:rsidRDefault="00320CD3" w:rsidP="00EF2562">
            <w:pPr>
              <w:rPr>
                <w:b/>
                <w:bCs/>
              </w:rPr>
            </w:pPr>
            <w:r w:rsidRPr="00EF2562">
              <w:rPr>
                <w:b/>
                <w:bCs/>
              </w:rPr>
              <w:t> </w:t>
            </w:r>
          </w:p>
          <w:p w14:paraId="41DFC58E" w14:textId="77777777" w:rsidR="00320CD3" w:rsidRPr="00EF2562" w:rsidRDefault="00320CD3" w:rsidP="00EF2562">
            <w:pPr>
              <w:rPr>
                <w:b/>
                <w:bCs/>
              </w:rPr>
            </w:pPr>
            <w:r w:rsidRPr="00EF2562">
              <w:rPr>
                <w:b/>
                <w:bCs/>
              </w:rPr>
              <w:t> </w:t>
            </w:r>
          </w:p>
          <w:p w14:paraId="40AAB353" w14:textId="77777777" w:rsidR="00320CD3" w:rsidRPr="00EF2562" w:rsidRDefault="00320CD3" w:rsidP="00EF2562">
            <w:pPr>
              <w:rPr>
                <w:b/>
                <w:bCs/>
              </w:rPr>
            </w:pPr>
            <w:r w:rsidRPr="00EF2562">
              <w:rPr>
                <w:b/>
                <w:bCs/>
              </w:rPr>
              <w:t> </w:t>
            </w:r>
          </w:p>
          <w:p w14:paraId="6FAE4FB7" w14:textId="77777777" w:rsidR="00320CD3" w:rsidRPr="00EF2562" w:rsidRDefault="00320CD3" w:rsidP="00EF2562">
            <w:pPr>
              <w:rPr>
                <w:b/>
                <w:bCs/>
              </w:rPr>
            </w:pPr>
            <w:r w:rsidRPr="00EF2562">
              <w:rPr>
                <w:b/>
                <w:bCs/>
              </w:rPr>
              <w:t> </w:t>
            </w:r>
          </w:p>
        </w:tc>
        <w:tc>
          <w:tcPr>
            <w:tcW w:w="6662" w:type="dxa"/>
          </w:tcPr>
          <w:p w14:paraId="0D351426" w14:textId="77777777" w:rsidR="00320CD3" w:rsidRPr="00EF2562" w:rsidRDefault="00EA498E" w:rsidP="004E0842">
            <w:r>
              <w:t>Perform AUC monitoring activities (e.g</w:t>
            </w:r>
            <w:r w:rsidR="004E0842">
              <w:t>.</w:t>
            </w:r>
            <w:r>
              <w:t xml:space="preserve"> review of unsettled costs, review eligible project costs for proper capitalization in an AUC, review of capitalized costs, high level analysis of large projects, communication with FMAs)</w:t>
            </w:r>
          </w:p>
        </w:tc>
        <w:tc>
          <w:tcPr>
            <w:tcW w:w="1134" w:type="dxa"/>
          </w:tcPr>
          <w:p w14:paraId="4852A23D" w14:textId="77777777" w:rsidR="00320CD3" w:rsidRPr="00EF2562" w:rsidRDefault="00320CD3" w:rsidP="001020A3">
            <w:r>
              <w:t>3</w:t>
            </w:r>
          </w:p>
        </w:tc>
        <w:tc>
          <w:tcPr>
            <w:tcW w:w="1786" w:type="dxa"/>
          </w:tcPr>
          <w:p w14:paraId="2526CCFD" w14:textId="77777777" w:rsidR="00320CD3" w:rsidRDefault="00320CD3" w:rsidP="006F4345">
            <w:r>
              <w:t>Each quarter</w:t>
            </w:r>
          </w:p>
        </w:tc>
      </w:tr>
      <w:tr w:rsidR="00320CD3" w:rsidRPr="00EF2562" w14:paraId="6733C98A" w14:textId="77777777" w:rsidTr="003E590E">
        <w:trPr>
          <w:trHeight w:val="532"/>
        </w:trPr>
        <w:tc>
          <w:tcPr>
            <w:tcW w:w="1146" w:type="dxa"/>
            <w:vMerge/>
          </w:tcPr>
          <w:p w14:paraId="045D56F3" w14:textId="77777777" w:rsidR="00320CD3" w:rsidRDefault="00320CD3" w:rsidP="003E590E">
            <w:pPr>
              <w:jc w:val="center"/>
              <w:rPr>
                <w:b/>
                <w:bCs/>
              </w:rPr>
            </w:pPr>
          </w:p>
        </w:tc>
        <w:tc>
          <w:tcPr>
            <w:tcW w:w="6662" w:type="dxa"/>
          </w:tcPr>
          <w:p w14:paraId="0BDD65CC" w14:textId="77777777" w:rsidR="00320CD3" w:rsidRDefault="00320CD3" w:rsidP="008371B3">
            <w:r>
              <w:t xml:space="preserve">Respond to various queries from Corporate Accounting regarding projects and inform </w:t>
            </w:r>
            <w:r w:rsidR="008371B3">
              <w:t>them of</w:t>
            </w:r>
            <w:r>
              <w:t xml:space="preserve"> any change in status</w:t>
            </w:r>
          </w:p>
        </w:tc>
        <w:tc>
          <w:tcPr>
            <w:tcW w:w="1134" w:type="dxa"/>
          </w:tcPr>
          <w:p w14:paraId="4796FB75" w14:textId="77777777" w:rsidR="00320CD3" w:rsidRDefault="00320CD3" w:rsidP="001020A3">
            <w:r>
              <w:t>1 &amp; 2</w:t>
            </w:r>
          </w:p>
        </w:tc>
        <w:tc>
          <w:tcPr>
            <w:tcW w:w="1786" w:type="dxa"/>
          </w:tcPr>
          <w:p w14:paraId="063981C3" w14:textId="77777777" w:rsidR="00320CD3" w:rsidRDefault="00320CD3" w:rsidP="001020A3">
            <w:r>
              <w:t>Each month</w:t>
            </w:r>
          </w:p>
        </w:tc>
      </w:tr>
      <w:tr w:rsidR="00320CD3" w:rsidRPr="00EF2562" w14:paraId="2F6599B7" w14:textId="77777777" w:rsidTr="003E590E">
        <w:trPr>
          <w:trHeight w:val="532"/>
        </w:trPr>
        <w:tc>
          <w:tcPr>
            <w:tcW w:w="1146" w:type="dxa"/>
            <w:vMerge/>
          </w:tcPr>
          <w:p w14:paraId="48C799B6" w14:textId="77777777" w:rsidR="00320CD3" w:rsidRDefault="00320CD3" w:rsidP="003E590E">
            <w:pPr>
              <w:jc w:val="center"/>
              <w:rPr>
                <w:b/>
                <w:bCs/>
              </w:rPr>
            </w:pPr>
          </w:p>
        </w:tc>
        <w:tc>
          <w:tcPr>
            <w:tcW w:w="6662" w:type="dxa"/>
          </w:tcPr>
          <w:p w14:paraId="2C60A825" w14:textId="77777777" w:rsidR="00320CD3" w:rsidRDefault="00320CD3" w:rsidP="001020A3">
            <w:r>
              <w:t>Review the CE group (capitalized and non-capitalized) and ensure new GL Accounts are associated with the proper CE group</w:t>
            </w:r>
          </w:p>
        </w:tc>
        <w:tc>
          <w:tcPr>
            <w:tcW w:w="1134" w:type="dxa"/>
          </w:tcPr>
          <w:p w14:paraId="131F62CB" w14:textId="77777777" w:rsidR="00320CD3" w:rsidRDefault="00320CD3" w:rsidP="001020A3">
            <w:r>
              <w:t>3</w:t>
            </w:r>
          </w:p>
        </w:tc>
        <w:tc>
          <w:tcPr>
            <w:tcW w:w="1786" w:type="dxa"/>
          </w:tcPr>
          <w:p w14:paraId="361DC6EF" w14:textId="77777777" w:rsidR="00320CD3" w:rsidRDefault="00320CD3" w:rsidP="001020A3">
            <w:r>
              <w:t>Each quarter</w:t>
            </w:r>
          </w:p>
        </w:tc>
      </w:tr>
      <w:tr w:rsidR="00320CD3" w:rsidRPr="00EF2562" w14:paraId="3DAACB14" w14:textId="77777777" w:rsidTr="003E590E">
        <w:trPr>
          <w:trHeight w:val="532"/>
        </w:trPr>
        <w:tc>
          <w:tcPr>
            <w:tcW w:w="1146" w:type="dxa"/>
            <w:vMerge/>
          </w:tcPr>
          <w:p w14:paraId="67C6C19E" w14:textId="77777777" w:rsidR="00320CD3" w:rsidRDefault="00320CD3" w:rsidP="003E590E">
            <w:pPr>
              <w:jc w:val="center"/>
              <w:rPr>
                <w:b/>
                <w:bCs/>
              </w:rPr>
            </w:pPr>
          </w:p>
        </w:tc>
        <w:tc>
          <w:tcPr>
            <w:tcW w:w="6662" w:type="dxa"/>
          </w:tcPr>
          <w:p w14:paraId="4EFEB6D2" w14:textId="77777777" w:rsidR="00320CD3" w:rsidRPr="00EF2562" w:rsidRDefault="00320CD3" w:rsidP="001020A3">
            <w:r>
              <w:t xml:space="preserve">Perform monitoring activities on </w:t>
            </w:r>
            <w:r w:rsidR="008371B3">
              <w:t>relevant GL a</w:t>
            </w:r>
            <w:r>
              <w:t>ccount</w:t>
            </w:r>
            <w:r w:rsidR="008371B3">
              <w:t>s</w:t>
            </w:r>
            <w:r>
              <w:t xml:space="preserve"> to ensure that all purchased capital assets are being properly recorded</w:t>
            </w:r>
          </w:p>
        </w:tc>
        <w:tc>
          <w:tcPr>
            <w:tcW w:w="1134" w:type="dxa"/>
          </w:tcPr>
          <w:p w14:paraId="1CB869C3" w14:textId="77777777" w:rsidR="00320CD3" w:rsidRPr="00EF2562" w:rsidRDefault="00320CD3" w:rsidP="001020A3">
            <w:r>
              <w:t>3</w:t>
            </w:r>
          </w:p>
        </w:tc>
        <w:tc>
          <w:tcPr>
            <w:tcW w:w="1786" w:type="dxa"/>
          </w:tcPr>
          <w:p w14:paraId="69BE1EA7" w14:textId="77777777" w:rsidR="00320CD3" w:rsidRDefault="00320CD3" w:rsidP="001020A3">
            <w:r>
              <w:t>Each quarter</w:t>
            </w:r>
          </w:p>
        </w:tc>
      </w:tr>
      <w:tr w:rsidR="00DD0E58" w:rsidRPr="00EF2562" w14:paraId="0CF724A7" w14:textId="77777777" w:rsidTr="003E590E">
        <w:trPr>
          <w:trHeight w:val="532"/>
        </w:trPr>
        <w:tc>
          <w:tcPr>
            <w:tcW w:w="1146" w:type="dxa"/>
            <w:vMerge/>
          </w:tcPr>
          <w:p w14:paraId="5C3D9302" w14:textId="77777777" w:rsidR="00DD0E58" w:rsidRDefault="00DD0E58" w:rsidP="003E590E">
            <w:pPr>
              <w:jc w:val="center"/>
              <w:rPr>
                <w:b/>
                <w:bCs/>
              </w:rPr>
            </w:pPr>
          </w:p>
        </w:tc>
        <w:tc>
          <w:tcPr>
            <w:tcW w:w="6662" w:type="dxa"/>
          </w:tcPr>
          <w:p w14:paraId="413D9E46" w14:textId="3E81868B" w:rsidR="00DD0E58" w:rsidRPr="00EF2562" w:rsidRDefault="00DD0E58" w:rsidP="001020A3">
            <w:r>
              <w:t>Provide last available PSPC</w:t>
            </w:r>
            <w:r w:rsidRPr="00EF2562">
              <w:t xml:space="preserve"> GC surplus asset disposal listing to Corporate Accounting</w:t>
            </w:r>
          </w:p>
        </w:tc>
        <w:tc>
          <w:tcPr>
            <w:tcW w:w="1134" w:type="dxa"/>
          </w:tcPr>
          <w:p w14:paraId="73EDC881" w14:textId="0A135645" w:rsidR="00DD0E58" w:rsidRPr="00EF2562" w:rsidRDefault="00DD0E58" w:rsidP="001020A3">
            <w:r>
              <w:t>4</w:t>
            </w:r>
          </w:p>
        </w:tc>
        <w:tc>
          <w:tcPr>
            <w:tcW w:w="1786" w:type="dxa"/>
          </w:tcPr>
          <w:p w14:paraId="0431FE58" w14:textId="22E14B64" w:rsidR="00DD0E58" w:rsidRPr="00EF2562" w:rsidRDefault="00DD0E58" w:rsidP="006F4345">
            <w:r>
              <w:t>Each month</w:t>
            </w:r>
          </w:p>
        </w:tc>
      </w:tr>
      <w:tr w:rsidR="00DD0E58" w:rsidRPr="00EF2562" w14:paraId="66AF80C0" w14:textId="77777777" w:rsidTr="001530E5">
        <w:trPr>
          <w:trHeight w:val="529"/>
        </w:trPr>
        <w:tc>
          <w:tcPr>
            <w:tcW w:w="1146" w:type="dxa"/>
            <w:vMerge/>
            <w:hideMark/>
          </w:tcPr>
          <w:p w14:paraId="0045D45E" w14:textId="77777777" w:rsidR="00DD0E58" w:rsidRPr="00EF2562" w:rsidRDefault="00DD0E58" w:rsidP="00EF2562">
            <w:pPr>
              <w:rPr>
                <w:b/>
                <w:bCs/>
              </w:rPr>
            </w:pPr>
          </w:p>
        </w:tc>
        <w:tc>
          <w:tcPr>
            <w:tcW w:w="6662" w:type="dxa"/>
            <w:hideMark/>
          </w:tcPr>
          <w:p w14:paraId="11F0C862" w14:textId="21425308" w:rsidR="00DD0E58" w:rsidRPr="00EF2562" w:rsidRDefault="00DD0E58">
            <w:r w:rsidRPr="00EF2562">
              <w:t xml:space="preserve">Ensure </w:t>
            </w:r>
            <w:r w:rsidR="00F13DD1">
              <w:t xml:space="preserve">asset </w:t>
            </w:r>
            <w:r w:rsidRPr="00EF2562">
              <w:t xml:space="preserve">disposal information is accurate and updated in </w:t>
            </w:r>
            <w:proofErr w:type="spellStart"/>
            <w:r>
              <w:t>m</w:t>
            </w:r>
            <w:r w:rsidRPr="00EF2562">
              <w:t>yEMS</w:t>
            </w:r>
            <w:proofErr w:type="spellEnd"/>
          </w:p>
        </w:tc>
        <w:tc>
          <w:tcPr>
            <w:tcW w:w="1134" w:type="dxa"/>
            <w:hideMark/>
          </w:tcPr>
          <w:p w14:paraId="5D440DDA" w14:textId="19306D34" w:rsidR="00DD0E58" w:rsidRPr="00EF2562" w:rsidRDefault="00DD0E58" w:rsidP="00EF2562">
            <w:r>
              <w:t>6</w:t>
            </w:r>
          </w:p>
        </w:tc>
        <w:tc>
          <w:tcPr>
            <w:tcW w:w="1786" w:type="dxa"/>
            <w:hideMark/>
          </w:tcPr>
          <w:p w14:paraId="16D43986" w14:textId="580F93B0" w:rsidR="00DD0E58" w:rsidRPr="00EF2562" w:rsidRDefault="00DD0E58">
            <w:r>
              <w:t>Each month</w:t>
            </w:r>
          </w:p>
        </w:tc>
      </w:tr>
      <w:tr w:rsidR="00DD0E58" w:rsidRPr="00EF2562" w14:paraId="085F2870" w14:textId="77777777" w:rsidTr="001530E5">
        <w:trPr>
          <w:trHeight w:val="315"/>
        </w:trPr>
        <w:tc>
          <w:tcPr>
            <w:tcW w:w="1146" w:type="dxa"/>
            <w:vMerge/>
            <w:hideMark/>
          </w:tcPr>
          <w:p w14:paraId="75EB32FE" w14:textId="77777777" w:rsidR="00DD0E58" w:rsidRPr="00EF2562" w:rsidRDefault="00DD0E58" w:rsidP="00EF2562">
            <w:pPr>
              <w:rPr>
                <w:b/>
                <w:bCs/>
              </w:rPr>
            </w:pPr>
          </w:p>
        </w:tc>
        <w:tc>
          <w:tcPr>
            <w:tcW w:w="6662" w:type="dxa"/>
            <w:hideMark/>
          </w:tcPr>
          <w:p w14:paraId="5B103408" w14:textId="1E0EA808" w:rsidR="00DD0E58" w:rsidRPr="00EF2562" w:rsidRDefault="00DD0E58" w:rsidP="007204F3">
            <w:r w:rsidRPr="00EF2562">
              <w:t>If required, process post-capitalization, i.e. create manual AMR and obtain supporting documentation</w:t>
            </w:r>
          </w:p>
        </w:tc>
        <w:tc>
          <w:tcPr>
            <w:tcW w:w="1134" w:type="dxa"/>
            <w:hideMark/>
          </w:tcPr>
          <w:p w14:paraId="17A8F731" w14:textId="47598349" w:rsidR="00DD0E58" w:rsidRPr="00EF2562" w:rsidRDefault="00DD0E58" w:rsidP="00EF2562">
            <w:r>
              <w:t>3</w:t>
            </w:r>
          </w:p>
        </w:tc>
        <w:tc>
          <w:tcPr>
            <w:tcW w:w="1786" w:type="dxa"/>
            <w:hideMark/>
          </w:tcPr>
          <w:p w14:paraId="481FD5F0" w14:textId="519A6507" w:rsidR="00DD0E58" w:rsidRPr="00EF2562" w:rsidRDefault="00DD0E58">
            <w:r>
              <w:t>Each month</w:t>
            </w:r>
          </w:p>
        </w:tc>
      </w:tr>
      <w:tr w:rsidR="00DD0E58" w:rsidRPr="00EF2562" w14:paraId="1ADAF577" w14:textId="77777777" w:rsidTr="00F13DD1">
        <w:trPr>
          <w:trHeight w:val="373"/>
        </w:trPr>
        <w:tc>
          <w:tcPr>
            <w:tcW w:w="1146" w:type="dxa"/>
            <w:vMerge/>
            <w:hideMark/>
          </w:tcPr>
          <w:p w14:paraId="459F18C5" w14:textId="77777777" w:rsidR="00DD0E58" w:rsidRPr="00EF2562" w:rsidRDefault="00DD0E58" w:rsidP="00EF2562">
            <w:pPr>
              <w:rPr>
                <w:b/>
                <w:bCs/>
              </w:rPr>
            </w:pPr>
          </w:p>
        </w:tc>
        <w:tc>
          <w:tcPr>
            <w:tcW w:w="6662" w:type="dxa"/>
            <w:hideMark/>
          </w:tcPr>
          <w:p w14:paraId="03860D5E" w14:textId="6789AE1E" w:rsidR="00DD0E58" w:rsidRPr="00EF2562" w:rsidRDefault="00DD0E58">
            <w:r w:rsidRPr="00EF2562">
              <w:t xml:space="preserve">Complete disposal transactions in </w:t>
            </w:r>
            <w:proofErr w:type="spellStart"/>
            <w:r w:rsidRPr="00EF2562">
              <w:t>myEMS</w:t>
            </w:r>
            <w:proofErr w:type="spellEnd"/>
          </w:p>
        </w:tc>
        <w:tc>
          <w:tcPr>
            <w:tcW w:w="1134" w:type="dxa"/>
            <w:hideMark/>
          </w:tcPr>
          <w:p w14:paraId="48BB93C8" w14:textId="4AC18488" w:rsidR="00DD0E58" w:rsidRPr="00EF2562" w:rsidRDefault="00DD0E58" w:rsidP="00EF2562">
            <w:r>
              <w:t>3</w:t>
            </w:r>
          </w:p>
        </w:tc>
        <w:tc>
          <w:tcPr>
            <w:tcW w:w="1786" w:type="dxa"/>
            <w:hideMark/>
          </w:tcPr>
          <w:p w14:paraId="5F21482E" w14:textId="730A01A4" w:rsidR="00DD0E58" w:rsidRPr="00EF2562" w:rsidRDefault="00DD0E58">
            <w:r>
              <w:t>Each month</w:t>
            </w:r>
          </w:p>
        </w:tc>
      </w:tr>
      <w:tr w:rsidR="00DD0E58" w:rsidRPr="00EF2562" w14:paraId="43A6F3EC" w14:textId="77777777" w:rsidTr="00DB3E9F">
        <w:trPr>
          <w:trHeight w:val="315"/>
        </w:trPr>
        <w:tc>
          <w:tcPr>
            <w:tcW w:w="1146" w:type="dxa"/>
            <w:vMerge/>
            <w:hideMark/>
          </w:tcPr>
          <w:p w14:paraId="5D078728" w14:textId="77777777" w:rsidR="00DD0E58" w:rsidRPr="00EF2562" w:rsidRDefault="00DD0E58" w:rsidP="00EF2562">
            <w:pPr>
              <w:rPr>
                <w:b/>
                <w:bCs/>
              </w:rPr>
            </w:pPr>
          </w:p>
        </w:tc>
        <w:tc>
          <w:tcPr>
            <w:tcW w:w="6662" w:type="dxa"/>
            <w:hideMark/>
          </w:tcPr>
          <w:p w14:paraId="04D8FAD4" w14:textId="7D0A9F21" w:rsidR="00DD0E58" w:rsidRPr="00EF2562" w:rsidRDefault="00DD0E58" w:rsidP="007204F3">
            <w:r w:rsidRPr="00EF2562">
              <w:t xml:space="preserve">Ensure </w:t>
            </w:r>
            <w:r>
              <w:t>a</w:t>
            </w:r>
            <w:r w:rsidRPr="00EF2562">
              <w:t>uthority A131 is properly adjusted</w:t>
            </w:r>
          </w:p>
        </w:tc>
        <w:tc>
          <w:tcPr>
            <w:tcW w:w="1134" w:type="dxa"/>
            <w:hideMark/>
          </w:tcPr>
          <w:p w14:paraId="131B3CB5" w14:textId="3E649FF6" w:rsidR="00DD0E58" w:rsidRPr="00EF2562" w:rsidRDefault="00DD0E58" w:rsidP="00EF2562">
            <w:r>
              <w:t>7</w:t>
            </w:r>
          </w:p>
        </w:tc>
        <w:tc>
          <w:tcPr>
            <w:tcW w:w="1786" w:type="dxa"/>
            <w:hideMark/>
          </w:tcPr>
          <w:p w14:paraId="16F4AD3E" w14:textId="45222FE2" w:rsidR="00DD0E58" w:rsidRPr="00EF2562" w:rsidRDefault="00DD0E58">
            <w:r>
              <w:t>Each month</w:t>
            </w:r>
          </w:p>
        </w:tc>
      </w:tr>
      <w:tr w:rsidR="00DD0E58" w:rsidRPr="00EF2562" w14:paraId="3F2C4BC8" w14:textId="77777777" w:rsidTr="00DB3E9F">
        <w:trPr>
          <w:trHeight w:val="315"/>
        </w:trPr>
        <w:tc>
          <w:tcPr>
            <w:tcW w:w="1146" w:type="dxa"/>
            <w:vMerge/>
          </w:tcPr>
          <w:p w14:paraId="76E87AC0" w14:textId="77777777" w:rsidR="00DD0E58" w:rsidRPr="00EF2562" w:rsidRDefault="00DD0E58" w:rsidP="00EF2562">
            <w:pPr>
              <w:rPr>
                <w:b/>
                <w:bCs/>
              </w:rPr>
            </w:pPr>
          </w:p>
        </w:tc>
        <w:tc>
          <w:tcPr>
            <w:tcW w:w="6662" w:type="dxa"/>
          </w:tcPr>
          <w:p w14:paraId="4FBA05AB" w14:textId="7EB53E8A" w:rsidR="00DD0E58" w:rsidRPr="00EF2562" w:rsidRDefault="00DD0E58" w:rsidP="00372798">
            <w:r>
              <w:t>Communication strategy with FMAs and other stakeholders (send emails when needed and send checklist with final deadline before YE)</w:t>
            </w:r>
          </w:p>
        </w:tc>
        <w:tc>
          <w:tcPr>
            <w:tcW w:w="1134" w:type="dxa"/>
          </w:tcPr>
          <w:p w14:paraId="2E785CF2" w14:textId="038B3593" w:rsidR="00DD0E58" w:rsidRPr="00EF2562" w:rsidRDefault="00DD0E58" w:rsidP="001020A3">
            <w:r>
              <w:t>3</w:t>
            </w:r>
          </w:p>
        </w:tc>
        <w:tc>
          <w:tcPr>
            <w:tcW w:w="1786" w:type="dxa"/>
          </w:tcPr>
          <w:p w14:paraId="5A927200" w14:textId="3A6DBA89" w:rsidR="00DD0E58" w:rsidRPr="00EF2562" w:rsidRDefault="00DD0E58" w:rsidP="001020A3">
            <w:r>
              <w:t>When needed</w:t>
            </w:r>
          </w:p>
        </w:tc>
      </w:tr>
    </w:tbl>
    <w:p w14:paraId="3450BA1A" w14:textId="77777777" w:rsidR="00336A49" w:rsidRDefault="00336A49"/>
    <w:p w14:paraId="2C288182" w14:textId="59B86F04" w:rsidR="00336A49" w:rsidRDefault="00336A49">
      <w:r>
        <w:rPr>
          <w:vertAlign w:val="superscript"/>
        </w:rPr>
        <w:t>1</w:t>
      </w:r>
      <w:r>
        <w:t xml:space="preserve">Due to </w:t>
      </w:r>
      <w:proofErr w:type="spellStart"/>
      <w:r>
        <w:t>myEMS</w:t>
      </w:r>
      <w:proofErr w:type="spellEnd"/>
      <w:r>
        <w:t xml:space="preserve"> downtime for PSCD implementation (April 1 to April 5), the P12 deadline is </w:t>
      </w:r>
      <w:r w:rsidRPr="00336A49">
        <w:rPr>
          <w:b/>
        </w:rPr>
        <w:t>April 8</w:t>
      </w:r>
      <w:r>
        <w:t>.</w:t>
      </w:r>
    </w:p>
    <w:p w14:paraId="7D7E81FA" w14:textId="29534058" w:rsidR="00336A49" w:rsidRDefault="00336A49">
      <w:r>
        <w:rPr>
          <w:vertAlign w:val="superscript"/>
        </w:rPr>
        <w:t>2</w:t>
      </w:r>
      <w:r>
        <w:t xml:space="preserve">Due to </w:t>
      </w:r>
      <w:proofErr w:type="spellStart"/>
      <w:r>
        <w:t>myEMS</w:t>
      </w:r>
      <w:proofErr w:type="spellEnd"/>
      <w:r>
        <w:t xml:space="preserve"> downtime for PSCB implementation (April 1 to April 5), the P12 deadline is </w:t>
      </w:r>
      <w:r w:rsidRPr="00336A49">
        <w:rPr>
          <w:b/>
        </w:rPr>
        <w:t>April 12</w:t>
      </w:r>
      <w:r>
        <w:t>.</w:t>
      </w:r>
      <w:bookmarkStart w:id="0" w:name="_GoBack"/>
      <w:bookmarkEnd w:id="0"/>
    </w:p>
    <w:p w14:paraId="79D8405D" w14:textId="08F430AF" w:rsidR="00336A49" w:rsidRPr="00336A49" w:rsidRDefault="00336A49">
      <w:r>
        <w:rPr>
          <w:vertAlign w:val="superscript"/>
        </w:rPr>
        <w:t>3</w:t>
      </w:r>
      <w:r>
        <w:t xml:space="preserve">Due to </w:t>
      </w:r>
      <w:proofErr w:type="spellStart"/>
      <w:r>
        <w:t>myEMS</w:t>
      </w:r>
      <w:proofErr w:type="spellEnd"/>
      <w:r>
        <w:t xml:space="preserve"> downtime for PSCB implementation (April 1 to April 5), the P12 deadline is </w:t>
      </w:r>
      <w:r>
        <w:rPr>
          <w:b/>
        </w:rPr>
        <w:t>April 13</w:t>
      </w:r>
      <w:r>
        <w:t>.</w:t>
      </w:r>
    </w:p>
    <w:p w14:paraId="578EFF9E" w14:textId="71AA4511" w:rsidR="00F259C4" w:rsidRDefault="00F259C4">
      <w:r>
        <w:br w:type="page"/>
      </w:r>
    </w:p>
    <w:tbl>
      <w:tblPr>
        <w:tblStyle w:val="TableGrid"/>
        <w:tblW w:w="10644" w:type="dxa"/>
        <w:tblInd w:w="-612" w:type="dxa"/>
        <w:tblLayout w:type="fixed"/>
        <w:tblLook w:val="04A0" w:firstRow="1" w:lastRow="0" w:firstColumn="1" w:lastColumn="0" w:noHBand="0" w:noVBand="1"/>
      </w:tblPr>
      <w:tblGrid>
        <w:gridCol w:w="953"/>
        <w:gridCol w:w="7417"/>
        <w:gridCol w:w="1170"/>
        <w:gridCol w:w="1104"/>
      </w:tblGrid>
      <w:tr w:rsidR="00A868E6" w:rsidRPr="00EF2562" w14:paraId="418D6E34" w14:textId="77777777" w:rsidTr="00372798">
        <w:trPr>
          <w:trHeight w:val="525"/>
        </w:trPr>
        <w:tc>
          <w:tcPr>
            <w:tcW w:w="953" w:type="dxa"/>
            <w:tcBorders>
              <w:top w:val="single" w:sz="4" w:space="0" w:color="auto"/>
            </w:tcBorders>
            <w:shd w:val="clear" w:color="auto" w:fill="BFBFBF" w:themeFill="background1" w:themeFillShade="BF"/>
            <w:hideMark/>
          </w:tcPr>
          <w:p w14:paraId="23F12931" w14:textId="77777777" w:rsidR="00A868E6" w:rsidRPr="00EF2562" w:rsidRDefault="00A868E6" w:rsidP="005C15FD">
            <w:pPr>
              <w:jc w:val="center"/>
              <w:rPr>
                <w:b/>
                <w:bCs/>
              </w:rPr>
            </w:pPr>
            <w:r w:rsidRPr="00EF2562">
              <w:rPr>
                <w:b/>
                <w:bCs/>
              </w:rPr>
              <w:lastRenderedPageBreak/>
              <w:t>Period</w:t>
            </w:r>
          </w:p>
        </w:tc>
        <w:tc>
          <w:tcPr>
            <w:tcW w:w="7417" w:type="dxa"/>
            <w:tcBorders>
              <w:top w:val="single" w:sz="4" w:space="0" w:color="auto"/>
            </w:tcBorders>
            <w:shd w:val="clear" w:color="auto" w:fill="BFBFBF" w:themeFill="background1" w:themeFillShade="BF"/>
            <w:hideMark/>
          </w:tcPr>
          <w:p w14:paraId="75C5F9A4" w14:textId="77777777" w:rsidR="00A868E6" w:rsidRPr="00EF2562" w:rsidRDefault="00FD1F4C" w:rsidP="005C15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Task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shd w:val="clear" w:color="auto" w:fill="BFBFBF" w:themeFill="background1" w:themeFillShade="BF"/>
            <w:hideMark/>
          </w:tcPr>
          <w:p w14:paraId="4706F54D" w14:textId="77777777" w:rsidR="00A868E6" w:rsidRPr="00EF2562" w:rsidRDefault="00A868E6" w:rsidP="005C15FD">
            <w:pPr>
              <w:jc w:val="center"/>
              <w:rPr>
                <w:b/>
                <w:bCs/>
              </w:rPr>
            </w:pPr>
            <w:r w:rsidRPr="00EF2562">
              <w:rPr>
                <w:b/>
                <w:bCs/>
              </w:rPr>
              <w:t>Teams involved</w:t>
            </w:r>
          </w:p>
        </w:tc>
        <w:tc>
          <w:tcPr>
            <w:tcW w:w="1104" w:type="dxa"/>
            <w:tcBorders>
              <w:top w:val="single" w:sz="4" w:space="0" w:color="auto"/>
            </w:tcBorders>
            <w:shd w:val="clear" w:color="auto" w:fill="BFBFBF" w:themeFill="background1" w:themeFillShade="BF"/>
            <w:hideMark/>
          </w:tcPr>
          <w:p w14:paraId="70FD5406" w14:textId="77777777" w:rsidR="00A868E6" w:rsidRPr="00EF2562" w:rsidRDefault="00BB5413" w:rsidP="005C15FD">
            <w:pPr>
              <w:rPr>
                <w:b/>
                <w:bCs/>
              </w:rPr>
            </w:pPr>
            <w:r>
              <w:rPr>
                <w:b/>
                <w:bCs/>
              </w:rPr>
              <w:t>Deadline</w:t>
            </w:r>
          </w:p>
        </w:tc>
      </w:tr>
      <w:tr w:rsidR="000E14F4" w:rsidRPr="00AE0241" w14:paraId="11A74C92" w14:textId="77777777" w:rsidTr="004E0842">
        <w:trPr>
          <w:trHeight w:val="438"/>
        </w:trPr>
        <w:tc>
          <w:tcPr>
            <w:tcW w:w="953" w:type="dxa"/>
            <w:vMerge w:val="restart"/>
            <w:tcBorders>
              <w:top w:val="nil"/>
            </w:tcBorders>
            <w:noWrap/>
          </w:tcPr>
          <w:p w14:paraId="24191B2E" w14:textId="77777777" w:rsidR="000E14F4" w:rsidRDefault="000E14F4" w:rsidP="00EF2562">
            <w:pPr>
              <w:rPr>
                <w:b/>
                <w:bCs/>
              </w:rPr>
            </w:pPr>
            <w:r w:rsidRPr="00AE0241">
              <w:rPr>
                <w:b/>
                <w:bCs/>
              </w:rPr>
              <w:t>P12-1</w:t>
            </w:r>
          </w:p>
          <w:p w14:paraId="69C99CD3" w14:textId="73777976" w:rsidR="00E31D1F" w:rsidRPr="00AE0241" w:rsidRDefault="00E31D1F" w:rsidP="00EF2562">
            <w:pPr>
              <w:rPr>
                <w:b/>
                <w:bCs/>
              </w:rPr>
            </w:pPr>
            <w:r>
              <w:rPr>
                <w:b/>
                <w:bCs/>
              </w:rPr>
              <w:t>(P13)</w:t>
            </w:r>
          </w:p>
        </w:tc>
        <w:tc>
          <w:tcPr>
            <w:tcW w:w="7417" w:type="dxa"/>
          </w:tcPr>
          <w:p w14:paraId="769245FB" w14:textId="77777777" w:rsidR="000E14F4" w:rsidRPr="00AE0241" w:rsidRDefault="000E14F4" w:rsidP="001020A3">
            <w:r w:rsidRPr="00AE0241">
              <w:t>Ensure all P1-P12 requirements have been completed and/or updated for P12-1 changes</w:t>
            </w:r>
          </w:p>
        </w:tc>
        <w:tc>
          <w:tcPr>
            <w:tcW w:w="1170" w:type="dxa"/>
          </w:tcPr>
          <w:p w14:paraId="6493ADA2" w14:textId="77777777" w:rsidR="000E14F4" w:rsidRPr="00AE0241" w:rsidRDefault="000E14F4" w:rsidP="001020A3">
            <w:r w:rsidRPr="00AE0241">
              <w:t>All</w:t>
            </w:r>
          </w:p>
        </w:tc>
        <w:tc>
          <w:tcPr>
            <w:tcW w:w="1104" w:type="dxa"/>
          </w:tcPr>
          <w:p w14:paraId="10791F02" w14:textId="746976FB" w:rsidR="000E14F4" w:rsidRPr="00AE0241" w:rsidRDefault="00E31D1F" w:rsidP="007C244A">
            <w:r>
              <w:t>April 21</w:t>
            </w:r>
          </w:p>
        </w:tc>
      </w:tr>
      <w:tr w:rsidR="000E14F4" w:rsidRPr="00EF2562" w14:paraId="7F100BED" w14:textId="77777777" w:rsidTr="00AF0EA5">
        <w:trPr>
          <w:trHeight w:val="630"/>
        </w:trPr>
        <w:tc>
          <w:tcPr>
            <w:tcW w:w="953" w:type="dxa"/>
            <w:vMerge/>
            <w:noWrap/>
          </w:tcPr>
          <w:p w14:paraId="5A314365" w14:textId="77777777" w:rsidR="000E14F4" w:rsidRPr="00EF2562" w:rsidRDefault="000E14F4" w:rsidP="00EF2562">
            <w:pPr>
              <w:rPr>
                <w:b/>
                <w:bCs/>
              </w:rPr>
            </w:pPr>
          </w:p>
        </w:tc>
        <w:tc>
          <w:tcPr>
            <w:tcW w:w="7417" w:type="dxa"/>
          </w:tcPr>
          <w:p w14:paraId="2EF36909" w14:textId="44CF4901" w:rsidR="000E14F4" w:rsidRPr="00EF2562" w:rsidRDefault="00DD0E58" w:rsidP="00FF06A7">
            <w:r>
              <w:t>Ensure all final 2020-21</w:t>
            </w:r>
            <w:r w:rsidR="000E14F4" w:rsidRPr="00EF2562">
              <w:t xml:space="preserve"> salary costs, timesheets (CATS for IITB employees and JV</w:t>
            </w:r>
            <w:r w:rsidR="000E14F4">
              <w:t>s</w:t>
            </w:r>
            <w:r w:rsidR="000E14F4" w:rsidRPr="00EF2562">
              <w:t xml:space="preserve"> for non-IITB) and non-salary costs </w:t>
            </w:r>
            <w:proofErr w:type="gramStart"/>
            <w:r w:rsidR="000E14F4" w:rsidRPr="00EF2562">
              <w:t>are captured</w:t>
            </w:r>
            <w:proofErr w:type="gramEnd"/>
            <w:r w:rsidR="000E14F4" w:rsidRPr="00EF2562">
              <w:t xml:space="preserve"> in the appropriate IOs/WBS. </w:t>
            </w:r>
            <w:r w:rsidR="000E14F4" w:rsidRPr="00A868E6">
              <w:rPr>
                <w:u w:val="single"/>
              </w:rPr>
              <w:t>This m</w:t>
            </w:r>
            <w:r w:rsidR="000E14F4">
              <w:rPr>
                <w:u w:val="single"/>
              </w:rPr>
              <w:t>ust include all relevant PAYE's and final project costs realignment</w:t>
            </w:r>
          </w:p>
        </w:tc>
        <w:tc>
          <w:tcPr>
            <w:tcW w:w="1170" w:type="dxa"/>
          </w:tcPr>
          <w:p w14:paraId="4B1154F6" w14:textId="77777777" w:rsidR="000E14F4" w:rsidRPr="00EF2562" w:rsidRDefault="000E14F4" w:rsidP="001020A3">
            <w:r w:rsidRPr="00EF2562">
              <w:t>1</w:t>
            </w:r>
            <w:r>
              <w:t xml:space="preserve"> &amp;</w:t>
            </w:r>
            <w:r w:rsidRPr="00EF2562">
              <w:t xml:space="preserve"> </w:t>
            </w:r>
            <w:r>
              <w:t>2</w:t>
            </w:r>
          </w:p>
        </w:tc>
        <w:tc>
          <w:tcPr>
            <w:tcW w:w="1104" w:type="dxa"/>
          </w:tcPr>
          <w:p w14:paraId="5C6F7707" w14:textId="33B7A574" w:rsidR="00EC346C" w:rsidRDefault="00EC346C" w:rsidP="001570BE">
            <w:r>
              <w:t>April 12</w:t>
            </w:r>
            <w:r w:rsidR="00382F14">
              <w:rPr>
                <w:vertAlign w:val="superscript"/>
              </w:rPr>
              <w:t>4</w:t>
            </w:r>
            <w:r w:rsidRPr="005E5990">
              <w:rPr>
                <w:vertAlign w:val="superscript"/>
              </w:rPr>
              <w:t xml:space="preserve"> </w:t>
            </w:r>
            <w:r>
              <w:t xml:space="preserve">or </w:t>
            </w:r>
          </w:p>
          <w:p w14:paraId="3EE8ABB5" w14:textId="0D20B9CE" w:rsidR="000E14F4" w:rsidRPr="00EF2562" w:rsidRDefault="00EC346C" w:rsidP="001570BE">
            <w:r>
              <w:t>April 21</w:t>
            </w:r>
            <w:r w:rsidR="00382F14">
              <w:rPr>
                <w:vertAlign w:val="superscript"/>
              </w:rPr>
              <w:t>5</w:t>
            </w:r>
          </w:p>
        </w:tc>
      </w:tr>
      <w:tr w:rsidR="000E14F4" w:rsidRPr="00EF2562" w14:paraId="586C8A3D" w14:textId="77777777" w:rsidTr="001C06D7">
        <w:trPr>
          <w:trHeight w:val="529"/>
        </w:trPr>
        <w:tc>
          <w:tcPr>
            <w:tcW w:w="953" w:type="dxa"/>
            <w:vMerge/>
            <w:noWrap/>
          </w:tcPr>
          <w:p w14:paraId="25A686C0" w14:textId="77777777" w:rsidR="000E14F4" w:rsidRPr="00EF2562" w:rsidRDefault="000E14F4" w:rsidP="00EF2562">
            <w:pPr>
              <w:rPr>
                <w:b/>
                <w:bCs/>
              </w:rPr>
            </w:pPr>
          </w:p>
        </w:tc>
        <w:tc>
          <w:tcPr>
            <w:tcW w:w="7417" w:type="dxa"/>
          </w:tcPr>
          <w:p w14:paraId="008C2CC6" w14:textId="77777777" w:rsidR="000E14F4" w:rsidRPr="00361CF5" w:rsidRDefault="00AE0241" w:rsidP="00176CA0">
            <w:pPr>
              <w:rPr>
                <w:highlight w:val="yellow"/>
              </w:rPr>
            </w:pPr>
            <w:r w:rsidRPr="00742774">
              <w:t>Provide P</w:t>
            </w:r>
            <w:r w:rsidR="000E14F4" w:rsidRPr="00742774">
              <w:t>S</w:t>
            </w:r>
            <w:r w:rsidRPr="00742774">
              <w:t>P</w:t>
            </w:r>
            <w:r w:rsidR="000E14F4" w:rsidRPr="00742774">
              <w:t>C GC surplus final asset disposal listing (including March transactions</w:t>
            </w:r>
            <w:r w:rsidR="00176CA0" w:rsidRPr="00742774">
              <w:t xml:space="preserve"> and </w:t>
            </w:r>
            <w:r w:rsidR="000E14F4" w:rsidRPr="00742774">
              <w:t>RAYE</w:t>
            </w:r>
            <w:r w:rsidR="00176CA0" w:rsidRPr="00742774">
              <w:t>’s</w:t>
            </w:r>
            <w:r w:rsidR="000E14F4" w:rsidRPr="00742774">
              <w:t>) to Corporate Accounting</w:t>
            </w:r>
          </w:p>
        </w:tc>
        <w:tc>
          <w:tcPr>
            <w:tcW w:w="1170" w:type="dxa"/>
          </w:tcPr>
          <w:p w14:paraId="1C9E642D" w14:textId="77777777" w:rsidR="000E14F4" w:rsidRPr="00EF2562" w:rsidRDefault="000E14F4" w:rsidP="00375FF8">
            <w:r>
              <w:t>4</w:t>
            </w:r>
          </w:p>
        </w:tc>
        <w:tc>
          <w:tcPr>
            <w:tcW w:w="1104" w:type="dxa"/>
          </w:tcPr>
          <w:p w14:paraId="0375C754" w14:textId="13FDD995" w:rsidR="000E14F4" w:rsidRPr="00EF2562" w:rsidRDefault="00EC346C" w:rsidP="00574F60">
            <w:r>
              <w:t>April 13</w:t>
            </w:r>
          </w:p>
        </w:tc>
      </w:tr>
      <w:tr w:rsidR="000E14F4" w:rsidRPr="00EF2562" w14:paraId="6644132E" w14:textId="77777777" w:rsidTr="001C06D7">
        <w:trPr>
          <w:trHeight w:val="467"/>
        </w:trPr>
        <w:tc>
          <w:tcPr>
            <w:tcW w:w="953" w:type="dxa"/>
            <w:vMerge/>
            <w:noWrap/>
          </w:tcPr>
          <w:p w14:paraId="57002881" w14:textId="77777777" w:rsidR="000E14F4" w:rsidRPr="00EF2562" w:rsidRDefault="000E14F4" w:rsidP="00EF2562">
            <w:pPr>
              <w:rPr>
                <w:b/>
                <w:bCs/>
              </w:rPr>
            </w:pPr>
          </w:p>
        </w:tc>
        <w:tc>
          <w:tcPr>
            <w:tcW w:w="7417" w:type="dxa"/>
          </w:tcPr>
          <w:p w14:paraId="3C1EB308" w14:textId="77777777" w:rsidR="000E14F4" w:rsidRPr="00EF2562" w:rsidRDefault="008D3F33" w:rsidP="008D3F33">
            <w:r>
              <w:t>If required, r</w:t>
            </w:r>
            <w:r w:rsidR="000E14F4">
              <w:t xml:space="preserve">ecord manual RAYE (YA Doc) for Proceeds of Sale </w:t>
            </w:r>
            <w:r w:rsidR="00AE0241">
              <w:t>(Creditor Recipient IS from PSP</w:t>
            </w:r>
            <w:r w:rsidR="000E14F4">
              <w:t>C in NY)</w:t>
            </w:r>
          </w:p>
        </w:tc>
        <w:tc>
          <w:tcPr>
            <w:tcW w:w="1170" w:type="dxa"/>
          </w:tcPr>
          <w:p w14:paraId="00C70F67" w14:textId="77777777" w:rsidR="000E14F4" w:rsidRPr="00EF2562" w:rsidRDefault="000E14F4" w:rsidP="00EF2562">
            <w:r>
              <w:t>3</w:t>
            </w:r>
          </w:p>
        </w:tc>
        <w:tc>
          <w:tcPr>
            <w:tcW w:w="1104" w:type="dxa"/>
          </w:tcPr>
          <w:p w14:paraId="6FA69F8F" w14:textId="5453CB50" w:rsidR="000E14F4" w:rsidRPr="00EF2562" w:rsidRDefault="00EC346C" w:rsidP="00574F60">
            <w:r>
              <w:t>April 27</w:t>
            </w:r>
          </w:p>
        </w:tc>
      </w:tr>
      <w:tr w:rsidR="005A577B" w:rsidRPr="00EF2562" w14:paraId="51B1F5BA" w14:textId="77777777" w:rsidTr="00A91D96">
        <w:trPr>
          <w:trHeight w:val="427"/>
        </w:trPr>
        <w:tc>
          <w:tcPr>
            <w:tcW w:w="953" w:type="dxa"/>
            <w:vMerge/>
            <w:noWrap/>
          </w:tcPr>
          <w:p w14:paraId="5CA0B62F" w14:textId="77777777" w:rsidR="005A577B" w:rsidRPr="00EF2562" w:rsidRDefault="005A577B" w:rsidP="00EF2562">
            <w:pPr>
              <w:rPr>
                <w:b/>
                <w:bCs/>
              </w:rPr>
            </w:pPr>
          </w:p>
        </w:tc>
        <w:tc>
          <w:tcPr>
            <w:tcW w:w="7417" w:type="dxa"/>
          </w:tcPr>
          <w:p w14:paraId="1C7A0730" w14:textId="77777777" w:rsidR="005A577B" w:rsidRPr="00EF2562" w:rsidRDefault="005A577B" w:rsidP="00E275F7">
            <w:r w:rsidRPr="00EF2562">
              <w:t>Establish final settlement rules for all projects</w:t>
            </w:r>
            <w:r>
              <w:t xml:space="preserve"> and if required, </w:t>
            </w:r>
            <w:r w:rsidRPr="00EF2562">
              <w:t>establish final manual settlements for specific projects</w:t>
            </w:r>
          </w:p>
        </w:tc>
        <w:tc>
          <w:tcPr>
            <w:tcW w:w="1170" w:type="dxa"/>
          </w:tcPr>
          <w:p w14:paraId="10727550" w14:textId="77777777" w:rsidR="005A577B" w:rsidRPr="00EF2562" w:rsidRDefault="005A577B" w:rsidP="00E275F7">
            <w:r w:rsidRPr="00EF2562">
              <w:t>1</w:t>
            </w:r>
            <w:r>
              <w:t xml:space="preserve"> &amp;</w:t>
            </w:r>
            <w:r w:rsidRPr="00EF2562">
              <w:t xml:space="preserve"> </w:t>
            </w:r>
            <w:r>
              <w:t>2</w:t>
            </w:r>
          </w:p>
        </w:tc>
        <w:tc>
          <w:tcPr>
            <w:tcW w:w="1104" w:type="dxa"/>
          </w:tcPr>
          <w:p w14:paraId="120B2C5F" w14:textId="092CA20A" w:rsidR="005A577B" w:rsidRPr="00EF2562" w:rsidRDefault="00EC346C" w:rsidP="00E275F7">
            <w:r>
              <w:t>April 21</w:t>
            </w:r>
          </w:p>
        </w:tc>
      </w:tr>
      <w:tr w:rsidR="005A577B" w:rsidRPr="00EF2562" w14:paraId="0F453425" w14:textId="77777777" w:rsidTr="00A91D96">
        <w:trPr>
          <w:trHeight w:val="427"/>
        </w:trPr>
        <w:tc>
          <w:tcPr>
            <w:tcW w:w="953" w:type="dxa"/>
            <w:vMerge/>
            <w:noWrap/>
            <w:hideMark/>
          </w:tcPr>
          <w:p w14:paraId="332CC9C5" w14:textId="77777777" w:rsidR="005A577B" w:rsidRPr="00EF2562" w:rsidRDefault="005A577B" w:rsidP="00EF2562">
            <w:pPr>
              <w:rPr>
                <w:b/>
                <w:bCs/>
              </w:rPr>
            </w:pPr>
          </w:p>
        </w:tc>
        <w:tc>
          <w:tcPr>
            <w:tcW w:w="7417" w:type="dxa"/>
            <w:hideMark/>
          </w:tcPr>
          <w:p w14:paraId="5845654E" w14:textId="77777777" w:rsidR="005A577B" w:rsidRPr="00EF2562" w:rsidRDefault="005A577B" w:rsidP="00EF2477">
            <w:r w:rsidRPr="00EF2562">
              <w:t>Ensure Authority A131 is properly adjusted</w:t>
            </w:r>
          </w:p>
        </w:tc>
        <w:tc>
          <w:tcPr>
            <w:tcW w:w="1170" w:type="dxa"/>
          </w:tcPr>
          <w:p w14:paraId="794C39E6" w14:textId="77777777" w:rsidR="005A577B" w:rsidRPr="00EF2562" w:rsidRDefault="005A577B" w:rsidP="00EF2562">
            <w:r>
              <w:t>7</w:t>
            </w:r>
          </w:p>
        </w:tc>
        <w:tc>
          <w:tcPr>
            <w:tcW w:w="1104" w:type="dxa"/>
          </w:tcPr>
          <w:p w14:paraId="7C562137" w14:textId="3C54D7A5" w:rsidR="005A577B" w:rsidRPr="00EF2562" w:rsidRDefault="00EC346C">
            <w:r>
              <w:t>April 21</w:t>
            </w:r>
          </w:p>
        </w:tc>
      </w:tr>
      <w:tr w:rsidR="005A577B" w:rsidRPr="00EF2562" w14:paraId="71F089D4" w14:textId="77777777" w:rsidTr="00A91D96">
        <w:trPr>
          <w:trHeight w:val="419"/>
        </w:trPr>
        <w:tc>
          <w:tcPr>
            <w:tcW w:w="953" w:type="dxa"/>
            <w:vMerge/>
            <w:noWrap/>
          </w:tcPr>
          <w:p w14:paraId="6CEE17FA" w14:textId="77777777" w:rsidR="005A577B" w:rsidRPr="00EF2562" w:rsidRDefault="005A577B" w:rsidP="00EF2562">
            <w:pPr>
              <w:rPr>
                <w:b/>
                <w:bCs/>
              </w:rPr>
            </w:pPr>
          </w:p>
        </w:tc>
        <w:tc>
          <w:tcPr>
            <w:tcW w:w="7417" w:type="dxa"/>
          </w:tcPr>
          <w:p w14:paraId="051AB5EE" w14:textId="77777777" w:rsidR="005A577B" w:rsidRPr="00EF2562" w:rsidRDefault="005A577B">
            <w:r w:rsidRPr="00EF2562">
              <w:t xml:space="preserve">Ensure final disposal information is accurate and updated in </w:t>
            </w:r>
            <w:proofErr w:type="spellStart"/>
            <w:r>
              <w:t>m</w:t>
            </w:r>
            <w:r w:rsidRPr="00EF2562">
              <w:t>yEMS</w:t>
            </w:r>
            <w:proofErr w:type="spellEnd"/>
          </w:p>
        </w:tc>
        <w:tc>
          <w:tcPr>
            <w:tcW w:w="1170" w:type="dxa"/>
          </w:tcPr>
          <w:p w14:paraId="6CC21259" w14:textId="77777777" w:rsidR="005A577B" w:rsidRPr="00EF2562" w:rsidRDefault="005A577B" w:rsidP="00EF2562">
            <w:r>
              <w:t>6</w:t>
            </w:r>
          </w:p>
        </w:tc>
        <w:tc>
          <w:tcPr>
            <w:tcW w:w="1104" w:type="dxa"/>
          </w:tcPr>
          <w:p w14:paraId="6C46C495" w14:textId="54F2BE82" w:rsidR="005A577B" w:rsidRPr="00EF2562" w:rsidRDefault="00EC346C">
            <w:r>
              <w:t>April 13</w:t>
            </w:r>
          </w:p>
        </w:tc>
      </w:tr>
      <w:tr w:rsidR="00DD0E58" w:rsidRPr="00EF2562" w14:paraId="6DD8F965" w14:textId="77777777" w:rsidTr="00B068FD">
        <w:trPr>
          <w:trHeight w:val="393"/>
        </w:trPr>
        <w:tc>
          <w:tcPr>
            <w:tcW w:w="953" w:type="dxa"/>
            <w:vMerge/>
            <w:noWrap/>
            <w:hideMark/>
          </w:tcPr>
          <w:p w14:paraId="33E4740A" w14:textId="77777777" w:rsidR="00DD0E58" w:rsidRPr="00EF2562" w:rsidRDefault="00DD0E58" w:rsidP="00EF2562">
            <w:pPr>
              <w:rPr>
                <w:b/>
                <w:bCs/>
              </w:rPr>
            </w:pPr>
          </w:p>
        </w:tc>
        <w:tc>
          <w:tcPr>
            <w:tcW w:w="7417" w:type="dxa"/>
            <w:hideMark/>
          </w:tcPr>
          <w:p w14:paraId="5E447E5F" w14:textId="533605B4" w:rsidR="00DD0E58" w:rsidRPr="00EF2562" w:rsidRDefault="00DD0E58" w:rsidP="00FF06A7">
            <w:r w:rsidRPr="00EF2562">
              <w:t>P12-1 closing date for all users (except Corporate Accounting)</w:t>
            </w:r>
          </w:p>
        </w:tc>
        <w:tc>
          <w:tcPr>
            <w:tcW w:w="1170" w:type="dxa"/>
            <w:hideMark/>
          </w:tcPr>
          <w:p w14:paraId="04B0DB15" w14:textId="52EC0943" w:rsidR="00DD0E58" w:rsidRPr="00EF2562" w:rsidRDefault="00DD0E58" w:rsidP="00EF2562">
            <w:r w:rsidRPr="00EF2562">
              <w:t>All</w:t>
            </w:r>
          </w:p>
        </w:tc>
        <w:tc>
          <w:tcPr>
            <w:tcW w:w="1104" w:type="dxa"/>
            <w:hideMark/>
          </w:tcPr>
          <w:p w14:paraId="0FD15C92" w14:textId="39FAB8F4" w:rsidR="00DD0E58" w:rsidRPr="00EF2562" w:rsidRDefault="00EC346C">
            <w:r>
              <w:t>April 21</w:t>
            </w:r>
          </w:p>
        </w:tc>
      </w:tr>
      <w:tr w:rsidR="00DD0E58" w:rsidRPr="00EF2562" w14:paraId="6EB3DB4C" w14:textId="77777777" w:rsidTr="00A91D96">
        <w:trPr>
          <w:trHeight w:val="315"/>
        </w:trPr>
        <w:tc>
          <w:tcPr>
            <w:tcW w:w="953" w:type="dxa"/>
            <w:vMerge/>
            <w:noWrap/>
            <w:hideMark/>
          </w:tcPr>
          <w:p w14:paraId="37E485E9" w14:textId="77777777" w:rsidR="00DD0E58" w:rsidRPr="00EF2562" w:rsidRDefault="00DD0E58" w:rsidP="00EF2562">
            <w:pPr>
              <w:rPr>
                <w:b/>
                <w:bCs/>
              </w:rPr>
            </w:pPr>
          </w:p>
        </w:tc>
        <w:tc>
          <w:tcPr>
            <w:tcW w:w="7417" w:type="dxa"/>
            <w:hideMark/>
          </w:tcPr>
          <w:p w14:paraId="54F21CFA" w14:textId="6BA32B13" w:rsidR="00DD0E58" w:rsidRPr="00EF2562" w:rsidRDefault="00DD0E58" w:rsidP="00DD0E58">
            <w:r>
              <w:t xml:space="preserve">Run </w:t>
            </w:r>
            <w:r w:rsidRPr="00336A49">
              <w:rPr>
                <w:u w:val="single"/>
              </w:rPr>
              <w:t>final</w:t>
            </w:r>
            <w:r>
              <w:t xml:space="preserve"> cost allocation (unproductive time, EBP, etc.);  run </w:t>
            </w:r>
            <w:r w:rsidRPr="00336A49">
              <w:rPr>
                <w:u w:val="single"/>
              </w:rPr>
              <w:t>final</w:t>
            </w:r>
            <w:r>
              <w:t xml:space="preserve"> settlements by ensuring that</w:t>
            </w:r>
            <w:r w:rsidRPr="00EF2562">
              <w:t xml:space="preserve"> all </w:t>
            </w:r>
            <w:r>
              <w:t xml:space="preserve">2020-21 </w:t>
            </w:r>
            <w:r w:rsidRPr="00EF2562">
              <w:t xml:space="preserve">costs </w:t>
            </w:r>
            <w:r>
              <w:t>are settled (follow-up with FMAs when needed); and</w:t>
            </w:r>
            <w:r w:rsidRPr="005C5AA8">
              <w:t xml:space="preserve"> close the CO settlement business transaction</w:t>
            </w:r>
            <w:r>
              <w:t>s</w:t>
            </w:r>
          </w:p>
        </w:tc>
        <w:tc>
          <w:tcPr>
            <w:tcW w:w="1170" w:type="dxa"/>
            <w:hideMark/>
          </w:tcPr>
          <w:p w14:paraId="674E7AC9" w14:textId="7399C65D" w:rsidR="00DD0E58" w:rsidRPr="00EF2562" w:rsidRDefault="00DD0E58" w:rsidP="00EF2562">
            <w:r>
              <w:t>9</w:t>
            </w:r>
          </w:p>
        </w:tc>
        <w:tc>
          <w:tcPr>
            <w:tcW w:w="1104" w:type="dxa"/>
            <w:hideMark/>
          </w:tcPr>
          <w:p w14:paraId="48C9544D" w14:textId="04757697" w:rsidR="00DD0E58" w:rsidRPr="00EF2562" w:rsidRDefault="00336A49">
            <w:r>
              <w:t>April 26</w:t>
            </w:r>
          </w:p>
        </w:tc>
      </w:tr>
      <w:tr w:rsidR="00DD0E58" w:rsidRPr="00EF2562" w14:paraId="201CFB66" w14:textId="77777777" w:rsidTr="00A91D96">
        <w:trPr>
          <w:trHeight w:val="315"/>
        </w:trPr>
        <w:tc>
          <w:tcPr>
            <w:tcW w:w="953" w:type="dxa"/>
            <w:vMerge/>
            <w:noWrap/>
            <w:hideMark/>
          </w:tcPr>
          <w:p w14:paraId="04F0DDD6" w14:textId="77777777" w:rsidR="00DD0E58" w:rsidRPr="00EF2562" w:rsidRDefault="00DD0E58" w:rsidP="00EF2562">
            <w:pPr>
              <w:rPr>
                <w:b/>
                <w:bCs/>
              </w:rPr>
            </w:pPr>
          </w:p>
        </w:tc>
        <w:tc>
          <w:tcPr>
            <w:tcW w:w="7417" w:type="dxa"/>
          </w:tcPr>
          <w:p w14:paraId="277B0B86" w14:textId="515724D2" w:rsidR="00DD0E58" w:rsidRPr="00EF2562" w:rsidRDefault="00DD0E58" w:rsidP="00FF06A7">
            <w:r>
              <w:t>Close fiscal year 2020-21 in Asset Accounting module</w:t>
            </w:r>
          </w:p>
        </w:tc>
        <w:tc>
          <w:tcPr>
            <w:tcW w:w="1170" w:type="dxa"/>
          </w:tcPr>
          <w:p w14:paraId="3675D0AC" w14:textId="619D7975" w:rsidR="00DD0E58" w:rsidRPr="00EF2562" w:rsidRDefault="00DD0E58" w:rsidP="001020A3">
            <w:r>
              <w:t>8</w:t>
            </w:r>
          </w:p>
        </w:tc>
        <w:tc>
          <w:tcPr>
            <w:tcW w:w="1104" w:type="dxa"/>
          </w:tcPr>
          <w:p w14:paraId="60D32AC7" w14:textId="2854BDDD" w:rsidR="00DD0E58" w:rsidRPr="00EF2562" w:rsidRDefault="00DD0E58" w:rsidP="001020A3">
            <w:r>
              <w:t>TBD</w:t>
            </w:r>
          </w:p>
        </w:tc>
      </w:tr>
      <w:tr w:rsidR="00DD0E58" w:rsidRPr="00EF2562" w14:paraId="62D884CA" w14:textId="77777777" w:rsidTr="00A91D96">
        <w:trPr>
          <w:trHeight w:val="315"/>
        </w:trPr>
        <w:tc>
          <w:tcPr>
            <w:tcW w:w="953" w:type="dxa"/>
            <w:vMerge/>
            <w:noWrap/>
          </w:tcPr>
          <w:p w14:paraId="12E52923" w14:textId="77777777" w:rsidR="00DD0E58" w:rsidRPr="00EF2562" w:rsidRDefault="00DD0E58" w:rsidP="00EF2562">
            <w:pPr>
              <w:rPr>
                <w:b/>
                <w:bCs/>
              </w:rPr>
            </w:pPr>
          </w:p>
        </w:tc>
        <w:tc>
          <w:tcPr>
            <w:tcW w:w="7417" w:type="dxa"/>
          </w:tcPr>
          <w:p w14:paraId="7C67D637" w14:textId="07534095" w:rsidR="00DD0E58" w:rsidRPr="00EF2562" w:rsidRDefault="00DD0E58">
            <w:r w:rsidRPr="00EF2562">
              <w:t xml:space="preserve">Record final disposal transactions in </w:t>
            </w:r>
            <w:proofErr w:type="spellStart"/>
            <w:r w:rsidRPr="00EF2562">
              <w:t>myEMS</w:t>
            </w:r>
            <w:proofErr w:type="spellEnd"/>
            <w:r w:rsidRPr="00EF2562">
              <w:t xml:space="preserve"> (including RAYE)</w:t>
            </w:r>
          </w:p>
        </w:tc>
        <w:tc>
          <w:tcPr>
            <w:tcW w:w="1170" w:type="dxa"/>
          </w:tcPr>
          <w:p w14:paraId="3691E628" w14:textId="1F48A535" w:rsidR="00DD0E58" w:rsidRDefault="00DD0E58" w:rsidP="00EF2562">
            <w:r>
              <w:t>3</w:t>
            </w:r>
          </w:p>
        </w:tc>
        <w:tc>
          <w:tcPr>
            <w:tcW w:w="1104" w:type="dxa"/>
          </w:tcPr>
          <w:p w14:paraId="16374ED8" w14:textId="21643367" w:rsidR="00DD0E58" w:rsidRDefault="005E5990" w:rsidP="005E5990">
            <w:r>
              <w:t>April 27</w:t>
            </w:r>
          </w:p>
        </w:tc>
      </w:tr>
      <w:tr w:rsidR="00DD0E58" w:rsidRPr="00EF2562" w14:paraId="46508706" w14:textId="77777777" w:rsidTr="00A91D96">
        <w:trPr>
          <w:trHeight w:val="315"/>
        </w:trPr>
        <w:tc>
          <w:tcPr>
            <w:tcW w:w="953" w:type="dxa"/>
            <w:vMerge/>
            <w:noWrap/>
            <w:hideMark/>
          </w:tcPr>
          <w:p w14:paraId="276B2ECC" w14:textId="77777777" w:rsidR="00DD0E58" w:rsidRPr="00EF2562" w:rsidRDefault="00DD0E58" w:rsidP="00EF2562">
            <w:pPr>
              <w:rPr>
                <w:b/>
                <w:bCs/>
              </w:rPr>
            </w:pPr>
          </w:p>
        </w:tc>
        <w:tc>
          <w:tcPr>
            <w:tcW w:w="7417" w:type="dxa"/>
            <w:hideMark/>
          </w:tcPr>
          <w:p w14:paraId="55EF13C9" w14:textId="3BEA53CB" w:rsidR="00DD0E58" w:rsidRPr="00EF2562" w:rsidRDefault="00DD0E58">
            <w:r w:rsidRPr="00EF2562">
              <w:t>Ensure suspense account (GL 216701) is cleared with GL 216702 (FRA 21627 needs to be at 0$ at year-end)</w:t>
            </w:r>
          </w:p>
        </w:tc>
        <w:tc>
          <w:tcPr>
            <w:tcW w:w="1170" w:type="dxa"/>
            <w:hideMark/>
          </w:tcPr>
          <w:p w14:paraId="4FD6F164" w14:textId="5C479494" w:rsidR="00DD0E58" w:rsidRPr="00EF2562" w:rsidRDefault="00DD0E58" w:rsidP="00EF2562">
            <w:r>
              <w:t>3</w:t>
            </w:r>
          </w:p>
        </w:tc>
        <w:tc>
          <w:tcPr>
            <w:tcW w:w="1104" w:type="dxa"/>
            <w:hideMark/>
          </w:tcPr>
          <w:p w14:paraId="03F76E56" w14:textId="77B70BFE" w:rsidR="00DD0E58" w:rsidRPr="00EF2562" w:rsidRDefault="005E5990" w:rsidP="005E5990">
            <w:r>
              <w:t>April 27</w:t>
            </w:r>
          </w:p>
        </w:tc>
      </w:tr>
      <w:tr w:rsidR="00DD0E58" w:rsidRPr="00EF2562" w14:paraId="7BF97E75" w14:textId="77777777" w:rsidTr="001C06D7">
        <w:trPr>
          <w:trHeight w:val="484"/>
        </w:trPr>
        <w:tc>
          <w:tcPr>
            <w:tcW w:w="953" w:type="dxa"/>
            <w:vMerge/>
            <w:noWrap/>
            <w:hideMark/>
          </w:tcPr>
          <w:p w14:paraId="1A58CA59" w14:textId="77777777" w:rsidR="00DD0E58" w:rsidRPr="00EF2562" w:rsidRDefault="00DD0E58" w:rsidP="00EF2562">
            <w:pPr>
              <w:rPr>
                <w:b/>
                <w:bCs/>
              </w:rPr>
            </w:pPr>
          </w:p>
        </w:tc>
        <w:tc>
          <w:tcPr>
            <w:tcW w:w="7417" w:type="dxa"/>
            <w:hideMark/>
          </w:tcPr>
          <w:p w14:paraId="5B5771A7" w14:textId="2026BD38" w:rsidR="00DD0E58" w:rsidRPr="00EF2562" w:rsidRDefault="00DD0E58">
            <w:r w:rsidRPr="00EF2562">
              <w:t>Settlement of final completed projects from AUC to final AMR</w:t>
            </w:r>
            <w:r>
              <w:t xml:space="preserve"> (ensure that no project under $10k were capitalized) and p</w:t>
            </w:r>
            <w:r w:rsidRPr="00EF2562">
              <w:t>rocess fin</w:t>
            </w:r>
            <w:r>
              <w:t>al amortization for 2020-21</w:t>
            </w:r>
          </w:p>
        </w:tc>
        <w:tc>
          <w:tcPr>
            <w:tcW w:w="1170" w:type="dxa"/>
            <w:hideMark/>
          </w:tcPr>
          <w:p w14:paraId="44AFEBC9" w14:textId="597B8717" w:rsidR="00DD0E58" w:rsidRPr="00EF2562" w:rsidRDefault="00DD0E58" w:rsidP="00EF2562">
            <w:r>
              <w:t>3</w:t>
            </w:r>
          </w:p>
        </w:tc>
        <w:tc>
          <w:tcPr>
            <w:tcW w:w="1104" w:type="dxa"/>
            <w:hideMark/>
          </w:tcPr>
          <w:p w14:paraId="2BF548E0" w14:textId="7BB2ED3A" w:rsidR="00DD0E58" w:rsidRPr="00EF2562" w:rsidRDefault="005E5990">
            <w:r>
              <w:t>April 27</w:t>
            </w:r>
          </w:p>
        </w:tc>
      </w:tr>
      <w:tr w:rsidR="00B068FD" w:rsidRPr="00EF2562" w14:paraId="45A80EA2" w14:textId="77777777" w:rsidTr="009E6669">
        <w:trPr>
          <w:trHeight w:val="544"/>
        </w:trPr>
        <w:tc>
          <w:tcPr>
            <w:tcW w:w="953" w:type="dxa"/>
            <w:tcBorders>
              <w:top w:val="single" w:sz="4" w:space="0" w:color="auto"/>
            </w:tcBorders>
            <w:noWrap/>
            <w:hideMark/>
          </w:tcPr>
          <w:p w14:paraId="378F0534" w14:textId="2A8AB955" w:rsidR="00B068FD" w:rsidRDefault="00B068FD" w:rsidP="00B068FD">
            <w:pPr>
              <w:rPr>
                <w:b/>
                <w:bCs/>
              </w:rPr>
            </w:pPr>
            <w:r>
              <w:rPr>
                <w:b/>
                <w:bCs/>
              </w:rPr>
              <w:t>P01 2021-22</w:t>
            </w:r>
          </w:p>
          <w:p w14:paraId="04C76121" w14:textId="77777777" w:rsidR="00B068FD" w:rsidRPr="00EF2562" w:rsidRDefault="00B068FD" w:rsidP="00B068FD">
            <w:pPr>
              <w:rPr>
                <w:b/>
                <w:bCs/>
              </w:rPr>
            </w:pPr>
          </w:p>
        </w:tc>
        <w:tc>
          <w:tcPr>
            <w:tcW w:w="7417" w:type="dxa"/>
            <w:tcBorders>
              <w:top w:val="single" w:sz="4" w:space="0" w:color="auto"/>
            </w:tcBorders>
            <w:noWrap/>
          </w:tcPr>
          <w:p w14:paraId="6FE5DC2B" w14:textId="555E2887" w:rsidR="00B068FD" w:rsidRPr="00EF2562" w:rsidRDefault="00B068FD" w:rsidP="00B068FD">
            <w:r>
              <w:rPr>
                <w:rFonts w:ascii="Calibri" w:hAnsi="Calibri"/>
                <w:color w:val="000000"/>
              </w:rPr>
              <w:t>Open fiscal year 2021-22 in Asset Accounting module</w:t>
            </w:r>
          </w:p>
        </w:tc>
        <w:tc>
          <w:tcPr>
            <w:tcW w:w="1170" w:type="dxa"/>
            <w:noWrap/>
          </w:tcPr>
          <w:p w14:paraId="603C4BC4" w14:textId="1845B529" w:rsidR="00B068FD" w:rsidRPr="00EF2562" w:rsidRDefault="00B068FD" w:rsidP="00B068FD">
            <w:r>
              <w:t>8</w:t>
            </w:r>
          </w:p>
        </w:tc>
        <w:tc>
          <w:tcPr>
            <w:tcW w:w="1104" w:type="dxa"/>
            <w:noWrap/>
          </w:tcPr>
          <w:p w14:paraId="043378A5" w14:textId="79C42C5B" w:rsidR="00B068FD" w:rsidRPr="00EF2562" w:rsidRDefault="00B068FD" w:rsidP="00B068FD">
            <w:r>
              <w:t>April 1</w:t>
            </w:r>
          </w:p>
        </w:tc>
      </w:tr>
    </w:tbl>
    <w:p w14:paraId="5B463BA2" w14:textId="77777777" w:rsidR="005C5AA8" w:rsidRDefault="005C5AA8" w:rsidP="001C06D7">
      <w:pPr>
        <w:pStyle w:val="Footer"/>
        <w:tabs>
          <w:tab w:val="clear" w:pos="4320"/>
          <w:tab w:val="clear" w:pos="8640"/>
        </w:tabs>
        <w:spacing w:after="120"/>
        <w:ind w:left="-720"/>
        <w:rPr>
          <w:b/>
          <w:i/>
        </w:rPr>
      </w:pPr>
    </w:p>
    <w:p w14:paraId="306AAD70" w14:textId="485F8D31" w:rsidR="00F259C4" w:rsidRPr="005C5AA8" w:rsidRDefault="00F259C4" w:rsidP="001C06D7">
      <w:pPr>
        <w:pStyle w:val="Footer"/>
        <w:tabs>
          <w:tab w:val="clear" w:pos="4320"/>
          <w:tab w:val="clear" w:pos="8640"/>
        </w:tabs>
        <w:spacing w:after="120"/>
        <w:ind w:left="-720"/>
        <w:rPr>
          <w:b/>
          <w:i/>
        </w:rPr>
      </w:pPr>
      <w:r w:rsidRPr="005C5AA8">
        <w:rPr>
          <w:b/>
          <w:i/>
        </w:rPr>
        <w:t xml:space="preserve">Please note that all P12-1 transactions in </w:t>
      </w:r>
      <w:proofErr w:type="spellStart"/>
      <w:r w:rsidRPr="005C5AA8">
        <w:rPr>
          <w:b/>
          <w:i/>
        </w:rPr>
        <w:t>myEMS</w:t>
      </w:r>
      <w:proofErr w:type="spellEnd"/>
      <w:r w:rsidRPr="005C5AA8">
        <w:rPr>
          <w:b/>
          <w:i/>
        </w:rPr>
        <w:t xml:space="preserve"> (SAP) </w:t>
      </w:r>
      <w:r w:rsidRPr="005C5AA8">
        <w:rPr>
          <w:b/>
          <w:i/>
          <w:u w:val="single"/>
        </w:rPr>
        <w:t>must</w:t>
      </w:r>
      <w:r w:rsidRPr="005C5AA8">
        <w:t xml:space="preserve"> </w:t>
      </w:r>
      <w:r w:rsidRPr="005C5AA8">
        <w:rPr>
          <w:b/>
          <w:i/>
        </w:rPr>
        <w:t xml:space="preserve">be posted with a date </w:t>
      </w:r>
      <w:r w:rsidR="00E932A7">
        <w:rPr>
          <w:b/>
          <w:i/>
        </w:rPr>
        <w:t>i</w:t>
      </w:r>
      <w:r w:rsidR="00DD0E58">
        <w:rPr>
          <w:b/>
          <w:i/>
        </w:rPr>
        <w:t>n March (normally March 31, 2021</w:t>
      </w:r>
      <w:r w:rsidRPr="005C5AA8">
        <w:rPr>
          <w:b/>
          <w:i/>
        </w:rPr>
        <w:t xml:space="preserve"> for the transactions recorded in April)</w:t>
      </w:r>
    </w:p>
    <w:p w14:paraId="078C77A2" w14:textId="680FE439" w:rsidR="00F259C4" w:rsidRPr="005C5AA8" w:rsidRDefault="00382F14" w:rsidP="00F259C4">
      <w:pPr>
        <w:pStyle w:val="ListParagraph"/>
        <w:ind w:left="-567" w:hanging="142"/>
      </w:pPr>
      <w:r>
        <w:rPr>
          <w:vertAlign w:val="superscript"/>
        </w:rPr>
        <w:t>4</w:t>
      </w:r>
      <w:r w:rsidR="00F259C4" w:rsidRPr="00D057FF">
        <w:t xml:space="preserve">For the costs captured via JV upload, </w:t>
      </w:r>
      <w:r w:rsidR="005C5AA8" w:rsidRPr="00D057FF">
        <w:t xml:space="preserve">the </w:t>
      </w:r>
      <w:r w:rsidR="00F259C4" w:rsidRPr="00D057FF">
        <w:t xml:space="preserve">cross-branch </w:t>
      </w:r>
      <w:r w:rsidR="005C5AA8" w:rsidRPr="00D057FF">
        <w:t xml:space="preserve">JVs’ </w:t>
      </w:r>
      <w:r w:rsidR="00F259C4" w:rsidRPr="00D057FF">
        <w:t xml:space="preserve">requests </w:t>
      </w:r>
      <w:proofErr w:type="gramStart"/>
      <w:r w:rsidR="00F259C4" w:rsidRPr="00D057FF">
        <w:t>should be sent</w:t>
      </w:r>
      <w:proofErr w:type="gramEnd"/>
      <w:r w:rsidR="00F259C4" w:rsidRPr="00D057FF">
        <w:t xml:space="preserve"> to </w:t>
      </w:r>
      <w:r w:rsidR="001E7EE6" w:rsidRPr="00D057FF">
        <w:t xml:space="preserve">National </w:t>
      </w:r>
      <w:r w:rsidR="00F259C4" w:rsidRPr="00D057FF">
        <w:t>Accounting Operations (</w:t>
      </w:r>
      <w:hyperlink r:id="rId11" w:history="1">
        <w:r w:rsidR="00F259C4" w:rsidRPr="00D057FF">
          <w:rPr>
            <w:rStyle w:val="Hyperlink"/>
          </w:rPr>
          <w:t>http://iservice.prv/eng/service_catalogues/index.shtml</w:t>
        </w:r>
      </w:hyperlink>
      <w:r w:rsidR="00F259C4" w:rsidRPr="00D057FF">
        <w:rPr>
          <w:rStyle w:val="Hyperlink"/>
          <w:color w:val="auto"/>
          <w:u w:val="none"/>
        </w:rPr>
        <w:t>)</w:t>
      </w:r>
      <w:r w:rsidR="00F259C4" w:rsidRPr="00D057FF">
        <w:t xml:space="preserve"> no later than</w:t>
      </w:r>
      <w:r w:rsidR="00B068FD">
        <w:t xml:space="preserve"> </w:t>
      </w:r>
      <w:r w:rsidR="005E5990">
        <w:t>April 12</w:t>
      </w:r>
      <w:r w:rsidR="00F259C4" w:rsidRPr="00D057FF">
        <w:t xml:space="preserve">. They will process transactions by </w:t>
      </w:r>
      <w:r w:rsidR="005E5990">
        <w:t>April 21</w:t>
      </w:r>
      <w:r w:rsidR="00F259C4" w:rsidRPr="00D057FF">
        <w:t>.</w:t>
      </w:r>
    </w:p>
    <w:p w14:paraId="32D64271" w14:textId="0F53B414" w:rsidR="00F259C4" w:rsidRDefault="00382F14" w:rsidP="00BB5413">
      <w:pPr>
        <w:spacing w:after="0"/>
        <w:ind w:left="-720"/>
      </w:pPr>
      <w:r>
        <w:rPr>
          <w:vertAlign w:val="superscript"/>
        </w:rPr>
        <w:t>5</w:t>
      </w:r>
      <w:r w:rsidR="00F259C4" w:rsidRPr="005C5AA8">
        <w:t xml:space="preserve">Internal </w:t>
      </w:r>
      <w:r w:rsidR="0074187C">
        <w:t>deadline</w:t>
      </w:r>
      <w:r w:rsidR="00F259C4" w:rsidRPr="005C5AA8">
        <w:t xml:space="preserve"> for CATS timesheets to </w:t>
      </w:r>
      <w:proofErr w:type="gramStart"/>
      <w:r w:rsidR="00F259C4" w:rsidRPr="005C5AA8">
        <w:t>be determined</w:t>
      </w:r>
      <w:proofErr w:type="gramEnd"/>
      <w:r w:rsidR="00F259C4" w:rsidRPr="005C5AA8">
        <w:t xml:space="preserve"> by FMAs.</w:t>
      </w:r>
    </w:p>
    <w:p w14:paraId="60BFB28E" w14:textId="77777777" w:rsidR="00841EE9" w:rsidRPr="005C5AA8" w:rsidRDefault="00841EE9" w:rsidP="00BB5413">
      <w:pPr>
        <w:spacing w:after="0"/>
        <w:ind w:left="-720"/>
      </w:pPr>
    </w:p>
    <w:sectPr w:rsidR="00841EE9" w:rsidRPr="005C5AA8" w:rsidSect="005C5AA8">
      <w:headerReference w:type="default" r:id="rId12"/>
      <w:footerReference w:type="default" r:id="rId13"/>
      <w:pgSz w:w="12240" w:h="20160" w:code="5"/>
      <w:pgMar w:top="1440" w:right="1440" w:bottom="1440" w:left="1440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3990C28" w16cid:durableId="22285544"/>
  <w16cid:commentId w16cid:paraId="7199DDD6" w16cid:durableId="222855C8"/>
  <w16cid:commentId w16cid:paraId="083F37C4" w16cid:durableId="2228560D"/>
  <w16cid:commentId w16cid:paraId="47CCEF16" w16cid:durableId="2228563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128407" w14:textId="77777777" w:rsidR="00462901" w:rsidRDefault="00462901" w:rsidP="00816A80">
      <w:pPr>
        <w:spacing w:after="0" w:line="240" w:lineRule="auto"/>
      </w:pPr>
      <w:r>
        <w:separator/>
      </w:r>
    </w:p>
  </w:endnote>
  <w:endnote w:type="continuationSeparator" w:id="0">
    <w:p w14:paraId="2A1DD352" w14:textId="77777777" w:rsidR="00462901" w:rsidRDefault="00462901" w:rsidP="00816A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498BFC" w14:textId="77777777" w:rsidR="005C5AA8" w:rsidRPr="005C5AA8" w:rsidRDefault="005C5AA8" w:rsidP="005C5AA8">
    <w:pPr>
      <w:spacing w:before="120" w:after="0"/>
      <w:ind w:left="-720"/>
    </w:pPr>
    <w:r w:rsidRPr="005C5AA8">
      <w:rPr>
        <w:b/>
      </w:rPr>
      <w:t>1</w:t>
    </w:r>
    <w:r w:rsidRPr="005C5AA8">
      <w:tab/>
      <w:t>All FMAs</w:t>
    </w:r>
    <w:r w:rsidRPr="005C5AA8">
      <w:tab/>
    </w:r>
  </w:p>
  <w:p w14:paraId="518C2A9F" w14:textId="0F8832C9" w:rsidR="005C5AA8" w:rsidRPr="005C5AA8" w:rsidRDefault="005C5AA8" w:rsidP="005C5AA8">
    <w:pPr>
      <w:spacing w:after="0"/>
      <w:ind w:left="-720"/>
    </w:pPr>
    <w:r w:rsidRPr="005C5AA8">
      <w:rPr>
        <w:b/>
      </w:rPr>
      <w:t>2</w:t>
    </w:r>
    <w:r w:rsidRPr="005C5AA8">
      <w:tab/>
    </w:r>
    <w:r w:rsidR="00464885">
      <w:t>NRPM Corporate Accommodations Management</w:t>
    </w:r>
    <w:r w:rsidRPr="005C5AA8">
      <w:t xml:space="preserve"> (</w:t>
    </w:r>
    <w:proofErr w:type="spellStart"/>
    <w:r w:rsidR="00DD0E58">
      <w:t>St</w:t>
    </w:r>
    <w:r w:rsidR="00382F14" w:rsidRPr="00801944">
      <w:t>é</w:t>
    </w:r>
    <w:r w:rsidR="00DD0E58">
      <w:t>phanie</w:t>
    </w:r>
    <w:proofErr w:type="spellEnd"/>
    <w:r w:rsidR="00DD0E58">
      <w:t xml:space="preserve"> Doiron</w:t>
    </w:r>
    <w:r w:rsidRPr="005C5AA8">
      <w:t>)</w:t>
    </w:r>
    <w:r w:rsidRPr="005C5AA8">
      <w:tab/>
    </w:r>
    <w:r w:rsidRPr="005C5AA8">
      <w:tab/>
    </w:r>
  </w:p>
  <w:p w14:paraId="094BFB12" w14:textId="7675EDD0" w:rsidR="005C5AA8" w:rsidRPr="005C5AA8" w:rsidRDefault="005C5AA8" w:rsidP="005C5AA8">
    <w:pPr>
      <w:spacing w:after="0"/>
      <w:ind w:left="-720"/>
    </w:pPr>
    <w:r w:rsidRPr="005C5AA8">
      <w:rPr>
        <w:b/>
      </w:rPr>
      <w:t>3</w:t>
    </w:r>
    <w:r w:rsidRPr="005C5AA8">
      <w:tab/>
    </w:r>
    <w:r w:rsidR="00464885">
      <w:t>ICAAD</w:t>
    </w:r>
    <w:r w:rsidRPr="005C5AA8">
      <w:t xml:space="preserve"> Corporate Accounting (</w:t>
    </w:r>
    <w:r w:rsidR="00B67795">
      <w:t>Seana Cerson</w:t>
    </w:r>
    <w:r w:rsidRPr="005C5AA8">
      <w:t>)</w:t>
    </w:r>
    <w:r w:rsidRPr="005C5AA8">
      <w:tab/>
    </w:r>
    <w:r w:rsidRPr="005C5AA8">
      <w:tab/>
    </w:r>
  </w:p>
  <w:p w14:paraId="42EB84D5" w14:textId="77777777" w:rsidR="005C5AA8" w:rsidRPr="005C5AA8" w:rsidRDefault="005C5AA8" w:rsidP="005C5AA8">
    <w:pPr>
      <w:spacing w:after="0"/>
      <w:ind w:left="-720"/>
    </w:pPr>
    <w:r w:rsidRPr="005C5AA8">
      <w:rPr>
        <w:b/>
      </w:rPr>
      <w:t>4</w:t>
    </w:r>
    <w:r w:rsidRPr="005C5AA8">
      <w:tab/>
      <w:t>IAPM NCR Facilities Management (</w:t>
    </w:r>
    <w:r w:rsidR="004B5A2D">
      <w:t>Susan Hall</w:t>
    </w:r>
    <w:r w:rsidRPr="005C5AA8">
      <w:t>)</w:t>
    </w:r>
    <w:r w:rsidRPr="005C5AA8">
      <w:tab/>
    </w:r>
  </w:p>
  <w:p w14:paraId="046328A3" w14:textId="5768A963" w:rsidR="005C5AA8" w:rsidRPr="005C5AA8" w:rsidRDefault="005C5AA8" w:rsidP="005C5AA8">
    <w:pPr>
      <w:spacing w:after="0"/>
      <w:ind w:hanging="709"/>
    </w:pPr>
    <w:r w:rsidRPr="005C5AA8">
      <w:rPr>
        <w:b/>
      </w:rPr>
      <w:t>6</w:t>
    </w:r>
    <w:r w:rsidRPr="005C5AA8">
      <w:rPr>
        <w:b/>
      </w:rPr>
      <w:tab/>
    </w:r>
    <w:r w:rsidR="00464885">
      <w:t>NRPM</w:t>
    </w:r>
    <w:r w:rsidRPr="005C5AA8">
      <w:t xml:space="preserve"> Regional </w:t>
    </w:r>
    <w:r w:rsidR="007C244A">
      <w:t>Asset</w:t>
    </w:r>
    <w:r w:rsidR="00801944">
      <w:t xml:space="preserve"> Management Services</w:t>
    </w:r>
  </w:p>
  <w:p w14:paraId="6B1A98E1" w14:textId="0BCC48BF" w:rsidR="005C5AA8" w:rsidRPr="005C5AA8" w:rsidRDefault="005C5AA8" w:rsidP="005C5AA8">
    <w:pPr>
      <w:spacing w:after="0"/>
      <w:ind w:left="-720"/>
    </w:pPr>
    <w:r w:rsidRPr="005C5AA8">
      <w:rPr>
        <w:b/>
      </w:rPr>
      <w:t>7</w:t>
    </w:r>
    <w:r w:rsidRPr="005C5AA8">
      <w:tab/>
    </w:r>
    <w:r w:rsidR="00464885">
      <w:t xml:space="preserve">FMAS </w:t>
    </w:r>
    <w:r w:rsidRPr="005C5AA8">
      <w:t>Planning and Expenditure Management (</w:t>
    </w:r>
    <w:r w:rsidR="00F23BEC">
      <w:t>Lyne Julien</w:t>
    </w:r>
    <w:r w:rsidRPr="005C5AA8">
      <w:t>)</w:t>
    </w:r>
  </w:p>
  <w:p w14:paraId="7667DB42" w14:textId="700E6B63" w:rsidR="005C5AA8" w:rsidRPr="008816CB" w:rsidRDefault="005C5AA8" w:rsidP="005C5AA8">
    <w:pPr>
      <w:spacing w:after="0"/>
      <w:ind w:left="-720"/>
    </w:pPr>
    <w:r w:rsidRPr="008816CB">
      <w:rPr>
        <w:b/>
      </w:rPr>
      <w:t>8</w:t>
    </w:r>
    <w:r w:rsidRPr="008816CB">
      <w:tab/>
      <w:t xml:space="preserve">SAP </w:t>
    </w:r>
    <w:r w:rsidR="007C244A" w:rsidRPr="008816CB">
      <w:t xml:space="preserve">COE </w:t>
    </w:r>
    <w:r w:rsidRPr="008816CB">
      <w:t>– AA module (</w:t>
    </w:r>
    <w:r w:rsidR="00336A49" w:rsidRPr="008816CB">
      <w:t>Mark Gardner</w:t>
    </w:r>
    <w:r w:rsidRPr="008816CB">
      <w:t>)</w:t>
    </w:r>
  </w:p>
  <w:p w14:paraId="095365FF" w14:textId="7606D500" w:rsidR="005C5AA8" w:rsidRPr="008816CB" w:rsidRDefault="005C5AA8" w:rsidP="005C5AA8">
    <w:pPr>
      <w:spacing w:after="120"/>
      <w:ind w:left="-720"/>
    </w:pPr>
    <w:r w:rsidRPr="008816CB">
      <w:rPr>
        <w:b/>
      </w:rPr>
      <w:t>9</w:t>
    </w:r>
    <w:r w:rsidRPr="008816CB">
      <w:rPr>
        <w:b/>
      </w:rPr>
      <w:tab/>
    </w:r>
    <w:r w:rsidRPr="008816CB">
      <w:t xml:space="preserve">SAP </w:t>
    </w:r>
    <w:r w:rsidR="007C244A" w:rsidRPr="008816CB">
      <w:t xml:space="preserve">COE </w:t>
    </w:r>
    <w:r w:rsidRPr="008816CB">
      <w:t>– CO/PS module (</w:t>
    </w:r>
    <w:r w:rsidR="008816CB" w:rsidRPr="008816CB">
      <w:t>Janet Hayes</w:t>
    </w:r>
    <w:r w:rsidRPr="008816CB">
      <w:t xml:space="preserve"> / </w:t>
    </w:r>
    <w:r w:rsidR="00EE20E8" w:rsidRPr="008816CB">
      <w:t>Zia Nathoo</w:t>
    </w:r>
    <w:r w:rsidRPr="008816CB">
      <w:t>)</w:t>
    </w:r>
  </w:p>
  <w:p w14:paraId="5F7C9438" w14:textId="77777777" w:rsidR="005C5AA8" w:rsidRPr="008816CB" w:rsidRDefault="005C5A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5C9C00" w14:textId="77777777" w:rsidR="00462901" w:rsidRDefault="00462901" w:rsidP="00816A80">
      <w:pPr>
        <w:spacing w:after="0" w:line="240" w:lineRule="auto"/>
      </w:pPr>
      <w:r>
        <w:separator/>
      </w:r>
    </w:p>
  </w:footnote>
  <w:footnote w:type="continuationSeparator" w:id="0">
    <w:p w14:paraId="3540ABA6" w14:textId="77777777" w:rsidR="00462901" w:rsidRDefault="00462901" w:rsidP="00816A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AEFEB3" w14:textId="719FE7CF" w:rsidR="00816A80" w:rsidRDefault="00DD0E58" w:rsidP="00816A80">
    <w:pPr>
      <w:pStyle w:val="Header"/>
      <w:jc w:val="center"/>
      <w:rPr>
        <w:b/>
      </w:rPr>
    </w:pPr>
    <w:r>
      <w:rPr>
        <w:b/>
      </w:rPr>
      <w:t>2020-21</w:t>
    </w:r>
    <w:r w:rsidR="00816A80" w:rsidRPr="00816A80">
      <w:rPr>
        <w:b/>
      </w:rPr>
      <w:t xml:space="preserve"> </w:t>
    </w:r>
    <w:r w:rsidR="00925AF8">
      <w:rPr>
        <w:b/>
      </w:rPr>
      <w:t xml:space="preserve">Monthly and </w:t>
    </w:r>
    <w:r w:rsidR="00816A80" w:rsidRPr="00816A80">
      <w:rPr>
        <w:b/>
      </w:rPr>
      <w:t>Year</w:t>
    </w:r>
    <w:r w:rsidR="00BC78A6">
      <w:rPr>
        <w:b/>
      </w:rPr>
      <w:t>-</w:t>
    </w:r>
    <w:r w:rsidR="00816A80" w:rsidRPr="00816A80">
      <w:rPr>
        <w:b/>
      </w:rPr>
      <w:t>End Checklist</w:t>
    </w:r>
  </w:p>
  <w:p w14:paraId="3C6DC1F0" w14:textId="77777777" w:rsidR="00A868E6" w:rsidRPr="00816A80" w:rsidRDefault="00A868E6" w:rsidP="00816A80">
    <w:pPr>
      <w:pStyle w:val="Header"/>
      <w:jc w:val="center"/>
      <w:rPr>
        <w:b/>
      </w:rPr>
    </w:pPr>
    <w:r>
      <w:rPr>
        <w:b/>
      </w:rPr>
      <w:t>Capital Assets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D07CF9"/>
    <w:multiLevelType w:val="hybridMultilevel"/>
    <w:tmpl w:val="B1D4B2CA"/>
    <w:lvl w:ilvl="0" w:tplc="10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Formatting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562"/>
    <w:rsid w:val="000142B4"/>
    <w:rsid w:val="00034B42"/>
    <w:rsid w:val="00052B15"/>
    <w:rsid w:val="00056BC2"/>
    <w:rsid w:val="0005793C"/>
    <w:rsid w:val="00066EB9"/>
    <w:rsid w:val="000903D4"/>
    <w:rsid w:val="000A69A3"/>
    <w:rsid w:val="000D1418"/>
    <w:rsid w:val="000E14F4"/>
    <w:rsid w:val="000E602F"/>
    <w:rsid w:val="001137F0"/>
    <w:rsid w:val="00154406"/>
    <w:rsid w:val="001570BE"/>
    <w:rsid w:val="00176CA0"/>
    <w:rsid w:val="00180B7C"/>
    <w:rsid w:val="00185E79"/>
    <w:rsid w:val="00186FDF"/>
    <w:rsid w:val="00192128"/>
    <w:rsid w:val="0019213C"/>
    <w:rsid w:val="001A0BE1"/>
    <w:rsid w:val="001B564F"/>
    <w:rsid w:val="001C06D7"/>
    <w:rsid w:val="001E7EE6"/>
    <w:rsid w:val="001F4106"/>
    <w:rsid w:val="00206139"/>
    <w:rsid w:val="00227A0F"/>
    <w:rsid w:val="00236E05"/>
    <w:rsid w:val="00283EC7"/>
    <w:rsid w:val="00284836"/>
    <w:rsid w:val="002A6D2A"/>
    <w:rsid w:val="002B1435"/>
    <w:rsid w:val="002F680C"/>
    <w:rsid w:val="003005C9"/>
    <w:rsid w:val="00300A09"/>
    <w:rsid w:val="00304A02"/>
    <w:rsid w:val="00314F0D"/>
    <w:rsid w:val="00320CD3"/>
    <w:rsid w:val="003317EC"/>
    <w:rsid w:val="00336A49"/>
    <w:rsid w:val="003553A3"/>
    <w:rsid w:val="00361CF5"/>
    <w:rsid w:val="00372798"/>
    <w:rsid w:val="003728E7"/>
    <w:rsid w:val="0037543E"/>
    <w:rsid w:val="0038200F"/>
    <w:rsid w:val="00382F14"/>
    <w:rsid w:val="003904FC"/>
    <w:rsid w:val="003A796E"/>
    <w:rsid w:val="003B0411"/>
    <w:rsid w:val="003B46F9"/>
    <w:rsid w:val="003E590E"/>
    <w:rsid w:val="00421687"/>
    <w:rsid w:val="0043635A"/>
    <w:rsid w:val="0044303D"/>
    <w:rsid w:val="00462901"/>
    <w:rsid w:val="00464885"/>
    <w:rsid w:val="00484405"/>
    <w:rsid w:val="004A2B81"/>
    <w:rsid w:val="004A56FB"/>
    <w:rsid w:val="004B5A2D"/>
    <w:rsid w:val="004C4350"/>
    <w:rsid w:val="004E0842"/>
    <w:rsid w:val="00521AFA"/>
    <w:rsid w:val="00536A0D"/>
    <w:rsid w:val="00574F60"/>
    <w:rsid w:val="00576828"/>
    <w:rsid w:val="005971AC"/>
    <w:rsid w:val="005A39BF"/>
    <w:rsid w:val="005A577B"/>
    <w:rsid w:val="005B01CE"/>
    <w:rsid w:val="005B2B9D"/>
    <w:rsid w:val="005C5AA8"/>
    <w:rsid w:val="005E46B5"/>
    <w:rsid w:val="005E5990"/>
    <w:rsid w:val="0061195B"/>
    <w:rsid w:val="00626D5D"/>
    <w:rsid w:val="006C2EB7"/>
    <w:rsid w:val="006C717A"/>
    <w:rsid w:val="006F4345"/>
    <w:rsid w:val="007204F3"/>
    <w:rsid w:val="0074187C"/>
    <w:rsid w:val="00742774"/>
    <w:rsid w:val="00751A9A"/>
    <w:rsid w:val="007653D5"/>
    <w:rsid w:val="007C06BC"/>
    <w:rsid w:val="007C244A"/>
    <w:rsid w:val="007E1DB1"/>
    <w:rsid w:val="007F7112"/>
    <w:rsid w:val="00801944"/>
    <w:rsid w:val="00802CE8"/>
    <w:rsid w:val="00816A80"/>
    <w:rsid w:val="00821E32"/>
    <w:rsid w:val="00826DF9"/>
    <w:rsid w:val="008371B3"/>
    <w:rsid w:val="00841EE9"/>
    <w:rsid w:val="0085151D"/>
    <w:rsid w:val="008816CB"/>
    <w:rsid w:val="00897C47"/>
    <w:rsid w:val="008B077F"/>
    <w:rsid w:val="008D3F33"/>
    <w:rsid w:val="00914F57"/>
    <w:rsid w:val="00922CA8"/>
    <w:rsid w:val="00925AF8"/>
    <w:rsid w:val="00941107"/>
    <w:rsid w:val="00964CD1"/>
    <w:rsid w:val="00973FB6"/>
    <w:rsid w:val="009854A5"/>
    <w:rsid w:val="009E31FE"/>
    <w:rsid w:val="00A225F0"/>
    <w:rsid w:val="00A23BFF"/>
    <w:rsid w:val="00A32B61"/>
    <w:rsid w:val="00A37F08"/>
    <w:rsid w:val="00A418DE"/>
    <w:rsid w:val="00A4518C"/>
    <w:rsid w:val="00A80004"/>
    <w:rsid w:val="00A868E6"/>
    <w:rsid w:val="00AA160F"/>
    <w:rsid w:val="00AE0241"/>
    <w:rsid w:val="00B068FD"/>
    <w:rsid w:val="00B143F6"/>
    <w:rsid w:val="00B34B23"/>
    <w:rsid w:val="00B41106"/>
    <w:rsid w:val="00B66A24"/>
    <w:rsid w:val="00B67795"/>
    <w:rsid w:val="00B72742"/>
    <w:rsid w:val="00B75DCF"/>
    <w:rsid w:val="00B805D7"/>
    <w:rsid w:val="00B8368D"/>
    <w:rsid w:val="00BA6477"/>
    <w:rsid w:val="00BB1B53"/>
    <w:rsid w:val="00BB5413"/>
    <w:rsid w:val="00BC78A6"/>
    <w:rsid w:val="00C26E54"/>
    <w:rsid w:val="00C32633"/>
    <w:rsid w:val="00C34A9D"/>
    <w:rsid w:val="00C416C3"/>
    <w:rsid w:val="00C42100"/>
    <w:rsid w:val="00C501E2"/>
    <w:rsid w:val="00C64C5B"/>
    <w:rsid w:val="00C86C09"/>
    <w:rsid w:val="00C9047E"/>
    <w:rsid w:val="00C93AE2"/>
    <w:rsid w:val="00CB322C"/>
    <w:rsid w:val="00CB3AD1"/>
    <w:rsid w:val="00CC41A8"/>
    <w:rsid w:val="00CD3F24"/>
    <w:rsid w:val="00CF1F07"/>
    <w:rsid w:val="00D057FF"/>
    <w:rsid w:val="00D06AD5"/>
    <w:rsid w:val="00D532DD"/>
    <w:rsid w:val="00D82C16"/>
    <w:rsid w:val="00D910DD"/>
    <w:rsid w:val="00DC6364"/>
    <w:rsid w:val="00DD0E58"/>
    <w:rsid w:val="00DD3B1B"/>
    <w:rsid w:val="00DE66DC"/>
    <w:rsid w:val="00DE7F59"/>
    <w:rsid w:val="00DF0E76"/>
    <w:rsid w:val="00E05E9D"/>
    <w:rsid w:val="00E31D1F"/>
    <w:rsid w:val="00E42A53"/>
    <w:rsid w:val="00E71D8D"/>
    <w:rsid w:val="00E7737D"/>
    <w:rsid w:val="00E932A7"/>
    <w:rsid w:val="00EA21E9"/>
    <w:rsid w:val="00EA2BCF"/>
    <w:rsid w:val="00EA498E"/>
    <w:rsid w:val="00EC346C"/>
    <w:rsid w:val="00ED765C"/>
    <w:rsid w:val="00EE2048"/>
    <w:rsid w:val="00EE20E8"/>
    <w:rsid w:val="00EF2477"/>
    <w:rsid w:val="00EF2562"/>
    <w:rsid w:val="00F056C2"/>
    <w:rsid w:val="00F13DD1"/>
    <w:rsid w:val="00F23BEC"/>
    <w:rsid w:val="00F259C4"/>
    <w:rsid w:val="00F63738"/>
    <w:rsid w:val="00F80054"/>
    <w:rsid w:val="00FD1F4C"/>
    <w:rsid w:val="00FD410A"/>
    <w:rsid w:val="00FE6AD5"/>
    <w:rsid w:val="00FF0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2988080C"/>
  <w15:docId w15:val="{81C13528-96AC-4CF7-83B0-7334E3AD5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25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16A8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6A80"/>
  </w:style>
  <w:style w:type="paragraph" w:styleId="Footer">
    <w:name w:val="footer"/>
    <w:basedOn w:val="Normal"/>
    <w:link w:val="FooterChar"/>
    <w:uiPriority w:val="99"/>
    <w:unhideWhenUsed/>
    <w:rsid w:val="00816A8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6A80"/>
  </w:style>
  <w:style w:type="character" w:styleId="CommentReference">
    <w:name w:val="annotation reference"/>
    <w:basedOn w:val="DefaultParagraphFont"/>
    <w:uiPriority w:val="99"/>
    <w:semiHidden/>
    <w:unhideWhenUsed/>
    <w:rsid w:val="008515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151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151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15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151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15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151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186FD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86FDF"/>
    <w:pPr>
      <w:spacing w:after="0" w:line="240" w:lineRule="auto"/>
      <w:ind w:left="720"/>
      <w:contextualSpacing/>
    </w:pPr>
    <w:rPr>
      <w:rFonts w:ascii="Calibri" w:hAnsi="Calibri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236E05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8371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9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6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service.prv/eng/finance/costing/index.shtm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service.prv/eng/service_catalogues/index.s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NA-ASSETS-IMMOBILISATIONS-GD@hrsdc-rhdcc.gc.c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service.prv/eng/finance/card/docs/Asset_Under_Construction_Criteria_Form.xlsx" TargetMode="External"/><Relationship Id="rId14" Type="http://schemas.openxmlformats.org/officeDocument/2006/relationships/fontTable" Target="fontTable.xml"/><Relationship Id="rId22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B34F3E-E53E-4EAC-B49C-5B33FA95C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786</Words>
  <Characters>4483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GoC / GdC</Company>
  <LinksUpToDate>false</LinksUpToDate>
  <CharactersWithSpaces>5259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Chapman, Patrick [NC]</dc:creator>
  <cp:lastModifiedBy>Cerson, Seana S [NC]</cp:lastModifiedBy>
  <cp:revision>6</cp:revision>
  <cp:lastPrinted>2020-01-28T13:37:00Z</cp:lastPrinted>
  <dcterms:created xsi:type="dcterms:W3CDTF">2020-03-31T17:28:00Z</dcterms:created>
  <dcterms:modified xsi:type="dcterms:W3CDTF">2021-02-10T18:23:00Z</dcterms:modified>
</cp:coreProperties>
</file>