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5285A" w14:textId="6158AD80" w:rsidR="00745F45" w:rsidRDefault="00745F45" w:rsidP="004E6474">
      <w:pPr>
        <w:pStyle w:val="ListParagraph"/>
        <w:numPr>
          <w:ilvl w:val="0"/>
          <w:numId w:val="4"/>
        </w:numPr>
        <w:ind w:left="284" w:hanging="284"/>
        <w:rPr>
          <w:b/>
          <w:lang w:eastAsia="en-CA"/>
        </w:rPr>
      </w:pPr>
      <w:r w:rsidRPr="00745F45">
        <w:rPr>
          <w:b/>
          <w:lang w:eastAsia="en-CA"/>
        </w:rPr>
        <w:t>Application</w:t>
      </w:r>
    </w:p>
    <w:p w14:paraId="2204E16B" w14:textId="77777777" w:rsidR="00AA7F3E" w:rsidRPr="00745F45" w:rsidRDefault="00AA7F3E" w:rsidP="004E6474">
      <w:pPr>
        <w:pStyle w:val="ListParagraph"/>
        <w:ind w:left="284"/>
        <w:rPr>
          <w:b/>
          <w:lang w:eastAsia="en-CA"/>
        </w:rPr>
      </w:pPr>
    </w:p>
    <w:p w14:paraId="17A9C30A" w14:textId="5FFCA081" w:rsidR="008D597C" w:rsidRDefault="00AC646E" w:rsidP="004E6474">
      <w:pPr>
        <w:spacing w:after="0" w:line="240" w:lineRule="auto"/>
        <w:rPr>
          <w:lang w:eastAsia="en-CA"/>
        </w:rPr>
      </w:pPr>
      <w:r>
        <w:rPr>
          <w:lang w:eastAsia="en-CA"/>
        </w:rPr>
        <w:t xml:space="preserve">This </w:t>
      </w:r>
      <w:r w:rsidR="000F0B4E">
        <w:rPr>
          <w:lang w:eastAsia="en-CA"/>
        </w:rPr>
        <w:t>process</w:t>
      </w:r>
      <w:r>
        <w:rPr>
          <w:lang w:eastAsia="en-CA"/>
        </w:rPr>
        <w:t xml:space="preserve"> applies to all </w:t>
      </w:r>
      <w:r w:rsidR="005865F0">
        <w:rPr>
          <w:lang w:eastAsia="en-CA"/>
        </w:rPr>
        <w:t xml:space="preserve">Grants and Contributions (G&amp;Cs) </w:t>
      </w:r>
      <w:r w:rsidR="00BE0231">
        <w:rPr>
          <w:lang w:eastAsia="en-CA"/>
        </w:rPr>
        <w:t>projects</w:t>
      </w:r>
      <w:r w:rsidR="000F0B4E">
        <w:rPr>
          <w:lang w:eastAsia="en-CA"/>
        </w:rPr>
        <w:t xml:space="preserve"> </w:t>
      </w:r>
      <w:r w:rsidR="00BE0231">
        <w:rPr>
          <w:lang w:eastAsia="en-CA"/>
        </w:rPr>
        <w:t>within</w:t>
      </w:r>
      <w:r w:rsidR="006B14E6">
        <w:rPr>
          <w:lang w:eastAsia="en-CA"/>
        </w:rPr>
        <w:t xml:space="preserve"> the </w:t>
      </w:r>
      <w:r w:rsidR="00BE0231">
        <w:rPr>
          <w:lang w:eastAsia="en-CA"/>
        </w:rPr>
        <w:t>C</w:t>
      </w:r>
      <w:r w:rsidR="006B14E6">
        <w:rPr>
          <w:lang w:eastAsia="en-CA"/>
        </w:rPr>
        <w:t xml:space="preserve">ommon </w:t>
      </w:r>
      <w:r w:rsidR="00BE0231">
        <w:rPr>
          <w:lang w:eastAsia="en-CA"/>
        </w:rPr>
        <w:t>S</w:t>
      </w:r>
      <w:r w:rsidR="006B14E6">
        <w:rPr>
          <w:lang w:eastAsia="en-CA"/>
        </w:rPr>
        <w:t xml:space="preserve">ystem for </w:t>
      </w:r>
      <w:r w:rsidR="00BE0231">
        <w:rPr>
          <w:lang w:eastAsia="en-CA"/>
        </w:rPr>
        <w:t>G</w:t>
      </w:r>
      <w:r w:rsidR="006B14E6">
        <w:rPr>
          <w:lang w:eastAsia="en-CA"/>
        </w:rPr>
        <w:t xml:space="preserve">rants &amp; </w:t>
      </w:r>
      <w:r w:rsidR="00BE0231">
        <w:rPr>
          <w:lang w:eastAsia="en-CA"/>
        </w:rPr>
        <w:t>C</w:t>
      </w:r>
      <w:r w:rsidR="006B14E6">
        <w:rPr>
          <w:lang w:eastAsia="en-CA"/>
        </w:rPr>
        <w:t>ontribution</w:t>
      </w:r>
      <w:r w:rsidR="00D33769">
        <w:rPr>
          <w:lang w:eastAsia="en-CA"/>
        </w:rPr>
        <w:t>s</w:t>
      </w:r>
      <w:r w:rsidR="006B14E6">
        <w:rPr>
          <w:lang w:eastAsia="en-CA"/>
        </w:rPr>
        <w:t xml:space="preserve"> (CSGC)</w:t>
      </w:r>
      <w:r w:rsidR="00BE0231">
        <w:rPr>
          <w:lang w:eastAsia="en-CA"/>
        </w:rPr>
        <w:t xml:space="preserve"> for which a</w:t>
      </w:r>
      <w:r w:rsidR="00623F4D">
        <w:rPr>
          <w:lang w:eastAsia="en-CA"/>
        </w:rPr>
        <w:t xml:space="preserve"> project would require a payment to be </w:t>
      </w:r>
      <w:r w:rsidR="00623F4D" w:rsidRPr="00623F4D">
        <w:rPr>
          <w:u w:val="single"/>
          <w:lang w:eastAsia="en-CA"/>
        </w:rPr>
        <w:t>manually</w:t>
      </w:r>
      <w:r w:rsidR="00623F4D">
        <w:rPr>
          <w:lang w:eastAsia="en-CA"/>
        </w:rPr>
        <w:t xml:space="preserve"> processed directly </w:t>
      </w:r>
      <w:r w:rsidR="00EF7187">
        <w:rPr>
          <w:lang w:eastAsia="en-CA"/>
        </w:rPr>
        <w:t>through</w:t>
      </w:r>
      <w:r>
        <w:rPr>
          <w:lang w:eastAsia="en-CA"/>
        </w:rPr>
        <w:t xml:space="preserve"> </w:t>
      </w:r>
      <w:proofErr w:type="spellStart"/>
      <w:r w:rsidR="00EA3D3E">
        <w:rPr>
          <w:lang w:eastAsia="en-CA"/>
        </w:rPr>
        <w:t>myEMS</w:t>
      </w:r>
      <w:proofErr w:type="spellEnd"/>
      <w:r w:rsidR="00EA3D3E">
        <w:rPr>
          <w:lang w:eastAsia="en-CA"/>
        </w:rPr>
        <w:t xml:space="preserve"> (</w:t>
      </w:r>
      <w:r>
        <w:rPr>
          <w:lang w:eastAsia="en-CA"/>
        </w:rPr>
        <w:t>SAP</w:t>
      </w:r>
      <w:r w:rsidR="00EA3D3E">
        <w:rPr>
          <w:lang w:eastAsia="en-CA"/>
        </w:rPr>
        <w:t>)</w:t>
      </w:r>
      <w:r>
        <w:rPr>
          <w:lang w:eastAsia="en-CA"/>
        </w:rPr>
        <w:t xml:space="preserve"> and not </w:t>
      </w:r>
      <w:r w:rsidR="00937E80">
        <w:rPr>
          <w:lang w:eastAsia="en-CA"/>
        </w:rPr>
        <w:t xml:space="preserve">via the </w:t>
      </w:r>
      <w:r>
        <w:rPr>
          <w:lang w:eastAsia="en-CA"/>
        </w:rPr>
        <w:t>CSGC</w:t>
      </w:r>
      <w:r w:rsidR="00937E80">
        <w:rPr>
          <w:lang w:eastAsia="en-CA"/>
        </w:rPr>
        <w:t xml:space="preserve"> interface</w:t>
      </w:r>
      <w:r w:rsidR="00096E9A">
        <w:rPr>
          <w:lang w:eastAsia="en-CA"/>
        </w:rPr>
        <w:t>, due to exceptional circumstances</w:t>
      </w:r>
      <w:r>
        <w:rPr>
          <w:lang w:eastAsia="en-CA"/>
        </w:rPr>
        <w:t>.</w:t>
      </w:r>
      <w:r w:rsidR="00A83E06">
        <w:rPr>
          <w:lang w:eastAsia="en-CA"/>
        </w:rPr>
        <w:t xml:space="preserve"> </w:t>
      </w:r>
    </w:p>
    <w:p w14:paraId="7DCA87F9" w14:textId="77777777" w:rsidR="00397475" w:rsidRDefault="00397475" w:rsidP="004E6474">
      <w:pPr>
        <w:spacing w:after="0" w:line="240" w:lineRule="auto"/>
        <w:rPr>
          <w:lang w:eastAsia="en-CA"/>
        </w:rPr>
      </w:pPr>
    </w:p>
    <w:p w14:paraId="66AC0EE7" w14:textId="639FA003" w:rsidR="00AC646E" w:rsidRDefault="008D597C" w:rsidP="004E6474">
      <w:pPr>
        <w:spacing w:after="0" w:line="240" w:lineRule="auto"/>
        <w:rPr>
          <w:lang w:eastAsia="en-CA"/>
        </w:rPr>
      </w:pPr>
      <w:r>
        <w:rPr>
          <w:lang w:eastAsia="en-CA"/>
        </w:rPr>
        <w:t>Exceptions to this</w:t>
      </w:r>
      <w:r w:rsidR="000F0B4E">
        <w:rPr>
          <w:lang w:eastAsia="en-CA"/>
        </w:rPr>
        <w:t xml:space="preserve"> process</w:t>
      </w:r>
      <w:r>
        <w:rPr>
          <w:lang w:eastAsia="en-CA"/>
        </w:rPr>
        <w:t xml:space="preserve"> are</w:t>
      </w:r>
      <w:r w:rsidR="000E6235">
        <w:rPr>
          <w:lang w:eastAsia="en-CA"/>
        </w:rPr>
        <w:t xml:space="preserve"> </w:t>
      </w:r>
      <w:r w:rsidR="00977390">
        <w:rPr>
          <w:lang w:eastAsia="en-CA"/>
        </w:rPr>
        <w:t xml:space="preserve">listed in </w:t>
      </w:r>
      <w:r w:rsidR="00977390" w:rsidRPr="00076C6E">
        <w:rPr>
          <w:b/>
          <w:color w:val="1F497D" w:themeColor="text2"/>
          <w:lang w:eastAsia="en-CA"/>
        </w:rPr>
        <w:t xml:space="preserve">Appendix </w:t>
      </w:r>
      <w:r w:rsidR="00E1159D" w:rsidRPr="00076C6E">
        <w:rPr>
          <w:b/>
          <w:color w:val="1F497D" w:themeColor="text2"/>
          <w:lang w:eastAsia="en-CA"/>
        </w:rPr>
        <w:t>C</w:t>
      </w:r>
      <w:r>
        <w:rPr>
          <w:lang w:eastAsia="en-CA"/>
        </w:rPr>
        <w:t>.</w:t>
      </w:r>
    </w:p>
    <w:p w14:paraId="0E197FCE" w14:textId="2A6A7A9B" w:rsidR="00AA7F3E" w:rsidRDefault="00AA7F3E" w:rsidP="004E6474">
      <w:pPr>
        <w:spacing w:after="0" w:line="240" w:lineRule="auto"/>
        <w:rPr>
          <w:lang w:eastAsia="en-CA"/>
        </w:rPr>
      </w:pPr>
    </w:p>
    <w:p w14:paraId="51EE42DB" w14:textId="77777777" w:rsidR="00AA7F3E" w:rsidRDefault="00AA7F3E" w:rsidP="004E6474">
      <w:pPr>
        <w:spacing w:after="0" w:line="240" w:lineRule="auto"/>
        <w:rPr>
          <w:lang w:eastAsia="en-CA"/>
        </w:rPr>
      </w:pPr>
    </w:p>
    <w:p w14:paraId="71C49D90" w14:textId="0ED7F6BB" w:rsidR="00563B90" w:rsidRDefault="00563B90" w:rsidP="004E6474">
      <w:pPr>
        <w:pStyle w:val="ListParagraph"/>
        <w:numPr>
          <w:ilvl w:val="0"/>
          <w:numId w:val="4"/>
        </w:numPr>
        <w:ind w:left="284" w:hanging="284"/>
        <w:rPr>
          <w:b/>
          <w:lang w:eastAsia="en-CA"/>
        </w:rPr>
      </w:pPr>
      <w:r w:rsidRPr="00563B90">
        <w:rPr>
          <w:b/>
          <w:lang w:eastAsia="en-CA"/>
        </w:rPr>
        <w:t>Context</w:t>
      </w:r>
    </w:p>
    <w:p w14:paraId="0E21250D" w14:textId="77777777" w:rsidR="00AA7F3E" w:rsidRPr="00563B90" w:rsidRDefault="00AA7F3E" w:rsidP="004E6474">
      <w:pPr>
        <w:pStyle w:val="ListParagraph"/>
        <w:ind w:left="284"/>
        <w:rPr>
          <w:b/>
          <w:lang w:eastAsia="en-CA"/>
        </w:rPr>
      </w:pPr>
    </w:p>
    <w:p w14:paraId="1EDDA1DD" w14:textId="53E9B3A7" w:rsidR="00DF643B" w:rsidRDefault="00096E9A" w:rsidP="004E6474">
      <w:pPr>
        <w:spacing w:after="0"/>
        <w:rPr>
          <w:lang w:eastAsia="en-CA"/>
        </w:rPr>
      </w:pPr>
      <w:r>
        <w:rPr>
          <w:lang w:eastAsia="en-CA"/>
        </w:rPr>
        <w:t xml:space="preserve">CSGC is the official departmental system for managing G&amp;C’s. </w:t>
      </w:r>
      <w:r w:rsidR="00DF643B" w:rsidRPr="00DF643B">
        <w:rPr>
          <w:lang w:eastAsia="en-CA"/>
        </w:rPr>
        <w:t>CSGC</w:t>
      </w:r>
      <w:r w:rsidR="00DF643B">
        <w:rPr>
          <w:lang w:eastAsia="en-CA"/>
        </w:rPr>
        <w:t xml:space="preserve"> </w:t>
      </w:r>
      <w:r w:rsidR="00DF643B" w:rsidRPr="00DF643B">
        <w:rPr>
          <w:lang w:eastAsia="en-CA"/>
        </w:rPr>
        <w:t>support</w:t>
      </w:r>
      <w:r w:rsidR="0048244E">
        <w:rPr>
          <w:lang w:eastAsia="en-CA"/>
        </w:rPr>
        <w:t>s</w:t>
      </w:r>
      <w:r w:rsidR="00DF643B" w:rsidRPr="00DF643B">
        <w:rPr>
          <w:lang w:eastAsia="en-CA"/>
        </w:rPr>
        <w:t xml:space="preserve"> the management and administration of the Department's </w:t>
      </w:r>
      <w:proofErr w:type="spellStart"/>
      <w:r w:rsidR="00DF643B" w:rsidRPr="00DF643B">
        <w:rPr>
          <w:lang w:eastAsia="en-CA"/>
        </w:rPr>
        <w:t>G</w:t>
      </w:r>
      <w:r w:rsidR="0048244E">
        <w:rPr>
          <w:lang w:eastAsia="en-CA"/>
        </w:rPr>
        <w:t>s&amp;</w:t>
      </w:r>
      <w:r w:rsidR="00DF643B" w:rsidRPr="00DF643B">
        <w:rPr>
          <w:lang w:eastAsia="en-CA"/>
        </w:rPr>
        <w:t>C</w:t>
      </w:r>
      <w:r w:rsidR="0048244E">
        <w:rPr>
          <w:lang w:eastAsia="en-CA"/>
        </w:rPr>
        <w:t>s</w:t>
      </w:r>
      <w:proofErr w:type="spellEnd"/>
      <w:r w:rsidR="00DF643B" w:rsidRPr="00DF643B">
        <w:rPr>
          <w:lang w:eastAsia="en-CA"/>
        </w:rPr>
        <w:t xml:space="preserve"> programs. CSGC is designed to address the needs of the Department's business lines, following the Project Life Cycle (PLC), and the Client </w:t>
      </w:r>
      <w:r w:rsidR="00C96444">
        <w:rPr>
          <w:lang w:eastAsia="en-CA"/>
        </w:rPr>
        <w:t xml:space="preserve">Module </w:t>
      </w:r>
      <w:r w:rsidR="00DF643B" w:rsidRPr="00DF643B">
        <w:rPr>
          <w:lang w:eastAsia="en-CA"/>
        </w:rPr>
        <w:t>(C</w:t>
      </w:r>
      <w:r w:rsidR="00C96444">
        <w:rPr>
          <w:lang w:eastAsia="en-CA"/>
        </w:rPr>
        <w:t>M</w:t>
      </w:r>
      <w:r w:rsidR="00DF643B" w:rsidRPr="00DF643B">
        <w:rPr>
          <w:lang w:eastAsia="en-CA"/>
        </w:rPr>
        <w:t>).</w:t>
      </w:r>
      <w:r>
        <w:rPr>
          <w:lang w:eastAsia="en-CA"/>
        </w:rPr>
        <w:t xml:space="preserve"> </w:t>
      </w:r>
      <w:r w:rsidRPr="00B73E19">
        <w:rPr>
          <w:lang w:eastAsia="en-CA"/>
        </w:rPr>
        <w:t xml:space="preserve">All </w:t>
      </w:r>
      <w:proofErr w:type="spellStart"/>
      <w:r>
        <w:rPr>
          <w:lang w:eastAsia="en-CA"/>
        </w:rPr>
        <w:t>Gs&amp;Cs</w:t>
      </w:r>
      <w:proofErr w:type="spellEnd"/>
      <w:r w:rsidRPr="00B73E19">
        <w:rPr>
          <w:lang w:eastAsia="en-CA"/>
        </w:rPr>
        <w:t xml:space="preserve"> payments</w:t>
      </w:r>
      <w:r>
        <w:rPr>
          <w:lang w:eastAsia="en-CA"/>
        </w:rPr>
        <w:t xml:space="preserve"> </w:t>
      </w:r>
      <w:r w:rsidRPr="00B73E19">
        <w:rPr>
          <w:lang w:eastAsia="en-CA"/>
        </w:rPr>
        <w:t>must be issued out of CSGC. In exceptional circumstances for which</w:t>
      </w:r>
      <w:r>
        <w:rPr>
          <w:lang w:eastAsia="en-CA"/>
        </w:rPr>
        <w:t xml:space="preserve"> a CSGC project would require a payment to be </w:t>
      </w:r>
      <w:r>
        <w:rPr>
          <w:u w:val="single"/>
          <w:lang w:eastAsia="en-CA"/>
        </w:rPr>
        <w:t>manually</w:t>
      </w:r>
      <w:r>
        <w:rPr>
          <w:lang w:eastAsia="en-CA"/>
        </w:rPr>
        <w:t xml:space="preserve"> processed directly through SAP,</w:t>
      </w:r>
      <w:r w:rsidR="00C529D3">
        <w:rPr>
          <w:lang w:eastAsia="en-CA"/>
        </w:rPr>
        <w:t xml:space="preserve"> this step-by-step process must be adhered to.</w:t>
      </w:r>
    </w:p>
    <w:p w14:paraId="479E028F" w14:textId="51BDF986" w:rsidR="00AA7F3E" w:rsidRDefault="00AA7F3E" w:rsidP="004E6474">
      <w:pPr>
        <w:spacing w:after="0"/>
        <w:rPr>
          <w:lang w:eastAsia="en-CA"/>
        </w:rPr>
      </w:pPr>
    </w:p>
    <w:p w14:paraId="001A6D1D" w14:textId="77777777" w:rsidR="00AA7F3E" w:rsidRDefault="00AA7F3E" w:rsidP="004E6474">
      <w:pPr>
        <w:spacing w:after="0"/>
        <w:rPr>
          <w:lang w:eastAsia="en-CA"/>
        </w:rPr>
      </w:pPr>
    </w:p>
    <w:p w14:paraId="37975B33" w14:textId="45ADCB73" w:rsidR="004F4441" w:rsidRDefault="004879A5" w:rsidP="004E6474">
      <w:pPr>
        <w:pStyle w:val="ListParagraph"/>
        <w:numPr>
          <w:ilvl w:val="0"/>
          <w:numId w:val="4"/>
        </w:numPr>
        <w:ind w:left="426" w:hanging="426"/>
        <w:rPr>
          <w:b/>
          <w:lang w:eastAsia="en-CA"/>
        </w:rPr>
      </w:pPr>
      <w:r w:rsidRPr="00A653B1">
        <w:rPr>
          <w:b/>
          <w:lang w:eastAsia="en-CA"/>
        </w:rPr>
        <w:t>Objective</w:t>
      </w:r>
      <w:r w:rsidR="007C4613">
        <w:rPr>
          <w:b/>
          <w:lang w:eastAsia="en-CA"/>
        </w:rPr>
        <w:t>s</w:t>
      </w:r>
    </w:p>
    <w:p w14:paraId="3762DA50" w14:textId="77777777" w:rsidR="00AA7F3E" w:rsidRPr="00A653B1" w:rsidRDefault="00AA7F3E" w:rsidP="004E6474">
      <w:pPr>
        <w:pStyle w:val="ListParagraph"/>
        <w:ind w:left="426"/>
        <w:rPr>
          <w:b/>
          <w:lang w:eastAsia="en-CA"/>
        </w:rPr>
      </w:pPr>
    </w:p>
    <w:p w14:paraId="44928B0B" w14:textId="77777777" w:rsidR="007C4613" w:rsidRDefault="007C4613" w:rsidP="004E6474">
      <w:pPr>
        <w:spacing w:after="0"/>
        <w:rPr>
          <w:lang w:eastAsia="en-CA"/>
        </w:rPr>
      </w:pPr>
      <w:r>
        <w:rPr>
          <w:lang w:eastAsia="en-CA"/>
        </w:rPr>
        <w:t xml:space="preserve">The objectives of this </w:t>
      </w:r>
      <w:r w:rsidR="000F0B4E">
        <w:rPr>
          <w:lang w:eastAsia="en-CA"/>
        </w:rPr>
        <w:t xml:space="preserve">process </w:t>
      </w:r>
      <w:r w:rsidR="00266115">
        <w:rPr>
          <w:lang w:eastAsia="en-CA"/>
        </w:rPr>
        <w:t>include</w:t>
      </w:r>
      <w:r>
        <w:rPr>
          <w:lang w:eastAsia="en-CA"/>
        </w:rPr>
        <w:t>:</w:t>
      </w:r>
    </w:p>
    <w:p w14:paraId="44ED04D4" w14:textId="33331959" w:rsidR="0048244E" w:rsidRPr="0048244E" w:rsidRDefault="000F0B4E" w:rsidP="004E647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14412E">
        <w:rPr>
          <w:rFonts w:asciiTheme="minorHAnsi" w:hAnsiTheme="minorHAnsi" w:cstheme="minorHAnsi"/>
          <w:sz w:val="22"/>
          <w:szCs w:val="22"/>
          <w:lang w:val="en"/>
        </w:rPr>
        <w:t>Ensur</w:t>
      </w:r>
      <w:r w:rsidR="00296B08">
        <w:rPr>
          <w:rFonts w:asciiTheme="minorHAnsi" w:hAnsiTheme="minorHAnsi" w:cstheme="minorHAnsi"/>
          <w:sz w:val="22"/>
          <w:szCs w:val="22"/>
          <w:lang w:val="en"/>
        </w:rPr>
        <w:t>ing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t xml:space="preserve"> proper</w:t>
      </w:r>
      <w:r w:rsidR="007C4613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internal control</w:t>
      </w:r>
      <w:r w:rsidR="00266115" w:rsidRPr="0014412E">
        <w:rPr>
          <w:rFonts w:asciiTheme="minorHAnsi" w:hAnsiTheme="minorHAnsi" w:cstheme="minorHAnsi"/>
          <w:sz w:val="22"/>
          <w:szCs w:val="22"/>
          <w:lang w:val="en"/>
        </w:rPr>
        <w:t>s</w:t>
      </w:r>
      <w:r w:rsidR="007C4613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and</w:t>
      </w:r>
      <w:r w:rsidR="00266115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standardize </w:t>
      </w:r>
      <w:r w:rsidR="007C4613" w:rsidRPr="0014412E">
        <w:rPr>
          <w:rFonts w:asciiTheme="minorHAnsi" w:hAnsiTheme="minorHAnsi" w:cstheme="minorHAnsi"/>
          <w:sz w:val="22"/>
          <w:szCs w:val="22"/>
          <w:lang w:val="en"/>
        </w:rPr>
        <w:t>procedures</w:t>
      </w:r>
      <w:r w:rsidR="003201E1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are utilized for the issuance of CSGC manual payments</w:t>
      </w:r>
      <w:r w:rsidR="002F0739">
        <w:rPr>
          <w:rFonts w:asciiTheme="minorHAnsi" w:hAnsiTheme="minorHAnsi" w:cstheme="minorHAnsi"/>
          <w:sz w:val="22"/>
          <w:szCs w:val="22"/>
          <w:lang w:val="en"/>
        </w:rPr>
        <w:t>;</w:t>
      </w:r>
    </w:p>
    <w:p w14:paraId="53DF1F11" w14:textId="31FACC32" w:rsidR="007C4613" w:rsidRPr="0014412E" w:rsidRDefault="007C4613" w:rsidP="004E647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14412E">
        <w:rPr>
          <w:rFonts w:asciiTheme="minorHAnsi" w:hAnsiTheme="minorHAnsi" w:cstheme="minorHAnsi"/>
          <w:sz w:val="22"/>
          <w:szCs w:val="22"/>
          <w:lang w:val="en"/>
        </w:rPr>
        <w:t>Strengthen</w:t>
      </w:r>
      <w:r w:rsidR="00296B08">
        <w:rPr>
          <w:rFonts w:asciiTheme="minorHAnsi" w:hAnsiTheme="minorHAnsi" w:cstheme="minorHAnsi"/>
          <w:sz w:val="22"/>
          <w:szCs w:val="22"/>
          <w:lang w:val="en"/>
        </w:rPr>
        <w:t>ing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t xml:space="preserve"> CSGC’s position as the official system for managing G&amp;Cs</w:t>
      </w:r>
      <w:r w:rsidR="002F0739">
        <w:rPr>
          <w:rFonts w:asciiTheme="minorHAnsi" w:hAnsiTheme="minorHAnsi" w:cstheme="minorHAnsi"/>
          <w:sz w:val="22"/>
          <w:szCs w:val="22"/>
          <w:lang w:val="en"/>
        </w:rPr>
        <w:t>;</w:t>
      </w:r>
    </w:p>
    <w:p w14:paraId="31B7B827" w14:textId="2DFC034F" w:rsidR="007C4613" w:rsidRPr="0014412E" w:rsidRDefault="00296B08" w:rsidP="004E647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Reducing</w:t>
      </w:r>
      <w:r w:rsidR="007C4613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the number of manual payments going through SAP to a minimum</w:t>
      </w:r>
      <w:r w:rsidR="002F0739">
        <w:rPr>
          <w:rFonts w:asciiTheme="minorHAnsi" w:hAnsiTheme="minorHAnsi" w:cstheme="minorHAnsi"/>
          <w:sz w:val="22"/>
          <w:szCs w:val="22"/>
          <w:lang w:val="en"/>
        </w:rPr>
        <w:t>;</w:t>
      </w:r>
    </w:p>
    <w:p w14:paraId="70207600" w14:textId="0F98C75F" w:rsidR="007C4613" w:rsidRPr="004E6474" w:rsidRDefault="00296B08" w:rsidP="004E647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Improving</w:t>
      </w:r>
      <w:r w:rsidR="007C4613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DC149C" w:rsidRPr="0014412E">
        <w:rPr>
          <w:rFonts w:asciiTheme="minorHAnsi" w:hAnsiTheme="minorHAnsi" w:cstheme="minorHAnsi"/>
          <w:sz w:val="22"/>
          <w:szCs w:val="22"/>
          <w:lang w:val="en"/>
        </w:rPr>
        <w:t>reporting and</w:t>
      </w:r>
      <w:r w:rsidR="00051AE0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integration</w:t>
      </w:r>
      <w:r w:rsidR="00DC149C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by </w:t>
      </w:r>
      <w:r w:rsidR="007C4613" w:rsidRPr="0014412E">
        <w:rPr>
          <w:rFonts w:asciiTheme="minorHAnsi" w:hAnsiTheme="minorHAnsi" w:cstheme="minorHAnsi"/>
          <w:sz w:val="22"/>
          <w:szCs w:val="22"/>
          <w:lang w:val="en"/>
        </w:rPr>
        <w:t>reduc</w:t>
      </w:r>
      <w:r w:rsidR="00DC149C" w:rsidRPr="0014412E">
        <w:rPr>
          <w:rFonts w:asciiTheme="minorHAnsi" w:hAnsiTheme="minorHAnsi" w:cstheme="minorHAnsi"/>
          <w:sz w:val="22"/>
          <w:szCs w:val="22"/>
          <w:lang w:val="en"/>
        </w:rPr>
        <w:t>ing</w:t>
      </w:r>
      <w:r w:rsidR="007C4613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reconciliation efforts between CSGC and SAP</w:t>
      </w:r>
      <w:r w:rsidR="002F0739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73253AAF" w14:textId="77777777" w:rsidR="00AA7F3E" w:rsidRPr="0014412E" w:rsidRDefault="00AA7F3E" w:rsidP="004E6474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lang w:val="en"/>
        </w:rPr>
      </w:pPr>
    </w:p>
    <w:p w14:paraId="285BC2EE" w14:textId="77777777" w:rsidR="00413811" w:rsidRPr="00413811" w:rsidRDefault="00413811" w:rsidP="004E6474">
      <w:pPr>
        <w:spacing w:after="0"/>
        <w:rPr>
          <w:rFonts w:cstheme="minorHAnsi"/>
        </w:rPr>
      </w:pPr>
      <w:r w:rsidRPr="00413811">
        <w:rPr>
          <w:rFonts w:cstheme="minorHAnsi"/>
        </w:rPr>
        <w:t>These objectives are in line with Treasury Board and Departmental policies and directives, such as:</w:t>
      </w:r>
    </w:p>
    <w:p w14:paraId="6351F1B6" w14:textId="77777777" w:rsidR="00467FE6" w:rsidRPr="003A13D8" w:rsidRDefault="00467FE6" w:rsidP="004E647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  <w:lang w:val="en"/>
        </w:rPr>
      </w:pPr>
      <w:r w:rsidRPr="003A13D8">
        <w:rPr>
          <w:rFonts w:asciiTheme="minorHAnsi" w:hAnsiTheme="minorHAnsi" w:cstheme="minorHAnsi"/>
          <w:sz w:val="22"/>
          <w:szCs w:val="22"/>
          <w:lang w:val="en"/>
        </w:rPr>
        <w:t xml:space="preserve">Sections 32, 33 and 34 of the </w:t>
      </w:r>
      <w:hyperlink r:id="rId8" w:history="1">
        <w:r w:rsidRPr="003A13D8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lang w:val="en"/>
          </w:rPr>
          <w:t>Financial Administration Act</w:t>
        </w:r>
      </w:hyperlink>
      <w:r w:rsidRPr="003A13D8">
        <w:rPr>
          <w:rStyle w:val="Hyperlink"/>
          <w:color w:val="auto"/>
        </w:rPr>
        <w:t xml:space="preserve"> </w:t>
      </w:r>
      <w:r w:rsidRPr="00096E9A">
        <w:rPr>
          <w:rFonts w:asciiTheme="minorHAnsi" w:hAnsiTheme="minorHAnsi" w:cstheme="minorHAnsi"/>
          <w:i/>
          <w:sz w:val="22"/>
          <w:szCs w:val="22"/>
          <w:u w:val="single"/>
          <w:lang w:val="en"/>
        </w:rPr>
        <w:t>(FAA)</w:t>
      </w:r>
    </w:p>
    <w:p w14:paraId="59B2B75F" w14:textId="77777777" w:rsidR="00467FE6" w:rsidRPr="003A13D8" w:rsidRDefault="00B83764" w:rsidP="004E6474">
      <w:pPr>
        <w:pStyle w:val="NormalWeb"/>
        <w:numPr>
          <w:ilvl w:val="0"/>
          <w:numId w:val="25"/>
        </w:numPr>
        <w:spacing w:before="0" w:beforeAutospacing="0" w:after="0" w:afterAutospacing="0"/>
        <w:rPr>
          <w:rStyle w:val="Hyperlink"/>
          <w:color w:val="auto"/>
        </w:rPr>
      </w:pPr>
      <w:hyperlink r:id="rId9" w:history="1">
        <w:r w:rsidR="00467FE6" w:rsidRPr="003A13D8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lang w:val="en"/>
          </w:rPr>
          <w:t>Directive on Accounting Standards: GC 5100 Payables at Year-End (PAYE)</w:t>
        </w:r>
      </w:hyperlink>
    </w:p>
    <w:p w14:paraId="383192B3" w14:textId="77777777" w:rsidR="00467FE6" w:rsidRPr="003A13D8" w:rsidRDefault="00467FE6" w:rsidP="004E6474">
      <w:pPr>
        <w:pStyle w:val="NormalWeb"/>
        <w:numPr>
          <w:ilvl w:val="0"/>
          <w:numId w:val="25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i/>
          <w:color w:val="auto"/>
          <w:sz w:val="22"/>
          <w:szCs w:val="22"/>
          <w:lang w:val="en"/>
        </w:rPr>
      </w:pPr>
      <w:r w:rsidRPr="003A13D8">
        <w:rPr>
          <w:rFonts w:asciiTheme="minorHAnsi" w:hAnsiTheme="minorHAnsi" w:cstheme="minorHAnsi"/>
          <w:i/>
          <w:sz w:val="22"/>
          <w:szCs w:val="22"/>
          <w:lang w:val="en"/>
        </w:rPr>
        <w:fldChar w:fldCharType="begin"/>
      </w:r>
      <w:r w:rsidRPr="003A13D8">
        <w:rPr>
          <w:rFonts w:asciiTheme="minorHAnsi" w:hAnsiTheme="minorHAnsi" w:cstheme="minorHAnsi"/>
          <w:i/>
          <w:sz w:val="22"/>
          <w:szCs w:val="22"/>
          <w:lang w:val="en"/>
        </w:rPr>
        <w:instrText xml:space="preserve"> HYPERLINK "https://www.tbs-sct.gc.ca/pol/doc-eng.aspx?id=13525" </w:instrText>
      </w:r>
      <w:r w:rsidRPr="003A13D8">
        <w:rPr>
          <w:rFonts w:asciiTheme="minorHAnsi" w:hAnsiTheme="minorHAnsi" w:cstheme="minorHAnsi"/>
          <w:i/>
          <w:sz w:val="22"/>
          <w:szCs w:val="22"/>
          <w:lang w:val="en"/>
        </w:rPr>
        <w:fldChar w:fldCharType="separate"/>
      </w:r>
      <w:r w:rsidRPr="003A13D8">
        <w:rPr>
          <w:rStyle w:val="Hyperlink"/>
          <w:rFonts w:asciiTheme="minorHAnsi" w:hAnsiTheme="minorHAnsi" w:cstheme="minorHAnsi"/>
          <w:i/>
          <w:color w:val="auto"/>
          <w:sz w:val="22"/>
          <w:szCs w:val="22"/>
          <w:lang w:val="en"/>
        </w:rPr>
        <w:t>TBS Policy on Transfer Payments</w:t>
      </w:r>
    </w:p>
    <w:p w14:paraId="60D5B90A" w14:textId="77777777" w:rsidR="00467FE6" w:rsidRPr="003A13D8" w:rsidRDefault="00467FE6" w:rsidP="004E647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  <w:lang w:val="en"/>
        </w:rPr>
      </w:pPr>
      <w:r w:rsidRPr="003A13D8">
        <w:rPr>
          <w:rFonts w:asciiTheme="minorHAnsi" w:hAnsiTheme="minorHAnsi" w:cstheme="minorHAnsi"/>
          <w:i/>
          <w:sz w:val="22"/>
          <w:szCs w:val="22"/>
          <w:lang w:val="en"/>
        </w:rPr>
        <w:fldChar w:fldCharType="end"/>
      </w:r>
      <w:hyperlink r:id="rId10" w:history="1">
        <w:r w:rsidRPr="003A13D8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lang w:val="en"/>
          </w:rPr>
          <w:t>TBS Directive on Transfer Payments</w:t>
        </w:r>
      </w:hyperlink>
    </w:p>
    <w:p w14:paraId="02289093" w14:textId="77777777" w:rsidR="00467FE6" w:rsidRPr="003A13D8" w:rsidRDefault="00467FE6" w:rsidP="004E647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  <w:lang w:val="en"/>
        </w:rPr>
      </w:pPr>
      <w:r w:rsidRPr="003A13D8">
        <w:rPr>
          <w:rFonts w:asciiTheme="minorHAnsi" w:hAnsiTheme="minorHAnsi" w:cstheme="minorHAnsi"/>
          <w:i/>
          <w:sz w:val="22"/>
          <w:szCs w:val="22"/>
          <w:lang w:val="en"/>
        </w:rPr>
        <w:t>Departmental Grants and Contribution Policy</w:t>
      </w:r>
      <w:r w:rsidRPr="003A13D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"/>
        </w:rPr>
        <w:t xml:space="preserve"> </w:t>
      </w:r>
      <w:r w:rsidRPr="003A13D8">
        <w:rPr>
          <w:rFonts w:asciiTheme="minorHAnsi" w:hAnsiTheme="minorHAnsi" w:cstheme="minorHAnsi"/>
          <w:i/>
          <w:sz w:val="22"/>
          <w:szCs w:val="22"/>
          <w:lang w:val="en"/>
        </w:rPr>
        <w:t>(rescinded and archived - currently being revised)</w:t>
      </w:r>
    </w:p>
    <w:p w14:paraId="693F0601" w14:textId="422E4C37" w:rsidR="00AD468F" w:rsidRPr="004E6474" w:rsidRDefault="00B83764" w:rsidP="004E6474">
      <w:pPr>
        <w:pStyle w:val="NormalWeb"/>
        <w:numPr>
          <w:ilvl w:val="0"/>
          <w:numId w:val="25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  <w:lang w:val="en"/>
        </w:rPr>
      </w:pPr>
      <w:hyperlink r:id="rId11" w:history="1">
        <w:r w:rsidR="00467FE6" w:rsidRPr="003A13D8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lang w:val="en"/>
          </w:rPr>
          <w:t>TBS Guideline for the “Policy on Internal Control”</w:t>
        </w:r>
      </w:hyperlink>
    </w:p>
    <w:p w14:paraId="052EAD74" w14:textId="45C1C7C3" w:rsidR="00AA7F3E" w:rsidRPr="004E6474" w:rsidRDefault="00AA7F3E" w:rsidP="004E6474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en"/>
        </w:rPr>
      </w:pPr>
    </w:p>
    <w:p w14:paraId="36195AC2" w14:textId="77777777" w:rsidR="00AA7F3E" w:rsidRPr="004E6474" w:rsidRDefault="00AA7F3E" w:rsidP="004E6474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en"/>
        </w:rPr>
      </w:pPr>
    </w:p>
    <w:p w14:paraId="31D653D2" w14:textId="3601F233" w:rsidR="0063708D" w:rsidRDefault="005B127F" w:rsidP="004E6474">
      <w:pPr>
        <w:pStyle w:val="ListParagraph"/>
        <w:numPr>
          <w:ilvl w:val="0"/>
          <w:numId w:val="4"/>
        </w:numPr>
        <w:ind w:left="425" w:hanging="425"/>
        <w:rPr>
          <w:b/>
          <w:lang w:eastAsia="en-CA"/>
        </w:rPr>
      </w:pPr>
      <w:r>
        <w:rPr>
          <w:b/>
          <w:lang w:eastAsia="en-CA"/>
        </w:rPr>
        <w:t>S</w:t>
      </w:r>
      <w:r w:rsidR="00342B20">
        <w:rPr>
          <w:b/>
          <w:lang w:eastAsia="en-CA"/>
        </w:rPr>
        <w:t>ummarized s</w:t>
      </w:r>
      <w:r>
        <w:rPr>
          <w:b/>
          <w:lang w:eastAsia="en-CA"/>
        </w:rPr>
        <w:t>teps to complete a CSGC manual payment request</w:t>
      </w:r>
    </w:p>
    <w:p w14:paraId="03B56659" w14:textId="77777777" w:rsidR="00AA7F3E" w:rsidRPr="0063708D" w:rsidRDefault="00AA7F3E" w:rsidP="004E6474">
      <w:pPr>
        <w:pStyle w:val="ListParagraph"/>
        <w:ind w:left="425"/>
        <w:rPr>
          <w:b/>
          <w:lang w:eastAsia="en-CA"/>
        </w:rPr>
      </w:pPr>
    </w:p>
    <w:p w14:paraId="065A68A6" w14:textId="768F1C2D" w:rsidR="006F1AEE" w:rsidRDefault="00C529D3" w:rsidP="004E6474">
      <w:pPr>
        <w:spacing w:after="0" w:line="240" w:lineRule="auto"/>
        <w:rPr>
          <w:lang w:eastAsia="en-CA"/>
        </w:rPr>
      </w:pPr>
      <w:r>
        <w:rPr>
          <w:lang w:eastAsia="en-CA"/>
        </w:rPr>
        <w:t>T</w:t>
      </w:r>
      <w:r w:rsidR="006F1AEE">
        <w:rPr>
          <w:lang w:eastAsia="en-CA"/>
        </w:rPr>
        <w:t>he</w:t>
      </w:r>
      <w:r w:rsidR="00467FE6">
        <w:rPr>
          <w:lang w:eastAsia="en-CA"/>
        </w:rPr>
        <w:t xml:space="preserve"> </w:t>
      </w:r>
      <w:r w:rsidR="00467FE6" w:rsidRPr="00D33ADD">
        <w:rPr>
          <w:lang w:eastAsia="en-CA"/>
        </w:rPr>
        <w:t xml:space="preserve">following </w:t>
      </w:r>
      <w:r w:rsidR="00296B08">
        <w:rPr>
          <w:lang w:eastAsia="en-CA"/>
        </w:rPr>
        <w:t>procedure</w:t>
      </w:r>
      <w:r w:rsidR="00467FE6" w:rsidRPr="00D33ADD">
        <w:rPr>
          <w:lang w:eastAsia="en-CA"/>
        </w:rPr>
        <w:t xml:space="preserve"> must be adhere</w:t>
      </w:r>
      <w:r w:rsidR="00296B08">
        <w:rPr>
          <w:lang w:eastAsia="en-CA"/>
        </w:rPr>
        <w:t>d</w:t>
      </w:r>
      <w:r w:rsidR="00467FE6" w:rsidRPr="00D33ADD">
        <w:rPr>
          <w:lang w:eastAsia="en-CA"/>
        </w:rPr>
        <w:t xml:space="preserve"> to</w:t>
      </w:r>
      <w:r w:rsidR="006F1AEE" w:rsidRPr="00D33ADD">
        <w:rPr>
          <w:lang w:eastAsia="en-CA"/>
        </w:rPr>
        <w:t>:</w:t>
      </w:r>
    </w:p>
    <w:p w14:paraId="6B38EE25" w14:textId="77777777" w:rsidR="00F578F4" w:rsidRPr="00D33ADD" w:rsidRDefault="00F578F4" w:rsidP="004E6474">
      <w:pPr>
        <w:spacing w:after="0" w:line="240" w:lineRule="auto"/>
        <w:rPr>
          <w:lang w:eastAsia="en-CA"/>
        </w:rPr>
      </w:pPr>
    </w:p>
    <w:p w14:paraId="556D551C" w14:textId="392464B8" w:rsidR="00296B08" w:rsidRPr="003A13D8" w:rsidRDefault="00636C06" w:rsidP="004E6474">
      <w:pPr>
        <w:pStyle w:val="NormalWeb"/>
        <w:numPr>
          <w:ilvl w:val="0"/>
          <w:numId w:val="23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  <w:lang w:val="en"/>
        </w:rPr>
      </w:pPr>
      <w:r w:rsidRPr="0014412E">
        <w:rPr>
          <w:rFonts w:asciiTheme="minorHAnsi" w:hAnsiTheme="minorHAnsi" w:cstheme="minorHAnsi"/>
          <w:sz w:val="22"/>
          <w:szCs w:val="22"/>
          <w:lang w:val="en"/>
        </w:rPr>
        <w:t xml:space="preserve">Before </w:t>
      </w:r>
      <w:r w:rsidR="005C7A1D">
        <w:rPr>
          <w:rFonts w:asciiTheme="minorHAnsi" w:hAnsiTheme="minorHAnsi" w:cstheme="minorHAnsi"/>
          <w:sz w:val="22"/>
          <w:szCs w:val="22"/>
          <w:lang w:val="en"/>
        </w:rPr>
        <w:t>initiating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296B08">
        <w:rPr>
          <w:rFonts w:asciiTheme="minorHAnsi" w:hAnsiTheme="minorHAnsi" w:cstheme="minorHAnsi"/>
          <w:sz w:val="22"/>
          <w:szCs w:val="22"/>
          <w:lang w:val="en"/>
        </w:rPr>
        <w:t>a</w:t>
      </w:r>
      <w:r w:rsidR="005C7A1D">
        <w:rPr>
          <w:rFonts w:asciiTheme="minorHAnsi" w:hAnsiTheme="minorHAnsi" w:cstheme="minorHAnsi"/>
          <w:sz w:val="22"/>
          <w:szCs w:val="22"/>
          <w:lang w:val="en"/>
        </w:rPr>
        <w:t xml:space="preserve"> request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r w:rsidRPr="00296B08">
        <w:rPr>
          <w:rFonts w:asciiTheme="minorHAnsi" w:hAnsiTheme="minorHAnsi" w:cstheme="minorHAnsi"/>
          <w:sz w:val="22"/>
          <w:szCs w:val="22"/>
          <w:u w:val="single"/>
          <w:lang w:val="en"/>
        </w:rPr>
        <w:t xml:space="preserve">all </w:t>
      </w:r>
      <w:r w:rsidR="0048244E" w:rsidRPr="00296B08">
        <w:rPr>
          <w:rFonts w:asciiTheme="minorHAnsi" w:hAnsiTheme="minorHAnsi" w:cstheme="minorHAnsi"/>
          <w:sz w:val="22"/>
          <w:szCs w:val="22"/>
          <w:u w:val="single"/>
          <w:lang w:val="en"/>
        </w:rPr>
        <w:t>possibilities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t xml:space="preserve"> must be looked at to ensure </w:t>
      </w:r>
      <w:r w:rsidR="00A00519" w:rsidRPr="0014412E">
        <w:rPr>
          <w:rFonts w:asciiTheme="minorHAnsi" w:hAnsiTheme="minorHAnsi" w:cstheme="minorHAnsi"/>
          <w:sz w:val="22"/>
          <w:szCs w:val="22"/>
          <w:lang w:val="en"/>
        </w:rPr>
        <w:t>issuing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t xml:space="preserve"> a payment directly in SAP i</w:t>
      </w:r>
      <w:r w:rsidR="0048244E">
        <w:rPr>
          <w:rFonts w:asciiTheme="minorHAnsi" w:hAnsiTheme="minorHAnsi" w:cstheme="minorHAnsi"/>
          <w:sz w:val="22"/>
          <w:szCs w:val="22"/>
          <w:lang w:val="en"/>
        </w:rPr>
        <w:t>s truly the only viable option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t>. All e</w:t>
      </w:r>
      <w:r w:rsidR="00AA7F3E">
        <w:rPr>
          <w:rFonts w:asciiTheme="minorHAnsi" w:hAnsiTheme="minorHAnsi" w:cstheme="minorHAnsi"/>
          <w:sz w:val="22"/>
          <w:szCs w:val="22"/>
          <w:lang w:val="en"/>
        </w:rPr>
        <w:t>f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t xml:space="preserve">forts must be made to update and maintain accurate and updated 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lastRenderedPageBreak/>
        <w:t>project information in CSGC directly.</w:t>
      </w:r>
      <w:r w:rsidR="0072371E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Please refer to</w:t>
      </w:r>
      <w:r w:rsidR="0048244E">
        <w:rPr>
          <w:rFonts w:asciiTheme="minorHAnsi" w:hAnsiTheme="minorHAnsi" w:cstheme="minorHAnsi"/>
          <w:sz w:val="22"/>
          <w:szCs w:val="22"/>
          <w:lang w:val="en"/>
        </w:rPr>
        <w:t xml:space="preserve"> the </w:t>
      </w:r>
      <w:hyperlink r:id="rId12" w:history="1">
        <w:r w:rsidR="0048244E" w:rsidRPr="0048244E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CSGC intranet</w:t>
        </w:r>
      </w:hyperlink>
      <w:r w:rsidR="0048244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8D23F4" w:rsidRPr="0014412E">
        <w:rPr>
          <w:rFonts w:asciiTheme="minorHAnsi" w:hAnsiTheme="minorHAnsi" w:cstheme="minorHAnsi"/>
          <w:sz w:val="22"/>
          <w:szCs w:val="22"/>
          <w:lang w:val="en"/>
        </w:rPr>
        <w:t>f</w:t>
      </w:r>
      <w:r w:rsidR="0072371E" w:rsidRPr="0014412E">
        <w:rPr>
          <w:rFonts w:asciiTheme="minorHAnsi" w:hAnsiTheme="minorHAnsi" w:cstheme="minorHAnsi"/>
          <w:sz w:val="22"/>
          <w:szCs w:val="22"/>
          <w:lang w:val="en"/>
        </w:rPr>
        <w:t>or further instruction</w:t>
      </w:r>
      <w:r w:rsidR="008D23F4" w:rsidRPr="0014412E">
        <w:rPr>
          <w:rFonts w:asciiTheme="minorHAnsi" w:hAnsiTheme="minorHAnsi" w:cstheme="minorHAnsi"/>
          <w:sz w:val="22"/>
          <w:szCs w:val="22"/>
          <w:lang w:val="en"/>
        </w:rPr>
        <w:t>s and guidance.</w:t>
      </w:r>
      <w:r w:rsidR="00DA1B61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14:paraId="5E6704D6" w14:textId="77777777" w:rsidR="003A13D8" w:rsidRPr="003A13D8" w:rsidRDefault="003A13D8" w:rsidP="004E6474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  <w:lang w:val="en"/>
        </w:rPr>
      </w:pPr>
    </w:p>
    <w:p w14:paraId="313174A3" w14:textId="4A2230F6" w:rsidR="00E701E9" w:rsidRPr="00296B08" w:rsidRDefault="00636C06" w:rsidP="004E6474">
      <w:pPr>
        <w:pStyle w:val="NormalWeb"/>
        <w:numPr>
          <w:ilvl w:val="0"/>
          <w:numId w:val="23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lang w:val="en"/>
        </w:rPr>
      </w:pPr>
      <w:r w:rsidRPr="00296B08">
        <w:rPr>
          <w:rFonts w:asciiTheme="minorHAnsi" w:hAnsiTheme="minorHAnsi" w:cstheme="minorHAnsi"/>
          <w:sz w:val="22"/>
          <w:szCs w:val="22"/>
          <w:lang w:val="en"/>
        </w:rPr>
        <w:t xml:space="preserve">Once the </w:t>
      </w:r>
      <w:r w:rsidR="0064776E" w:rsidRPr="0064776E">
        <w:rPr>
          <w:rFonts w:asciiTheme="minorHAnsi" w:hAnsiTheme="minorHAnsi" w:cstheme="minorHAnsi"/>
          <w:sz w:val="22"/>
          <w:szCs w:val="22"/>
          <w:lang w:val="en"/>
        </w:rPr>
        <w:t xml:space="preserve">Grants and Contributions Practitioner (GCP) </w:t>
      </w:r>
      <w:r w:rsidR="00CA3B26" w:rsidRPr="00296B08">
        <w:rPr>
          <w:rFonts w:asciiTheme="minorHAnsi" w:hAnsiTheme="minorHAnsi" w:cstheme="minorHAnsi"/>
          <w:sz w:val="22"/>
          <w:szCs w:val="22"/>
          <w:lang w:val="en"/>
        </w:rPr>
        <w:t xml:space="preserve">has </w:t>
      </w:r>
      <w:r w:rsidRPr="00296B08">
        <w:rPr>
          <w:rFonts w:asciiTheme="minorHAnsi" w:hAnsiTheme="minorHAnsi" w:cstheme="minorHAnsi"/>
          <w:sz w:val="22"/>
          <w:szCs w:val="22"/>
          <w:lang w:val="en"/>
        </w:rPr>
        <w:t xml:space="preserve">discussed with the CSGC </w:t>
      </w:r>
      <w:r w:rsidR="00E624DB" w:rsidRPr="00296B08">
        <w:rPr>
          <w:rFonts w:asciiTheme="minorHAnsi" w:hAnsiTheme="minorHAnsi" w:cstheme="minorHAnsi"/>
          <w:sz w:val="22"/>
          <w:szCs w:val="22"/>
          <w:lang w:val="en"/>
        </w:rPr>
        <w:t xml:space="preserve">representative </w:t>
      </w:r>
      <w:r w:rsidR="0064776E" w:rsidRPr="0064776E">
        <w:rPr>
          <w:rFonts w:asciiTheme="minorHAnsi" w:hAnsiTheme="minorHAnsi" w:cstheme="minorHAnsi"/>
          <w:sz w:val="22"/>
          <w:szCs w:val="22"/>
          <w:lang w:val="en"/>
        </w:rPr>
        <w:t>(CSGC Rep)</w:t>
      </w:r>
      <w:r w:rsidR="005D101A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296B08">
        <w:rPr>
          <w:rFonts w:asciiTheme="minorHAnsi" w:hAnsiTheme="minorHAnsi" w:cstheme="minorHAnsi"/>
          <w:sz w:val="22"/>
          <w:szCs w:val="22"/>
          <w:lang w:val="en"/>
        </w:rPr>
        <w:t>and ha</w:t>
      </w:r>
      <w:r w:rsidR="00240238" w:rsidRPr="00296B08">
        <w:rPr>
          <w:rFonts w:asciiTheme="minorHAnsi" w:hAnsiTheme="minorHAnsi" w:cstheme="minorHAnsi"/>
          <w:sz w:val="22"/>
          <w:szCs w:val="22"/>
          <w:lang w:val="en"/>
        </w:rPr>
        <w:t>s</w:t>
      </w:r>
      <w:r w:rsidRPr="00296B08">
        <w:rPr>
          <w:rFonts w:asciiTheme="minorHAnsi" w:hAnsiTheme="minorHAnsi" w:cstheme="minorHAnsi"/>
          <w:sz w:val="22"/>
          <w:szCs w:val="22"/>
          <w:lang w:val="en"/>
        </w:rPr>
        <w:t xml:space="preserve"> made all efforts to remediate CSGC and properly update the system, if both agree that </w:t>
      </w:r>
      <w:r w:rsidR="00A00519" w:rsidRPr="00296B08">
        <w:rPr>
          <w:rFonts w:asciiTheme="minorHAnsi" w:hAnsiTheme="minorHAnsi" w:cstheme="minorHAnsi"/>
          <w:sz w:val="22"/>
          <w:szCs w:val="22"/>
          <w:lang w:val="en"/>
        </w:rPr>
        <w:t>issuing</w:t>
      </w:r>
      <w:r w:rsidRPr="00296B08">
        <w:rPr>
          <w:rFonts w:asciiTheme="minorHAnsi" w:hAnsiTheme="minorHAnsi" w:cstheme="minorHAnsi"/>
          <w:sz w:val="22"/>
          <w:szCs w:val="22"/>
          <w:lang w:val="en"/>
        </w:rPr>
        <w:t xml:space="preserve"> a payment directly in SAP is the only option, </w:t>
      </w:r>
      <w:r w:rsidR="00274213" w:rsidRPr="00296B08">
        <w:rPr>
          <w:rFonts w:asciiTheme="minorHAnsi" w:hAnsiTheme="minorHAnsi" w:cstheme="minorHAnsi"/>
          <w:sz w:val="22"/>
          <w:szCs w:val="22"/>
          <w:lang w:val="en"/>
        </w:rPr>
        <w:t>the</w:t>
      </w:r>
      <w:r w:rsidR="005054EE" w:rsidRPr="00296B08">
        <w:rPr>
          <w:rFonts w:asciiTheme="minorHAnsi" w:hAnsiTheme="minorHAnsi" w:cstheme="minorHAnsi"/>
          <w:sz w:val="22"/>
          <w:szCs w:val="22"/>
          <w:lang w:val="en"/>
        </w:rPr>
        <w:t xml:space="preserve"> G101</w:t>
      </w:r>
      <w:r w:rsidR="00274213" w:rsidRPr="00296B08">
        <w:rPr>
          <w:rFonts w:asciiTheme="minorHAnsi" w:hAnsiTheme="minorHAnsi" w:cstheme="minorHAnsi"/>
          <w:sz w:val="22"/>
          <w:szCs w:val="22"/>
          <w:lang w:val="en"/>
        </w:rPr>
        <w:t xml:space="preserve"> form</w:t>
      </w:r>
      <w:r w:rsidR="005054EE" w:rsidRPr="00296B08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296B08">
        <w:rPr>
          <w:rFonts w:asciiTheme="minorHAnsi" w:hAnsiTheme="minorHAnsi" w:cstheme="minorHAnsi"/>
          <w:sz w:val="22"/>
          <w:szCs w:val="22"/>
          <w:lang w:val="en"/>
        </w:rPr>
        <w:t>must be completed</w:t>
      </w:r>
      <w:r w:rsidR="00501F3B" w:rsidRPr="00296B08">
        <w:rPr>
          <w:rFonts w:asciiTheme="minorHAnsi" w:hAnsiTheme="minorHAnsi" w:cstheme="minorHAnsi"/>
          <w:sz w:val="22"/>
          <w:szCs w:val="22"/>
          <w:lang w:val="en"/>
        </w:rPr>
        <w:t>. This form is available on the</w:t>
      </w:r>
      <w:r w:rsidR="00E701E9" w:rsidRPr="00296B08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hyperlink r:id="rId13" w:history="1">
        <w:proofErr w:type="spellStart"/>
        <w:r w:rsidR="008B55EF" w:rsidRPr="00296B08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iService</w:t>
        </w:r>
        <w:proofErr w:type="spellEnd"/>
        <w:r w:rsidR="008B55EF" w:rsidRPr="00296B08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 xml:space="preserve"> </w:t>
        </w:r>
        <w:r w:rsidR="008B55EF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Catalog</w:t>
        </w:r>
      </w:hyperlink>
      <w:r w:rsidR="008B55EF">
        <w:rPr>
          <w:rStyle w:val="Hyperlink"/>
          <w:rFonts w:asciiTheme="minorHAnsi" w:hAnsiTheme="minorHAnsi" w:cstheme="minorHAnsi"/>
          <w:sz w:val="22"/>
          <w:szCs w:val="22"/>
          <w:lang w:val="en"/>
        </w:rPr>
        <w:t>ue</w:t>
      </w:r>
      <w:r w:rsidR="00B54201">
        <w:rPr>
          <w:rStyle w:val="Hyperlink"/>
          <w:rFonts w:asciiTheme="minorHAnsi" w:hAnsiTheme="minorHAnsi" w:cstheme="minorHAnsi"/>
          <w:sz w:val="22"/>
          <w:szCs w:val="22"/>
          <w:lang w:val="en"/>
        </w:rPr>
        <w:t xml:space="preserve"> by selecting “Grant and Contribution (G&amp;C) Manual Payment Request” and then “G101 Form”</w:t>
      </w:r>
      <w:r w:rsidR="00215E25">
        <w:rPr>
          <w:rFonts w:asciiTheme="minorHAnsi" w:hAnsiTheme="minorHAnsi"/>
        </w:rPr>
        <w:t>:</w:t>
      </w:r>
    </w:p>
    <w:p w14:paraId="51546476" w14:textId="2714C164" w:rsidR="0081227B" w:rsidRPr="0014412E" w:rsidRDefault="006A76F5" w:rsidP="004E6474">
      <w:pPr>
        <w:pStyle w:val="ListParagraph"/>
        <w:numPr>
          <w:ilvl w:val="0"/>
          <w:numId w:val="31"/>
        </w:numPr>
        <w:contextualSpacing/>
        <w:rPr>
          <w:rFonts w:asciiTheme="minorHAnsi" w:hAnsiTheme="minorHAnsi"/>
          <w:lang w:eastAsia="en-CA"/>
        </w:rPr>
      </w:pPr>
      <w:r w:rsidRPr="0014412E">
        <w:rPr>
          <w:rFonts w:asciiTheme="minorHAnsi" w:hAnsiTheme="minorHAnsi"/>
          <w:lang w:eastAsia="en-CA"/>
        </w:rPr>
        <w:t>T</w:t>
      </w:r>
      <w:r w:rsidR="0081227B" w:rsidRPr="0014412E">
        <w:rPr>
          <w:rFonts w:asciiTheme="minorHAnsi" w:hAnsiTheme="minorHAnsi"/>
          <w:lang w:eastAsia="en-CA"/>
        </w:rPr>
        <w:t xml:space="preserve">he </w:t>
      </w:r>
      <w:r w:rsidR="00D33ADD" w:rsidRPr="0064776E">
        <w:rPr>
          <w:rFonts w:asciiTheme="minorHAnsi" w:hAnsiTheme="minorHAnsi"/>
          <w:lang w:eastAsia="en-CA"/>
        </w:rPr>
        <w:t>GCP</w:t>
      </w:r>
      <w:r w:rsidR="00D33ADD">
        <w:rPr>
          <w:rFonts w:asciiTheme="minorHAnsi" w:hAnsiTheme="minorHAnsi"/>
          <w:lang w:eastAsia="en-CA"/>
        </w:rPr>
        <w:t xml:space="preserve"> </w:t>
      </w:r>
      <w:r w:rsidR="0081227B" w:rsidRPr="0014412E">
        <w:rPr>
          <w:rFonts w:asciiTheme="minorHAnsi" w:hAnsiTheme="minorHAnsi"/>
          <w:lang w:eastAsia="en-CA"/>
        </w:rPr>
        <w:t>complete</w:t>
      </w:r>
      <w:r w:rsidR="0005180C">
        <w:rPr>
          <w:rFonts w:asciiTheme="minorHAnsi" w:hAnsiTheme="minorHAnsi"/>
          <w:lang w:eastAsia="en-CA"/>
        </w:rPr>
        <w:t>s</w:t>
      </w:r>
      <w:r w:rsidR="0081227B" w:rsidRPr="0014412E">
        <w:rPr>
          <w:rFonts w:asciiTheme="minorHAnsi" w:hAnsiTheme="minorHAnsi"/>
          <w:lang w:eastAsia="en-CA"/>
        </w:rPr>
        <w:t xml:space="preserve"> the</w:t>
      </w:r>
      <w:r w:rsidR="0005180C">
        <w:rPr>
          <w:rFonts w:asciiTheme="minorHAnsi" w:hAnsiTheme="minorHAnsi"/>
          <w:lang w:eastAsia="en-CA"/>
        </w:rPr>
        <w:t xml:space="preserve"> G101</w:t>
      </w:r>
      <w:r w:rsidR="0081227B" w:rsidRPr="0014412E">
        <w:rPr>
          <w:rFonts w:asciiTheme="minorHAnsi" w:hAnsiTheme="minorHAnsi"/>
          <w:lang w:eastAsia="en-CA"/>
        </w:rPr>
        <w:t xml:space="preserve"> form</w:t>
      </w:r>
      <w:r w:rsidR="00AD468F" w:rsidRPr="0014412E">
        <w:rPr>
          <w:rFonts w:asciiTheme="minorHAnsi" w:hAnsiTheme="minorHAnsi"/>
          <w:lang w:eastAsia="en-CA"/>
        </w:rPr>
        <w:t>;</w:t>
      </w:r>
    </w:p>
    <w:p w14:paraId="14D68328" w14:textId="205EED09" w:rsidR="00650F09" w:rsidRPr="00894F55" w:rsidRDefault="004E6474" w:rsidP="00894F55">
      <w:pPr>
        <w:pStyle w:val="ListParagraph"/>
        <w:numPr>
          <w:ilvl w:val="0"/>
          <w:numId w:val="31"/>
        </w:numPr>
        <w:contextualSpacing/>
        <w:rPr>
          <w:rFonts w:asciiTheme="minorHAnsi" w:hAnsiTheme="minorHAnsi"/>
          <w:lang w:eastAsia="en-CA"/>
        </w:rPr>
      </w:pPr>
      <w:r w:rsidRPr="0014412E">
        <w:rPr>
          <w:rFonts w:asciiTheme="minorHAnsi" w:hAnsiTheme="minorHAnsi"/>
          <w:lang w:eastAsia="en-CA"/>
        </w:rPr>
        <w:t xml:space="preserve">The CSGC </w:t>
      </w:r>
      <w:r>
        <w:rPr>
          <w:rFonts w:asciiTheme="minorHAnsi" w:hAnsiTheme="minorHAnsi"/>
          <w:lang w:eastAsia="en-CA"/>
        </w:rPr>
        <w:t>Rep</w:t>
      </w:r>
      <w:r w:rsidRPr="0014412E">
        <w:rPr>
          <w:rFonts w:asciiTheme="minorHAnsi" w:hAnsiTheme="minorHAnsi"/>
          <w:lang w:eastAsia="en-CA"/>
        </w:rPr>
        <w:t xml:space="preserve"> ensures that the G101 </w:t>
      </w:r>
      <w:r>
        <w:rPr>
          <w:rFonts w:asciiTheme="minorHAnsi" w:hAnsiTheme="minorHAnsi"/>
          <w:lang w:eastAsia="en-CA"/>
        </w:rPr>
        <w:t xml:space="preserve">form </w:t>
      </w:r>
      <w:r w:rsidRPr="0014412E">
        <w:rPr>
          <w:rFonts w:asciiTheme="minorHAnsi" w:hAnsiTheme="minorHAnsi"/>
          <w:lang w:eastAsia="en-CA"/>
        </w:rPr>
        <w:t xml:space="preserve">is </w:t>
      </w:r>
      <w:r>
        <w:rPr>
          <w:rFonts w:asciiTheme="minorHAnsi" w:hAnsiTheme="minorHAnsi"/>
          <w:lang w:eastAsia="en-CA"/>
        </w:rPr>
        <w:t xml:space="preserve">accurate and </w:t>
      </w:r>
      <w:r w:rsidRPr="0014412E">
        <w:rPr>
          <w:rFonts w:asciiTheme="minorHAnsi" w:hAnsiTheme="minorHAnsi"/>
          <w:lang w:eastAsia="en-CA"/>
        </w:rPr>
        <w:t>complete;</w:t>
      </w:r>
    </w:p>
    <w:p w14:paraId="2D9ED524" w14:textId="436C1069" w:rsidR="001D05E1" w:rsidRDefault="001D05E1" w:rsidP="004E6474">
      <w:pPr>
        <w:pStyle w:val="ListParagraph"/>
        <w:numPr>
          <w:ilvl w:val="0"/>
          <w:numId w:val="31"/>
        </w:numPr>
        <w:contextualSpacing/>
        <w:rPr>
          <w:rFonts w:asciiTheme="minorHAnsi" w:hAnsiTheme="minorHAnsi"/>
          <w:lang w:eastAsia="en-CA"/>
        </w:rPr>
      </w:pPr>
      <w:r w:rsidRPr="0014412E">
        <w:rPr>
          <w:rFonts w:asciiTheme="minorHAnsi" w:hAnsiTheme="minorHAnsi"/>
          <w:lang w:eastAsia="en-CA"/>
        </w:rPr>
        <w:t xml:space="preserve">The </w:t>
      </w:r>
      <w:r w:rsidR="006D6B79">
        <w:rPr>
          <w:rFonts w:asciiTheme="minorHAnsi" w:hAnsiTheme="minorHAnsi"/>
          <w:lang w:eastAsia="en-CA"/>
        </w:rPr>
        <w:t xml:space="preserve">appropriate </w:t>
      </w:r>
      <w:r w:rsidR="008A0E61">
        <w:rPr>
          <w:rFonts w:asciiTheme="minorHAnsi" w:hAnsiTheme="minorHAnsi"/>
          <w:lang w:eastAsia="en-CA"/>
        </w:rPr>
        <w:t>d</w:t>
      </w:r>
      <w:r w:rsidR="00C934DD">
        <w:rPr>
          <w:rFonts w:asciiTheme="minorHAnsi" w:hAnsiTheme="minorHAnsi"/>
          <w:lang w:eastAsia="en-CA"/>
        </w:rPr>
        <w:t xml:space="preserve">elegated </w:t>
      </w:r>
      <w:r w:rsidR="008A0E61">
        <w:rPr>
          <w:rFonts w:asciiTheme="minorHAnsi" w:hAnsiTheme="minorHAnsi"/>
          <w:lang w:eastAsia="en-CA"/>
        </w:rPr>
        <w:t>o</w:t>
      </w:r>
      <w:r w:rsidR="006D6B79">
        <w:rPr>
          <w:rFonts w:asciiTheme="minorHAnsi" w:hAnsiTheme="minorHAnsi"/>
          <w:lang w:eastAsia="en-CA"/>
        </w:rPr>
        <w:t xml:space="preserve">fficer </w:t>
      </w:r>
      <w:r w:rsidR="009377FD">
        <w:rPr>
          <w:rFonts w:asciiTheme="minorHAnsi" w:hAnsiTheme="minorHAnsi"/>
          <w:lang w:eastAsia="en-CA"/>
        </w:rPr>
        <w:t>(</w:t>
      </w:r>
      <w:r w:rsidR="001066AD">
        <w:rPr>
          <w:rFonts w:asciiTheme="minorHAnsi" w:hAnsiTheme="minorHAnsi"/>
          <w:lang w:eastAsia="en-CA"/>
        </w:rPr>
        <w:t xml:space="preserve">pursuant the </w:t>
      </w:r>
      <w:r w:rsidR="00296B08">
        <w:rPr>
          <w:rFonts w:asciiTheme="minorHAnsi" w:hAnsiTheme="minorHAnsi"/>
          <w:lang w:eastAsia="en-CA"/>
        </w:rPr>
        <w:t>S</w:t>
      </w:r>
      <w:r w:rsidR="002D191F">
        <w:rPr>
          <w:rFonts w:asciiTheme="minorHAnsi" w:hAnsiTheme="minorHAnsi"/>
          <w:lang w:eastAsia="en-CA"/>
        </w:rPr>
        <w:t>ection 34</w:t>
      </w:r>
      <w:r w:rsidR="001066AD">
        <w:rPr>
          <w:rFonts w:asciiTheme="minorHAnsi" w:hAnsiTheme="minorHAnsi"/>
          <w:lang w:eastAsia="en-CA"/>
        </w:rPr>
        <w:t xml:space="preserve"> of the FAA</w:t>
      </w:r>
      <w:r w:rsidR="009377FD">
        <w:rPr>
          <w:rFonts w:asciiTheme="minorHAnsi" w:hAnsiTheme="minorHAnsi"/>
          <w:lang w:eastAsia="en-CA"/>
        </w:rPr>
        <w:t>)</w:t>
      </w:r>
      <w:r w:rsidR="002D191F">
        <w:rPr>
          <w:rFonts w:asciiTheme="minorHAnsi" w:hAnsiTheme="minorHAnsi"/>
          <w:lang w:eastAsia="en-CA"/>
        </w:rPr>
        <w:t xml:space="preserve"> signs</w:t>
      </w:r>
      <w:r w:rsidRPr="0014412E">
        <w:rPr>
          <w:rFonts w:asciiTheme="minorHAnsi" w:hAnsiTheme="minorHAnsi"/>
          <w:lang w:eastAsia="en-CA"/>
        </w:rPr>
        <w:t xml:space="preserve"> the form and send</w:t>
      </w:r>
      <w:r w:rsidR="002D191F">
        <w:rPr>
          <w:rFonts w:asciiTheme="minorHAnsi" w:hAnsiTheme="minorHAnsi"/>
          <w:lang w:eastAsia="en-CA"/>
        </w:rPr>
        <w:t>s</w:t>
      </w:r>
      <w:r w:rsidRPr="0014412E">
        <w:rPr>
          <w:rFonts w:asciiTheme="minorHAnsi" w:hAnsiTheme="minorHAnsi"/>
          <w:lang w:eastAsia="en-CA"/>
        </w:rPr>
        <w:t xml:space="preserve"> it to the CSGC </w:t>
      </w:r>
      <w:r w:rsidR="00D33ADD">
        <w:rPr>
          <w:rFonts w:asciiTheme="minorHAnsi" w:hAnsiTheme="minorHAnsi"/>
          <w:lang w:eastAsia="en-CA"/>
        </w:rPr>
        <w:t>Rep</w:t>
      </w:r>
      <w:r w:rsidR="0064776E">
        <w:rPr>
          <w:rFonts w:asciiTheme="minorHAnsi" w:hAnsiTheme="minorHAnsi"/>
          <w:lang w:eastAsia="en-CA"/>
        </w:rPr>
        <w:t>;</w:t>
      </w:r>
      <w:r w:rsidR="00393BA4">
        <w:rPr>
          <w:rFonts w:asciiTheme="minorHAnsi" w:hAnsiTheme="minorHAnsi"/>
          <w:lang w:eastAsia="en-CA"/>
        </w:rPr>
        <w:t xml:space="preserve"> </w:t>
      </w:r>
    </w:p>
    <w:p w14:paraId="3F674D2A" w14:textId="176A1447" w:rsidR="00E276A6" w:rsidRPr="00460DFF" w:rsidRDefault="00892F63" w:rsidP="004E6474">
      <w:pPr>
        <w:pStyle w:val="ListParagraph"/>
        <w:numPr>
          <w:ilvl w:val="0"/>
          <w:numId w:val="31"/>
        </w:numPr>
        <w:contextualSpacing/>
        <w:rPr>
          <w:rFonts w:asciiTheme="minorHAnsi" w:hAnsiTheme="minorHAnsi"/>
          <w:lang w:eastAsia="en-CA"/>
        </w:rPr>
      </w:pPr>
      <w:r w:rsidRPr="00460DFF">
        <w:rPr>
          <w:rFonts w:asciiTheme="minorHAnsi" w:hAnsiTheme="minorHAnsi"/>
          <w:lang w:eastAsia="en-CA"/>
        </w:rPr>
        <w:t>When required</w:t>
      </w:r>
      <w:r w:rsidR="005531A9" w:rsidRPr="00460DFF">
        <w:rPr>
          <w:rFonts w:asciiTheme="minorHAnsi" w:hAnsiTheme="minorHAnsi"/>
          <w:lang w:eastAsia="en-CA"/>
        </w:rPr>
        <w:t xml:space="preserve">, </w:t>
      </w:r>
      <w:r w:rsidR="005531A9" w:rsidRPr="00460DFF">
        <w:t xml:space="preserve">the CSGC Rep must request an update to the funds commitment(s) in SAP with the </w:t>
      </w:r>
      <w:r w:rsidR="00460DFF" w:rsidRPr="00460DFF">
        <w:t>CFOB-FMA</w:t>
      </w:r>
      <w:r w:rsidR="00D123FA" w:rsidRPr="00460DFF">
        <w:t xml:space="preserve"> (Financial Management Advisor)</w:t>
      </w:r>
      <w:r w:rsidR="00650F09" w:rsidRPr="00460DFF">
        <w:rPr>
          <w:rFonts w:asciiTheme="minorHAnsi" w:hAnsiTheme="minorHAnsi"/>
          <w:lang w:eastAsia="en-CA"/>
        </w:rPr>
        <w:t>;</w:t>
      </w:r>
    </w:p>
    <w:p w14:paraId="5A20945F" w14:textId="624BF1F7" w:rsidR="00505ECF" w:rsidRPr="0014412E" w:rsidRDefault="00505ECF" w:rsidP="004E6474">
      <w:pPr>
        <w:pStyle w:val="ListParagraph"/>
        <w:numPr>
          <w:ilvl w:val="0"/>
          <w:numId w:val="31"/>
        </w:numPr>
        <w:contextualSpacing/>
        <w:rPr>
          <w:rFonts w:asciiTheme="minorHAnsi" w:hAnsiTheme="minorHAnsi"/>
          <w:lang w:eastAsia="en-CA"/>
        </w:rPr>
      </w:pPr>
      <w:r>
        <w:rPr>
          <w:rFonts w:asciiTheme="minorHAnsi" w:hAnsiTheme="minorHAnsi"/>
          <w:lang w:eastAsia="en-CA"/>
        </w:rPr>
        <w:t>The CSGC Rep validates the G101 form with the Program Operations Branch - Center of Expertise (POB-COE);</w:t>
      </w:r>
    </w:p>
    <w:p w14:paraId="0EAE6AEE" w14:textId="49FA3017" w:rsidR="00AA7F3E" w:rsidRPr="004E6474" w:rsidRDefault="0005180C" w:rsidP="004E6474">
      <w:pPr>
        <w:pStyle w:val="ListParagraph"/>
        <w:numPr>
          <w:ilvl w:val="0"/>
          <w:numId w:val="31"/>
        </w:numPr>
        <w:contextualSpacing/>
        <w:rPr>
          <w:rFonts w:asciiTheme="minorHAnsi" w:hAnsiTheme="minorHAnsi"/>
          <w:lang w:eastAsia="en-CA"/>
        </w:rPr>
      </w:pPr>
      <w:r w:rsidRPr="0014412E">
        <w:rPr>
          <w:rFonts w:asciiTheme="minorHAnsi" w:hAnsiTheme="minorHAnsi"/>
          <w:lang w:eastAsia="en-CA"/>
        </w:rPr>
        <w:t xml:space="preserve">The CSGC </w:t>
      </w:r>
      <w:r w:rsidR="00D33ADD">
        <w:rPr>
          <w:rFonts w:asciiTheme="minorHAnsi" w:hAnsiTheme="minorHAnsi"/>
          <w:lang w:eastAsia="en-CA"/>
        </w:rPr>
        <w:t>Rep</w:t>
      </w:r>
      <w:r w:rsidR="006A76F5" w:rsidRPr="0014412E">
        <w:rPr>
          <w:rFonts w:asciiTheme="minorHAnsi" w:hAnsiTheme="minorHAnsi"/>
          <w:lang w:eastAsia="en-CA"/>
        </w:rPr>
        <w:t xml:space="preserve"> s</w:t>
      </w:r>
      <w:r w:rsidRPr="0014412E">
        <w:rPr>
          <w:rFonts w:asciiTheme="minorHAnsi" w:hAnsiTheme="minorHAnsi"/>
          <w:lang w:eastAsia="en-CA"/>
        </w:rPr>
        <w:t>ubmits</w:t>
      </w:r>
      <w:r w:rsidR="00DF020D" w:rsidRPr="0014412E">
        <w:rPr>
          <w:rFonts w:asciiTheme="minorHAnsi" w:hAnsiTheme="minorHAnsi"/>
          <w:lang w:eastAsia="en-CA"/>
        </w:rPr>
        <w:t xml:space="preserve"> </w:t>
      </w:r>
      <w:r w:rsidR="006A76F5" w:rsidRPr="0014412E">
        <w:rPr>
          <w:rFonts w:asciiTheme="minorHAnsi" w:hAnsiTheme="minorHAnsi"/>
          <w:lang w:eastAsia="en-CA"/>
        </w:rPr>
        <w:t>the G101</w:t>
      </w:r>
      <w:r w:rsidRPr="0014412E">
        <w:rPr>
          <w:rFonts w:asciiTheme="minorHAnsi" w:hAnsiTheme="minorHAnsi"/>
          <w:lang w:eastAsia="en-CA"/>
        </w:rPr>
        <w:t xml:space="preserve"> </w:t>
      </w:r>
      <w:r w:rsidR="00296B08">
        <w:rPr>
          <w:rFonts w:asciiTheme="minorHAnsi" w:hAnsiTheme="minorHAnsi"/>
          <w:lang w:eastAsia="en-CA"/>
        </w:rPr>
        <w:t>f</w:t>
      </w:r>
      <w:r w:rsidRPr="0014412E">
        <w:rPr>
          <w:rFonts w:asciiTheme="minorHAnsi" w:hAnsiTheme="minorHAnsi"/>
          <w:lang w:eastAsia="en-CA"/>
        </w:rPr>
        <w:t>orm</w:t>
      </w:r>
      <w:r w:rsidR="006A76F5" w:rsidRPr="0014412E">
        <w:rPr>
          <w:rFonts w:asciiTheme="minorHAnsi" w:hAnsiTheme="minorHAnsi"/>
          <w:lang w:eastAsia="en-CA"/>
        </w:rPr>
        <w:t xml:space="preserve"> </w:t>
      </w:r>
      <w:r w:rsidR="008E2437" w:rsidRPr="0014412E">
        <w:rPr>
          <w:rFonts w:asciiTheme="minorHAnsi" w:hAnsiTheme="minorHAnsi"/>
          <w:lang w:eastAsia="en-CA"/>
        </w:rPr>
        <w:t xml:space="preserve">to </w:t>
      </w:r>
      <w:r w:rsidR="008E2437" w:rsidRPr="00296B08">
        <w:rPr>
          <w:rFonts w:asciiTheme="minorHAnsi" w:hAnsiTheme="minorHAnsi"/>
          <w:lang w:eastAsia="en-CA"/>
        </w:rPr>
        <w:t xml:space="preserve">CFOB </w:t>
      </w:r>
      <w:r w:rsidR="00EE793D" w:rsidRPr="00296B08">
        <w:rPr>
          <w:rFonts w:asciiTheme="minorHAnsi" w:hAnsiTheme="minorHAnsi"/>
          <w:lang w:eastAsia="en-CA"/>
        </w:rPr>
        <w:t xml:space="preserve"> </w:t>
      </w:r>
      <w:r w:rsidR="00EE793D" w:rsidRPr="00296B08">
        <w:t>t</w:t>
      </w:r>
      <w:r w:rsidR="00EE793D">
        <w:t xml:space="preserve">hrough the </w:t>
      </w:r>
      <w:hyperlink r:id="rId14" w:history="1">
        <w:proofErr w:type="spellStart"/>
        <w:r w:rsidR="00EE793D" w:rsidRPr="00296B08">
          <w:rPr>
            <w:rStyle w:val="Hyperlink"/>
          </w:rPr>
          <w:t>iService</w:t>
        </w:r>
        <w:proofErr w:type="spellEnd"/>
        <w:r w:rsidR="00EE793D" w:rsidRPr="00296B08">
          <w:rPr>
            <w:rStyle w:val="Hyperlink"/>
          </w:rPr>
          <w:t xml:space="preserve"> Catalogue</w:t>
        </w:r>
      </w:hyperlink>
      <w:r w:rsidR="00650F09" w:rsidRPr="004322BA">
        <w:rPr>
          <w:lang w:val="en-CA"/>
        </w:rPr>
        <w:t>;</w:t>
      </w:r>
    </w:p>
    <w:p w14:paraId="22C4B108" w14:textId="4309B1CF" w:rsidR="008E2437" w:rsidRPr="0014412E" w:rsidRDefault="008E2437" w:rsidP="004E6474">
      <w:pPr>
        <w:pStyle w:val="ListParagraph"/>
        <w:ind w:left="1080"/>
        <w:contextualSpacing/>
        <w:rPr>
          <w:rFonts w:asciiTheme="minorHAnsi" w:hAnsiTheme="minorHAnsi"/>
          <w:lang w:eastAsia="en-CA"/>
        </w:rPr>
      </w:pPr>
    </w:p>
    <w:p w14:paraId="6EC84EA7" w14:textId="57CCDFCC" w:rsidR="008E2437" w:rsidRPr="006F6B53" w:rsidRDefault="005D69A8" w:rsidP="004E6474">
      <w:pPr>
        <w:pStyle w:val="NormalWeb"/>
        <w:numPr>
          <w:ilvl w:val="0"/>
          <w:numId w:val="23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lang w:val="en"/>
        </w:rPr>
      </w:pPr>
      <w:r w:rsidRPr="006F6B53">
        <w:rPr>
          <w:rFonts w:asciiTheme="minorHAnsi" w:hAnsiTheme="minorHAnsi" w:cstheme="minorHAnsi"/>
          <w:sz w:val="22"/>
          <w:szCs w:val="22"/>
          <w:lang w:val="en"/>
        </w:rPr>
        <w:t>CFOB</w:t>
      </w:r>
      <w:r w:rsidR="00D12507" w:rsidRPr="006F6B53">
        <w:rPr>
          <w:rFonts w:asciiTheme="minorHAnsi" w:hAnsiTheme="minorHAnsi" w:cstheme="minorHAnsi"/>
          <w:sz w:val="22"/>
          <w:szCs w:val="22"/>
          <w:lang w:val="en"/>
        </w:rPr>
        <w:t>-NAP</w:t>
      </w:r>
      <w:r w:rsidR="006F6B53">
        <w:rPr>
          <w:rFonts w:asciiTheme="minorHAnsi" w:hAnsiTheme="minorHAnsi" w:cstheme="minorHAnsi"/>
          <w:sz w:val="22"/>
          <w:szCs w:val="22"/>
          <w:lang w:val="en"/>
        </w:rPr>
        <w:t xml:space="preserve"> (National Accounts payable</w:t>
      </w:r>
      <w:r w:rsidR="00781168">
        <w:rPr>
          <w:rFonts w:asciiTheme="minorHAnsi" w:hAnsiTheme="minorHAnsi" w:cstheme="minorHAnsi"/>
          <w:sz w:val="22"/>
          <w:szCs w:val="22"/>
          <w:lang w:val="en"/>
        </w:rPr>
        <w:t xml:space="preserve">, within the </w:t>
      </w:r>
      <w:r w:rsidR="00353E52">
        <w:rPr>
          <w:rFonts w:asciiTheme="minorHAnsi" w:hAnsiTheme="minorHAnsi" w:cstheme="minorHAnsi"/>
          <w:sz w:val="22"/>
          <w:szCs w:val="22"/>
          <w:lang w:val="en"/>
        </w:rPr>
        <w:t xml:space="preserve">Integrated </w:t>
      </w:r>
      <w:r w:rsidR="00781168">
        <w:rPr>
          <w:rFonts w:asciiTheme="minorHAnsi" w:hAnsiTheme="minorHAnsi" w:cstheme="minorHAnsi"/>
          <w:sz w:val="22"/>
          <w:szCs w:val="22"/>
          <w:lang w:val="en"/>
        </w:rPr>
        <w:t>Corporate Accounting and Accountability Directorate</w:t>
      </w:r>
      <w:r w:rsidR="000809DE">
        <w:rPr>
          <w:rFonts w:asciiTheme="minorHAnsi" w:hAnsiTheme="minorHAnsi" w:cstheme="minorHAnsi"/>
          <w:sz w:val="22"/>
          <w:szCs w:val="22"/>
          <w:lang w:val="en"/>
        </w:rPr>
        <w:t xml:space="preserve"> ICAAD)</w:t>
      </w:r>
      <w:r w:rsidR="006F6B53">
        <w:rPr>
          <w:rFonts w:asciiTheme="minorHAnsi" w:hAnsiTheme="minorHAnsi" w:cstheme="minorHAnsi"/>
          <w:sz w:val="22"/>
          <w:szCs w:val="22"/>
          <w:lang w:val="en"/>
        </w:rPr>
        <w:t>)</w:t>
      </w:r>
      <w:r w:rsidRPr="006F6B53">
        <w:rPr>
          <w:rFonts w:asciiTheme="minorHAnsi" w:hAnsiTheme="minorHAnsi" w:cstheme="minorHAnsi"/>
          <w:sz w:val="22"/>
          <w:szCs w:val="22"/>
          <w:lang w:val="en"/>
        </w:rPr>
        <w:t xml:space="preserve"> issue</w:t>
      </w:r>
      <w:r w:rsidR="000D149C" w:rsidRPr="006F6B53">
        <w:rPr>
          <w:rFonts w:asciiTheme="minorHAnsi" w:hAnsiTheme="minorHAnsi" w:cstheme="minorHAnsi"/>
          <w:sz w:val="22"/>
          <w:szCs w:val="22"/>
          <w:lang w:val="en"/>
        </w:rPr>
        <w:t>s</w:t>
      </w:r>
      <w:r w:rsidRPr="006F6B53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r w:rsidR="00342B20">
        <w:rPr>
          <w:rFonts w:asciiTheme="minorHAnsi" w:hAnsiTheme="minorHAnsi" w:cstheme="minorHAnsi"/>
          <w:sz w:val="22"/>
          <w:szCs w:val="22"/>
          <w:lang w:val="en"/>
        </w:rPr>
        <w:t>m</w:t>
      </w:r>
      <w:r w:rsidR="008E2437" w:rsidRPr="006F6B53">
        <w:rPr>
          <w:rFonts w:asciiTheme="minorHAnsi" w:hAnsiTheme="minorHAnsi" w:cstheme="minorHAnsi"/>
          <w:sz w:val="22"/>
          <w:szCs w:val="22"/>
          <w:lang w:val="en"/>
        </w:rPr>
        <w:t xml:space="preserve">anual payment </w:t>
      </w:r>
      <w:r w:rsidR="00D002B3" w:rsidRPr="006F6B53">
        <w:rPr>
          <w:rFonts w:asciiTheme="minorHAnsi" w:hAnsiTheme="minorHAnsi" w:cstheme="minorHAnsi"/>
          <w:sz w:val="22"/>
          <w:szCs w:val="22"/>
          <w:lang w:val="en"/>
        </w:rPr>
        <w:t>through</w:t>
      </w:r>
      <w:r w:rsidR="00BE06C8" w:rsidRPr="006F6B53">
        <w:rPr>
          <w:rFonts w:asciiTheme="minorHAnsi" w:hAnsiTheme="minorHAnsi" w:cstheme="minorHAnsi"/>
          <w:sz w:val="22"/>
          <w:szCs w:val="22"/>
          <w:lang w:val="en"/>
        </w:rPr>
        <w:t xml:space="preserve"> SAP</w:t>
      </w:r>
      <w:r w:rsidR="006F6B53" w:rsidRPr="006F6B53">
        <w:rPr>
          <w:rFonts w:asciiTheme="minorHAnsi" w:hAnsiTheme="minorHAnsi" w:cstheme="minorHAnsi"/>
          <w:sz w:val="22"/>
          <w:szCs w:val="22"/>
          <w:lang w:val="en"/>
        </w:rPr>
        <w:t xml:space="preserve"> and </w:t>
      </w:r>
      <w:r w:rsidR="00AA7F3E">
        <w:rPr>
          <w:rFonts w:asciiTheme="minorHAnsi" w:hAnsiTheme="minorHAnsi" w:cstheme="minorHAnsi"/>
          <w:sz w:val="22"/>
          <w:szCs w:val="22"/>
          <w:lang w:val="en"/>
        </w:rPr>
        <w:t>provides the</w:t>
      </w:r>
      <w:r w:rsidR="00877B3C" w:rsidRPr="006F6B53">
        <w:rPr>
          <w:rFonts w:asciiTheme="minorHAnsi" w:hAnsiTheme="minorHAnsi" w:cstheme="minorHAnsi"/>
          <w:sz w:val="22"/>
          <w:szCs w:val="22"/>
          <w:lang w:val="en"/>
        </w:rPr>
        <w:t xml:space="preserve"> relevant payment information (SAP document number)</w:t>
      </w:r>
      <w:r w:rsidR="00AA7F3E">
        <w:rPr>
          <w:rFonts w:asciiTheme="minorHAnsi" w:hAnsiTheme="minorHAnsi" w:cstheme="minorHAnsi"/>
          <w:sz w:val="22"/>
          <w:szCs w:val="22"/>
          <w:lang w:val="en"/>
        </w:rPr>
        <w:t xml:space="preserve"> to the CSGC Rep</w:t>
      </w:r>
      <w:r w:rsidR="006F6B53">
        <w:rPr>
          <w:rFonts w:asciiTheme="minorHAnsi" w:hAnsiTheme="minorHAnsi" w:cstheme="minorHAnsi"/>
          <w:sz w:val="22"/>
          <w:szCs w:val="22"/>
          <w:lang w:val="en"/>
        </w:rPr>
        <w:t>;</w:t>
      </w:r>
      <w:r w:rsidR="00877B3C" w:rsidRPr="006F6B53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14:paraId="0A889611" w14:textId="77777777" w:rsidR="003A13D8" w:rsidRPr="00EE793D" w:rsidRDefault="003A13D8" w:rsidP="004E647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lang w:val="en"/>
        </w:rPr>
      </w:pPr>
    </w:p>
    <w:p w14:paraId="34F1BDCD" w14:textId="72ADCB61" w:rsidR="00DF020D" w:rsidRPr="004E6474" w:rsidRDefault="006F6B53" w:rsidP="004E6474">
      <w:pPr>
        <w:pStyle w:val="NormalWeb"/>
        <w:numPr>
          <w:ilvl w:val="0"/>
          <w:numId w:val="23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Once the manual payment is issued, </w:t>
      </w:r>
      <w:r w:rsidR="00342B20">
        <w:rPr>
          <w:rFonts w:asciiTheme="minorHAnsi" w:hAnsiTheme="minorHAnsi" w:cstheme="minorHAnsi"/>
          <w:sz w:val="22"/>
          <w:szCs w:val="22"/>
          <w:lang w:val="en"/>
        </w:rPr>
        <w:t>both the CSGC Rep and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the GCP ensure that the CSCG system is updated with the payment information via note to file (closed projects) or data fix (for open projects).</w:t>
      </w:r>
    </w:p>
    <w:p w14:paraId="5066C158" w14:textId="77777777" w:rsidR="00AA7F3E" w:rsidRPr="0014412E" w:rsidRDefault="00AA7F3E" w:rsidP="004E6474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lang w:val="en"/>
        </w:rPr>
      </w:pPr>
    </w:p>
    <w:p w14:paraId="390B4115" w14:textId="25E694B4" w:rsidR="000502CF" w:rsidRDefault="00E1159D" w:rsidP="004E6474">
      <w:pPr>
        <w:spacing w:after="0"/>
        <w:rPr>
          <w:lang w:eastAsia="en-CA"/>
        </w:rPr>
      </w:pPr>
      <w:r>
        <w:rPr>
          <w:lang w:eastAsia="en-CA"/>
        </w:rPr>
        <w:t xml:space="preserve">Refer to </w:t>
      </w:r>
      <w:r w:rsidRPr="00076C6E">
        <w:rPr>
          <w:b/>
          <w:color w:val="1F497D" w:themeColor="text2"/>
          <w:lang w:eastAsia="en-CA"/>
        </w:rPr>
        <w:t xml:space="preserve">Appendix </w:t>
      </w:r>
      <w:r w:rsidR="00076C6E">
        <w:rPr>
          <w:b/>
          <w:color w:val="1F497D" w:themeColor="text2"/>
          <w:lang w:eastAsia="en-CA"/>
        </w:rPr>
        <w:t>A</w:t>
      </w:r>
      <w:r w:rsidR="00342B20">
        <w:rPr>
          <w:b/>
          <w:color w:val="1F497D" w:themeColor="text2"/>
          <w:lang w:eastAsia="en-CA"/>
        </w:rPr>
        <w:t xml:space="preserve"> </w:t>
      </w:r>
      <w:r w:rsidR="00342B20" w:rsidRPr="00D43205">
        <w:rPr>
          <w:lang w:eastAsia="en-CA"/>
        </w:rPr>
        <w:t>(</w:t>
      </w:r>
      <w:r w:rsidR="00342B20" w:rsidRPr="00F93B0A">
        <w:rPr>
          <w:lang w:eastAsia="en-CA"/>
        </w:rPr>
        <w:t>Detailed Process with</w:t>
      </w:r>
      <w:r w:rsidR="00342B20">
        <w:rPr>
          <w:u w:val="single"/>
          <w:lang w:eastAsia="en-CA"/>
        </w:rPr>
        <w:t xml:space="preserve"> </w:t>
      </w:r>
      <w:r w:rsidR="00342B20">
        <w:rPr>
          <w:lang w:eastAsia="en-CA"/>
        </w:rPr>
        <w:t>Roles and Responsibilities)</w:t>
      </w:r>
      <w:r w:rsidRPr="00076C6E">
        <w:rPr>
          <w:color w:val="1F497D" w:themeColor="text2"/>
          <w:lang w:eastAsia="en-CA"/>
        </w:rPr>
        <w:t xml:space="preserve"> </w:t>
      </w:r>
      <w:r>
        <w:rPr>
          <w:lang w:eastAsia="en-CA"/>
        </w:rPr>
        <w:t xml:space="preserve">and </w:t>
      </w:r>
      <w:r w:rsidRPr="00076C6E">
        <w:rPr>
          <w:b/>
          <w:color w:val="1F497D" w:themeColor="text2"/>
          <w:lang w:eastAsia="en-CA"/>
        </w:rPr>
        <w:t xml:space="preserve">Appendix </w:t>
      </w:r>
      <w:r w:rsidR="00076C6E">
        <w:rPr>
          <w:b/>
          <w:color w:val="1F497D" w:themeColor="text2"/>
          <w:lang w:eastAsia="en-CA"/>
        </w:rPr>
        <w:t>B</w:t>
      </w:r>
      <w:r w:rsidRPr="00076C6E">
        <w:rPr>
          <w:color w:val="1F497D" w:themeColor="text2"/>
          <w:lang w:eastAsia="en-CA"/>
        </w:rPr>
        <w:t xml:space="preserve"> </w:t>
      </w:r>
      <w:r w:rsidR="00342B20">
        <w:rPr>
          <w:lang w:eastAsia="en-CA"/>
        </w:rPr>
        <w:t>(F</w:t>
      </w:r>
      <w:r>
        <w:rPr>
          <w:lang w:eastAsia="en-CA"/>
        </w:rPr>
        <w:t>lowchart</w:t>
      </w:r>
      <w:r w:rsidR="00342B20">
        <w:rPr>
          <w:lang w:eastAsia="en-CA"/>
        </w:rPr>
        <w:t>) for further details</w:t>
      </w:r>
      <w:r>
        <w:rPr>
          <w:lang w:eastAsia="en-CA"/>
        </w:rPr>
        <w:t>.</w:t>
      </w:r>
    </w:p>
    <w:p w14:paraId="1AF01468" w14:textId="11BEAD40" w:rsidR="00AA7F3E" w:rsidRDefault="00AA7F3E" w:rsidP="004E6474">
      <w:pPr>
        <w:spacing w:after="0"/>
        <w:rPr>
          <w:lang w:eastAsia="en-CA"/>
        </w:rPr>
      </w:pPr>
    </w:p>
    <w:p w14:paraId="5B0939E7" w14:textId="77777777" w:rsidR="00AA7F3E" w:rsidRPr="00292D2F" w:rsidRDefault="00AA7F3E" w:rsidP="004E6474">
      <w:pPr>
        <w:spacing w:after="0"/>
        <w:rPr>
          <w:lang w:eastAsia="en-CA"/>
        </w:rPr>
      </w:pPr>
    </w:p>
    <w:p w14:paraId="7FCC93C6" w14:textId="11C60C1F" w:rsidR="0032697E" w:rsidRDefault="0032697E" w:rsidP="004E6474">
      <w:pPr>
        <w:pStyle w:val="ListParagraph"/>
        <w:numPr>
          <w:ilvl w:val="0"/>
          <w:numId w:val="4"/>
        </w:numPr>
        <w:ind w:left="426" w:hanging="426"/>
        <w:rPr>
          <w:b/>
          <w:lang w:eastAsia="en-CA"/>
        </w:rPr>
      </w:pPr>
      <w:r w:rsidRPr="0032697E">
        <w:rPr>
          <w:b/>
          <w:lang w:eastAsia="en-CA"/>
        </w:rPr>
        <w:t>Monitoring</w:t>
      </w:r>
      <w:r w:rsidR="00785F64">
        <w:rPr>
          <w:b/>
          <w:lang w:eastAsia="en-CA"/>
        </w:rPr>
        <w:t xml:space="preserve"> and </w:t>
      </w:r>
      <w:r w:rsidR="00AF473B">
        <w:rPr>
          <w:b/>
          <w:lang w:eastAsia="en-CA"/>
        </w:rPr>
        <w:t>oversight</w:t>
      </w:r>
    </w:p>
    <w:p w14:paraId="75CBC572" w14:textId="77777777" w:rsidR="00AA7F3E" w:rsidRDefault="00AA7F3E" w:rsidP="004E6474">
      <w:pPr>
        <w:pStyle w:val="ListParagraph"/>
        <w:ind w:left="426"/>
        <w:rPr>
          <w:b/>
          <w:lang w:eastAsia="en-CA"/>
        </w:rPr>
      </w:pPr>
    </w:p>
    <w:p w14:paraId="664E0844" w14:textId="2FAE59D7" w:rsidR="00467FE6" w:rsidRPr="0014412E" w:rsidRDefault="00C658D2" w:rsidP="004E6474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CFOB</w:t>
      </w:r>
      <w:r w:rsidR="00781168">
        <w:rPr>
          <w:rFonts w:asciiTheme="minorHAnsi" w:hAnsiTheme="minorHAnsi" w:cstheme="minorHAnsi"/>
          <w:sz w:val="22"/>
          <w:szCs w:val="22"/>
          <w:lang w:val="en-US"/>
        </w:rPr>
        <w:t xml:space="preserve">- ICAAD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will perform </w:t>
      </w:r>
      <w:r w:rsidRPr="0014412E">
        <w:rPr>
          <w:rFonts w:asciiTheme="minorHAnsi" w:hAnsiTheme="minorHAnsi" w:cstheme="minorHAnsi"/>
          <w:sz w:val="22"/>
          <w:szCs w:val="22"/>
          <w:lang w:val="en"/>
        </w:rPr>
        <w:t>periodic</w:t>
      </w:r>
      <w:r w:rsidR="00467FE6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reconciliations between SAP and CSGC to ensure ongoing synchronization of both systems. If a </w:t>
      </w:r>
      <w:r>
        <w:rPr>
          <w:rFonts w:asciiTheme="minorHAnsi" w:hAnsiTheme="minorHAnsi" w:cstheme="minorHAnsi"/>
          <w:sz w:val="22"/>
          <w:szCs w:val="22"/>
          <w:lang w:val="en"/>
        </w:rPr>
        <w:t>discrepancy</w:t>
      </w:r>
      <w:r w:rsidR="00467FE6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is noted between SAP and CSGC, </w:t>
      </w:r>
      <w:r w:rsidR="004379E2">
        <w:rPr>
          <w:rFonts w:asciiTheme="minorHAnsi" w:hAnsiTheme="minorHAnsi" w:cstheme="minorHAnsi"/>
          <w:sz w:val="22"/>
          <w:szCs w:val="22"/>
          <w:lang w:val="en"/>
        </w:rPr>
        <w:t xml:space="preserve">CFOB will </w:t>
      </w:r>
      <w:r w:rsidR="00467FE6" w:rsidRPr="0014412E">
        <w:rPr>
          <w:rFonts w:asciiTheme="minorHAnsi" w:hAnsiTheme="minorHAnsi" w:cstheme="minorHAnsi"/>
          <w:sz w:val="22"/>
          <w:szCs w:val="22"/>
          <w:lang w:val="en"/>
        </w:rPr>
        <w:t xml:space="preserve">follow-up with the appropriate teams to ensure that all </w:t>
      </w:r>
      <w:r>
        <w:rPr>
          <w:rFonts w:asciiTheme="minorHAnsi" w:hAnsiTheme="minorHAnsi" w:cstheme="minorHAnsi"/>
          <w:sz w:val="22"/>
          <w:szCs w:val="22"/>
          <w:lang w:val="en"/>
        </w:rPr>
        <w:t>variances</w:t>
      </w:r>
      <w:r w:rsidR="00467FE6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are corrected on a timely basis; </w:t>
      </w:r>
    </w:p>
    <w:p w14:paraId="5AA003ED" w14:textId="2679D219" w:rsidR="00467FE6" w:rsidRPr="0014412E" w:rsidRDefault="004379E2" w:rsidP="004E6474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CFOB</w:t>
      </w:r>
      <w:r w:rsidR="00781168">
        <w:rPr>
          <w:rFonts w:asciiTheme="minorHAnsi" w:hAnsiTheme="minorHAnsi" w:cstheme="minorHAnsi"/>
          <w:sz w:val="22"/>
          <w:szCs w:val="22"/>
          <w:lang w:val="en"/>
        </w:rPr>
        <w:t>-ICAAD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will p</w:t>
      </w:r>
      <w:r w:rsidR="00467FE6" w:rsidRPr="0014412E">
        <w:rPr>
          <w:rFonts w:asciiTheme="minorHAnsi" w:hAnsiTheme="minorHAnsi" w:cstheme="minorHAnsi"/>
          <w:sz w:val="22"/>
          <w:szCs w:val="22"/>
          <w:lang w:val="en"/>
        </w:rPr>
        <w:t>repar</w:t>
      </w:r>
      <w:r>
        <w:rPr>
          <w:rFonts w:asciiTheme="minorHAnsi" w:hAnsiTheme="minorHAnsi" w:cstheme="minorHAnsi"/>
          <w:sz w:val="22"/>
          <w:szCs w:val="22"/>
          <w:lang w:val="en"/>
        </w:rPr>
        <w:t>e</w:t>
      </w:r>
      <w:r w:rsidR="00C658D2">
        <w:rPr>
          <w:rFonts w:asciiTheme="minorHAnsi" w:hAnsiTheme="minorHAnsi" w:cstheme="minorHAnsi"/>
          <w:sz w:val="22"/>
          <w:szCs w:val="22"/>
          <w:lang w:val="en"/>
        </w:rPr>
        <w:t xml:space="preserve"> a periodic</w:t>
      </w:r>
      <w:r w:rsidR="00467FE6" w:rsidRPr="0014412E">
        <w:rPr>
          <w:rFonts w:asciiTheme="minorHAnsi" w:hAnsiTheme="minorHAnsi" w:cstheme="minorHAnsi"/>
          <w:sz w:val="22"/>
          <w:szCs w:val="22"/>
          <w:lang w:val="en"/>
        </w:rPr>
        <w:t xml:space="preserve"> report detailing all CSGC manual payments issued directly through SAP, for inclusion within the CSGC system by POB;</w:t>
      </w:r>
    </w:p>
    <w:p w14:paraId="47C3722A" w14:textId="13EE686C" w:rsidR="00686CA9" w:rsidRPr="004E6474" w:rsidRDefault="006420DB" w:rsidP="004E6474">
      <w:pPr>
        <w:pStyle w:val="NormalWeb"/>
        <w:numPr>
          <w:ilvl w:val="0"/>
          <w:numId w:val="26"/>
        </w:numPr>
        <w:spacing w:before="0" w:beforeAutospacing="0" w:after="0" w:afterAutospacing="0"/>
      </w:pPr>
      <w:r>
        <w:rPr>
          <w:rFonts w:asciiTheme="minorHAnsi" w:hAnsiTheme="minorHAnsi" w:cstheme="minorHAnsi"/>
          <w:sz w:val="22"/>
          <w:szCs w:val="22"/>
          <w:lang w:val="en"/>
        </w:rPr>
        <w:t>CFOB</w:t>
      </w:r>
      <w:r w:rsidR="00781168">
        <w:rPr>
          <w:rFonts w:asciiTheme="minorHAnsi" w:hAnsiTheme="minorHAnsi" w:cstheme="minorHAnsi"/>
          <w:sz w:val="22"/>
          <w:szCs w:val="22"/>
          <w:lang w:val="en"/>
        </w:rPr>
        <w:t>-ICAAD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4379E2">
        <w:rPr>
          <w:rFonts w:asciiTheme="minorHAnsi" w:hAnsiTheme="minorHAnsi" w:cstheme="minorHAnsi"/>
          <w:sz w:val="22"/>
          <w:szCs w:val="22"/>
          <w:lang w:val="en"/>
        </w:rPr>
        <w:t>will m</w:t>
      </w:r>
      <w:r w:rsidR="00467FE6" w:rsidRPr="0014412E">
        <w:rPr>
          <w:rFonts w:asciiTheme="minorHAnsi" w:hAnsiTheme="minorHAnsi" w:cstheme="minorHAnsi"/>
          <w:sz w:val="22"/>
          <w:szCs w:val="22"/>
          <w:lang w:val="en"/>
        </w:rPr>
        <w:t>onitor the usage of CSGC manual payments (frequency and amounts) and report significant changes to trends when deemed necessary.</w:t>
      </w:r>
    </w:p>
    <w:p w14:paraId="63A443EB" w14:textId="3F73663F" w:rsidR="00AA7F3E" w:rsidRDefault="00AA7F3E" w:rsidP="004E6474">
      <w:pPr>
        <w:pStyle w:val="NormalWeb"/>
        <w:spacing w:before="0" w:beforeAutospacing="0" w:after="0" w:afterAutospacing="0"/>
        <w:ind w:left="360"/>
      </w:pPr>
    </w:p>
    <w:p w14:paraId="492649E4" w14:textId="46E486CC" w:rsidR="00F578F4" w:rsidRDefault="00F578F4" w:rsidP="004E6474">
      <w:pPr>
        <w:pStyle w:val="NormalWeb"/>
        <w:spacing w:before="0" w:beforeAutospacing="0" w:after="0" w:afterAutospacing="0"/>
        <w:ind w:left="360"/>
      </w:pPr>
    </w:p>
    <w:p w14:paraId="48142CE8" w14:textId="6A7AB0F7" w:rsidR="00F578F4" w:rsidRDefault="00F578F4" w:rsidP="004E6474">
      <w:pPr>
        <w:pStyle w:val="NormalWeb"/>
        <w:spacing w:before="0" w:beforeAutospacing="0" w:after="0" w:afterAutospacing="0"/>
        <w:ind w:left="360"/>
      </w:pPr>
    </w:p>
    <w:p w14:paraId="7FE3DF2D" w14:textId="4F59B324" w:rsidR="0072741F" w:rsidRDefault="0072741F" w:rsidP="004E6474">
      <w:pPr>
        <w:pStyle w:val="NormalWeb"/>
        <w:spacing w:before="0" w:beforeAutospacing="0" w:after="0" w:afterAutospacing="0"/>
        <w:ind w:left="360"/>
      </w:pPr>
    </w:p>
    <w:p w14:paraId="3F3A4C10" w14:textId="77777777" w:rsidR="0072741F" w:rsidRPr="00706B44" w:rsidRDefault="0072741F" w:rsidP="004E6474">
      <w:pPr>
        <w:pStyle w:val="NormalWeb"/>
        <w:spacing w:before="0" w:beforeAutospacing="0" w:after="0" w:afterAutospacing="0"/>
        <w:ind w:left="360"/>
      </w:pPr>
    </w:p>
    <w:p w14:paraId="7A833F5B" w14:textId="6AC8D3D0" w:rsidR="00AF473B" w:rsidRDefault="00AF473B" w:rsidP="004E6474">
      <w:pPr>
        <w:pStyle w:val="ListParagraph"/>
        <w:numPr>
          <w:ilvl w:val="0"/>
          <w:numId w:val="4"/>
        </w:numPr>
        <w:ind w:left="426" w:hanging="426"/>
        <w:rPr>
          <w:b/>
          <w:lang w:eastAsia="en-CA"/>
        </w:rPr>
      </w:pPr>
      <w:r>
        <w:rPr>
          <w:b/>
          <w:lang w:eastAsia="en-CA"/>
        </w:rPr>
        <w:lastRenderedPageBreak/>
        <w:t>Reporting</w:t>
      </w:r>
    </w:p>
    <w:p w14:paraId="3572D10B" w14:textId="77777777" w:rsidR="00AA7F3E" w:rsidRDefault="00AA7F3E" w:rsidP="004E6474">
      <w:pPr>
        <w:pStyle w:val="ListParagraph"/>
        <w:ind w:left="426"/>
        <w:rPr>
          <w:b/>
          <w:lang w:eastAsia="en-CA"/>
        </w:rPr>
      </w:pPr>
    </w:p>
    <w:p w14:paraId="19BE00F0" w14:textId="559F853E" w:rsidR="00AA7F3E" w:rsidRPr="004E6474" w:rsidRDefault="00BB0B9E" w:rsidP="004E6474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4E6474">
        <w:rPr>
          <w:rFonts w:asciiTheme="minorHAnsi" w:hAnsiTheme="minorHAnsi" w:cstheme="minorHAnsi"/>
          <w:sz w:val="22"/>
          <w:szCs w:val="22"/>
          <w:lang w:val="en-US"/>
        </w:rPr>
        <w:t xml:space="preserve">POB will be responsible </w:t>
      </w:r>
      <w:r w:rsidR="00C658D2" w:rsidRPr="004E6474">
        <w:rPr>
          <w:rFonts w:asciiTheme="minorHAnsi" w:hAnsiTheme="minorHAnsi" w:cstheme="minorHAnsi"/>
          <w:sz w:val="22"/>
          <w:szCs w:val="22"/>
          <w:lang w:val="en-US"/>
        </w:rPr>
        <w:t>for</w:t>
      </w:r>
      <w:r w:rsidRPr="004E6474">
        <w:rPr>
          <w:rFonts w:asciiTheme="minorHAnsi" w:hAnsiTheme="minorHAnsi" w:cstheme="minorHAnsi"/>
          <w:sz w:val="22"/>
          <w:szCs w:val="22"/>
          <w:lang w:val="en-US"/>
        </w:rPr>
        <w:t xml:space="preserve"> present</w:t>
      </w:r>
      <w:r w:rsidR="00C658D2" w:rsidRPr="004E6474"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Pr="004E6474">
        <w:rPr>
          <w:rFonts w:asciiTheme="minorHAnsi" w:hAnsiTheme="minorHAnsi" w:cstheme="minorHAnsi"/>
          <w:sz w:val="22"/>
          <w:szCs w:val="22"/>
          <w:lang w:val="en-US"/>
        </w:rPr>
        <w:t xml:space="preserve"> the periodic monitoring reports to the </w:t>
      </w:r>
      <w:r w:rsidR="00C658D2" w:rsidRPr="004E6474">
        <w:rPr>
          <w:rFonts w:asciiTheme="minorHAnsi" w:hAnsiTheme="minorHAnsi" w:cstheme="minorHAnsi"/>
          <w:sz w:val="22"/>
          <w:szCs w:val="22"/>
          <w:lang w:val="en-US"/>
        </w:rPr>
        <w:t xml:space="preserve">appropriate </w:t>
      </w:r>
      <w:proofErr w:type="spellStart"/>
      <w:r w:rsidR="00C658D2" w:rsidRPr="004E6474">
        <w:rPr>
          <w:rFonts w:asciiTheme="minorHAnsi" w:hAnsiTheme="minorHAnsi" w:cstheme="minorHAnsi"/>
          <w:sz w:val="22"/>
          <w:szCs w:val="22"/>
          <w:lang w:val="en-US"/>
        </w:rPr>
        <w:t>Gs&amp;Cs</w:t>
      </w:r>
      <w:proofErr w:type="spellEnd"/>
      <w:r w:rsidR="00C658D2" w:rsidRPr="004E6474">
        <w:rPr>
          <w:rFonts w:asciiTheme="minorHAnsi" w:hAnsiTheme="minorHAnsi" w:cstheme="minorHAnsi"/>
          <w:sz w:val="22"/>
          <w:szCs w:val="22"/>
          <w:lang w:val="en-US"/>
        </w:rPr>
        <w:t xml:space="preserve"> governance bodies</w:t>
      </w:r>
      <w:r w:rsidRPr="004E6474">
        <w:rPr>
          <w:rFonts w:asciiTheme="minorHAnsi" w:hAnsiTheme="minorHAnsi" w:cstheme="minorHAnsi"/>
          <w:sz w:val="22"/>
          <w:szCs w:val="22"/>
          <w:lang w:val="en-US"/>
        </w:rPr>
        <w:t xml:space="preserve">. The reports will include approved </w:t>
      </w:r>
      <w:r w:rsidR="00044AEB" w:rsidRPr="004E6474">
        <w:rPr>
          <w:rFonts w:asciiTheme="minorHAnsi" w:hAnsiTheme="minorHAnsi" w:cstheme="minorHAnsi"/>
          <w:sz w:val="22"/>
          <w:szCs w:val="22"/>
          <w:lang w:val="en-US"/>
        </w:rPr>
        <w:t>manual payments</w:t>
      </w:r>
      <w:r w:rsidRPr="004E6474">
        <w:rPr>
          <w:rFonts w:asciiTheme="minorHAnsi" w:hAnsiTheme="minorHAnsi" w:cstheme="minorHAnsi"/>
          <w:sz w:val="22"/>
          <w:szCs w:val="22"/>
          <w:lang w:val="en-US"/>
        </w:rPr>
        <w:t xml:space="preserve"> and any concerns.</w:t>
      </w:r>
    </w:p>
    <w:p w14:paraId="4B8AAB86" w14:textId="7A32914F" w:rsidR="003A13D8" w:rsidRDefault="00BB0B9E" w:rsidP="004E6474">
      <w:pPr>
        <w:pStyle w:val="NormalWeb"/>
        <w:numPr>
          <w:ilvl w:val="0"/>
          <w:numId w:val="26"/>
        </w:numPr>
        <w:spacing w:before="0" w:beforeAutospacing="0" w:after="0" w:afterAutospacing="0"/>
        <w:rPr>
          <w:b/>
        </w:rPr>
      </w:pPr>
      <w:r w:rsidRPr="004E6474">
        <w:rPr>
          <w:rFonts w:asciiTheme="minorHAnsi" w:hAnsiTheme="minorHAnsi" w:cstheme="minorHAnsi"/>
          <w:sz w:val="22"/>
          <w:szCs w:val="22"/>
          <w:lang w:val="en-US"/>
        </w:rPr>
        <w:t>POB will also perform analysis of trends and statistics on the manual payments to see if it is an appropriate practice to issue payments under these special circumstances (i.e. when a project is closed in CSGC).</w:t>
      </w:r>
      <w:r w:rsidR="003A13D8">
        <w:rPr>
          <w:b/>
        </w:rPr>
        <w:br w:type="page"/>
      </w:r>
    </w:p>
    <w:p w14:paraId="21E31803" w14:textId="77777777" w:rsidR="00F5641F" w:rsidRDefault="00F5641F" w:rsidP="004E6474">
      <w:pPr>
        <w:spacing w:after="0"/>
        <w:jc w:val="center"/>
        <w:rPr>
          <w:b/>
          <w:sz w:val="24"/>
          <w:szCs w:val="24"/>
          <w:lang w:eastAsia="en-CA"/>
        </w:rPr>
      </w:pPr>
      <w:r>
        <w:rPr>
          <w:b/>
          <w:sz w:val="24"/>
          <w:szCs w:val="24"/>
          <w:lang w:eastAsia="en-CA"/>
        </w:rPr>
        <w:lastRenderedPageBreak/>
        <w:t>Appendix A</w:t>
      </w:r>
    </w:p>
    <w:p w14:paraId="201CE6E3" w14:textId="00FD8A59" w:rsidR="00E05062" w:rsidRDefault="00447A4C" w:rsidP="004E6474">
      <w:pPr>
        <w:spacing w:after="0"/>
        <w:jc w:val="center"/>
        <w:rPr>
          <w:b/>
        </w:rPr>
      </w:pPr>
      <w:r>
        <w:rPr>
          <w:b/>
        </w:rPr>
        <w:t>Issuance</w:t>
      </w:r>
      <w:r w:rsidR="00124FAD">
        <w:rPr>
          <w:b/>
        </w:rPr>
        <w:t xml:space="preserve"> of </w:t>
      </w:r>
      <w:r w:rsidR="00E05062" w:rsidRPr="00E95CBE">
        <w:rPr>
          <w:b/>
        </w:rPr>
        <w:t xml:space="preserve">Manual Payments </w:t>
      </w:r>
      <w:r w:rsidR="00124FAD">
        <w:rPr>
          <w:b/>
        </w:rPr>
        <w:t>-</w:t>
      </w:r>
      <w:r w:rsidR="00766FB2">
        <w:rPr>
          <w:b/>
        </w:rPr>
        <w:t xml:space="preserve"> Detailed </w:t>
      </w:r>
      <w:r w:rsidR="00E05062" w:rsidRPr="00E95CBE">
        <w:rPr>
          <w:b/>
        </w:rPr>
        <w:t>Process with Roles and Responsibilities</w:t>
      </w:r>
    </w:p>
    <w:p w14:paraId="3E2EB55B" w14:textId="77777777" w:rsidR="00AA7F3E" w:rsidRDefault="00AA7F3E" w:rsidP="004E6474">
      <w:pPr>
        <w:spacing w:after="0"/>
        <w:jc w:val="center"/>
        <w:rPr>
          <w:b/>
          <w:sz w:val="24"/>
          <w:szCs w:val="24"/>
          <w:lang w:eastAsia="en-CA"/>
        </w:rPr>
      </w:pP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8359"/>
        <w:gridCol w:w="1711"/>
      </w:tblGrid>
      <w:tr w:rsidR="00D268B6" w14:paraId="3038A2F1" w14:textId="77777777" w:rsidTr="00B83764">
        <w:trPr>
          <w:jc w:val="center"/>
        </w:trPr>
        <w:tc>
          <w:tcPr>
            <w:tcW w:w="8359" w:type="dxa"/>
            <w:shd w:val="pct12" w:color="auto" w:fill="auto"/>
          </w:tcPr>
          <w:p w14:paraId="0FD243FF" w14:textId="77777777" w:rsidR="00E05062" w:rsidRPr="0014412E" w:rsidRDefault="00E05062" w:rsidP="004E6474">
            <w:pPr>
              <w:rPr>
                <w:b/>
              </w:rPr>
            </w:pPr>
            <w:r w:rsidRPr="0014412E">
              <w:rPr>
                <w:b/>
              </w:rPr>
              <w:t>Manual Payment Process Steps</w:t>
            </w:r>
          </w:p>
        </w:tc>
        <w:tc>
          <w:tcPr>
            <w:tcW w:w="1711" w:type="dxa"/>
            <w:shd w:val="pct12" w:color="auto" w:fill="auto"/>
          </w:tcPr>
          <w:p w14:paraId="10874397" w14:textId="48DF64F6" w:rsidR="00E05062" w:rsidRPr="0014412E" w:rsidRDefault="00E05062" w:rsidP="00B22878">
            <w:pPr>
              <w:rPr>
                <w:b/>
              </w:rPr>
            </w:pPr>
            <w:r w:rsidRPr="0014412E">
              <w:rPr>
                <w:b/>
              </w:rPr>
              <w:t>Roles &amp; Responsibilit</w:t>
            </w:r>
            <w:r w:rsidR="00B22878">
              <w:rPr>
                <w:b/>
              </w:rPr>
              <w:t>ies</w:t>
            </w:r>
          </w:p>
        </w:tc>
      </w:tr>
      <w:tr w:rsidR="00D268B6" w14:paraId="4ECEE58D" w14:textId="77777777" w:rsidTr="00B83764">
        <w:trPr>
          <w:jc w:val="center"/>
        </w:trPr>
        <w:tc>
          <w:tcPr>
            <w:tcW w:w="8359" w:type="dxa"/>
          </w:tcPr>
          <w:p w14:paraId="07CFBC0A" w14:textId="581D255B" w:rsidR="00791375" w:rsidRDefault="0004421F" w:rsidP="004E6474">
            <w:r>
              <w:t>GCP</w:t>
            </w:r>
            <w:r w:rsidR="00791375">
              <w:t xml:space="preserve"> seeks confirmation from CSGC Rep (Region or NHQ) that there is no other way to issue the payment (e.g. via CSGC).</w:t>
            </w:r>
          </w:p>
        </w:tc>
        <w:tc>
          <w:tcPr>
            <w:tcW w:w="1711" w:type="dxa"/>
          </w:tcPr>
          <w:p w14:paraId="476D7FDC" w14:textId="50050A55" w:rsidR="00791375" w:rsidRPr="0014412E" w:rsidRDefault="00791375" w:rsidP="004E6474">
            <w:r w:rsidRPr="0014412E">
              <w:t>CSGC Rep</w:t>
            </w:r>
          </w:p>
        </w:tc>
      </w:tr>
      <w:tr w:rsidR="00D268B6" w14:paraId="52A5C265" w14:textId="77777777" w:rsidTr="00B83764">
        <w:trPr>
          <w:jc w:val="center"/>
        </w:trPr>
        <w:tc>
          <w:tcPr>
            <w:tcW w:w="8359" w:type="dxa"/>
          </w:tcPr>
          <w:p w14:paraId="724928C3" w14:textId="3F461AB7" w:rsidR="00791375" w:rsidRDefault="0004421F" w:rsidP="004E6474">
            <w:r>
              <w:t xml:space="preserve">GCP </w:t>
            </w:r>
            <w:r w:rsidR="00791375">
              <w:t>sends the</w:t>
            </w:r>
            <w:r w:rsidR="00C658D2">
              <w:t xml:space="preserve"> </w:t>
            </w:r>
            <w:hyperlink r:id="rId15" w:history="1">
              <w:r w:rsidR="00C658D2" w:rsidRPr="00C658D2">
                <w:rPr>
                  <w:rStyle w:val="Hyperlink"/>
                </w:rPr>
                <w:t>G101 f</w:t>
              </w:r>
              <w:r w:rsidRPr="00C658D2">
                <w:rPr>
                  <w:rStyle w:val="Hyperlink"/>
                </w:rPr>
                <w:t>orm</w:t>
              </w:r>
            </w:hyperlink>
            <w:r>
              <w:t xml:space="preserve"> </w:t>
            </w:r>
            <w:r w:rsidR="00791375">
              <w:t>to the CSGC Rep</w:t>
            </w:r>
            <w:r>
              <w:t xml:space="preserve"> for review</w:t>
            </w:r>
            <w:r w:rsidR="00C658D2">
              <w:t>.</w:t>
            </w:r>
          </w:p>
        </w:tc>
        <w:tc>
          <w:tcPr>
            <w:tcW w:w="1711" w:type="dxa"/>
          </w:tcPr>
          <w:p w14:paraId="7BADB92C" w14:textId="7370C7CB" w:rsidR="00791375" w:rsidRPr="0014412E" w:rsidRDefault="0004421F" w:rsidP="004E6474">
            <w:r w:rsidRPr="0004421F">
              <w:t>G</w:t>
            </w:r>
            <w:r w:rsidR="009D5FFB">
              <w:t>CP</w:t>
            </w:r>
          </w:p>
        </w:tc>
      </w:tr>
      <w:tr w:rsidR="00D268B6" w14:paraId="6DA10A3A" w14:textId="77777777" w:rsidTr="00B83764">
        <w:trPr>
          <w:jc w:val="center"/>
        </w:trPr>
        <w:tc>
          <w:tcPr>
            <w:tcW w:w="8359" w:type="dxa"/>
          </w:tcPr>
          <w:p w14:paraId="3557CE04" w14:textId="75DECF0C" w:rsidR="0091181D" w:rsidRDefault="00014370" w:rsidP="00A364A5">
            <w:r>
              <w:t>After review, the CSGC Rep submits the completed G101 Form to the appropriate</w:t>
            </w:r>
            <w:r>
              <w:rPr>
                <w:rFonts w:asciiTheme="minorHAnsi" w:hAnsiTheme="minorHAnsi"/>
                <w:lang w:eastAsia="en-CA"/>
              </w:rPr>
              <w:t xml:space="preserve"> delegated officer</w:t>
            </w:r>
            <w:r>
              <w:t xml:space="preserve"> for signature of the Section 34 of the FAA</w:t>
            </w:r>
            <w:r w:rsidR="0091181D">
              <w:t>.</w:t>
            </w:r>
          </w:p>
          <w:p w14:paraId="7444B13A" w14:textId="11BC1CAB" w:rsidR="00D268B6" w:rsidRPr="00D268B6" w:rsidRDefault="00AE6702" w:rsidP="00D268B6">
            <w:pPr>
              <w:pStyle w:val="ListParagraph"/>
              <w:numPr>
                <w:ilvl w:val="0"/>
                <w:numId w:val="34"/>
              </w:num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F226C">
              <w:rPr>
                <w:rFonts w:eastAsia="Calibri" w:cs="Times New Roman"/>
              </w:rPr>
              <w:t>Funds issued must not exceed signed agreement(s) and amendment(s).</w:t>
            </w:r>
            <w:r w:rsidR="00857F77" w:rsidRPr="001F226C">
              <w:rPr>
                <w:rFonts w:eastAsia="Calibri" w:cs="Times New Roman"/>
              </w:rPr>
              <w:t xml:space="preserve"> I</w:t>
            </w:r>
            <w:r w:rsidRPr="001F226C">
              <w:rPr>
                <w:rFonts w:eastAsia="Calibri" w:cs="Times New Roman"/>
                <w:lang w:val="en-CA"/>
              </w:rPr>
              <w:t>f</w:t>
            </w:r>
            <w:r w:rsidR="00576792" w:rsidRPr="001F226C">
              <w:rPr>
                <w:rFonts w:eastAsia="Calibri" w:cs="Times New Roman"/>
              </w:rPr>
              <w:t xml:space="preserve"> the </w:t>
            </w:r>
            <w:r w:rsidR="001F226C" w:rsidRPr="001F226C">
              <w:rPr>
                <w:rFonts w:eastAsia="Calibri" w:cs="Times New Roman"/>
                <w:lang w:val="en-CA"/>
              </w:rPr>
              <w:t>cumulative amendment value is</w:t>
            </w:r>
            <w:r w:rsidR="00CE2EDB" w:rsidRPr="001F226C">
              <w:rPr>
                <w:rFonts w:eastAsia="Calibri" w:cs="Times New Roman"/>
                <w:lang w:val="en-CA"/>
              </w:rPr>
              <w:t xml:space="preserve"> </w:t>
            </w:r>
            <w:r w:rsidR="00CE2EDB" w:rsidRPr="0084443C">
              <w:rPr>
                <w:rFonts w:eastAsia="Calibri" w:cs="Times New Roman"/>
                <w:u w:val="single"/>
                <w:lang w:val="en-CA"/>
              </w:rPr>
              <w:t>less than 25%</w:t>
            </w:r>
            <w:r w:rsidR="00CE2EDB" w:rsidRPr="001F226C">
              <w:rPr>
                <w:rFonts w:eastAsia="Calibri" w:cs="Times New Roman"/>
                <w:lang w:val="en-CA"/>
              </w:rPr>
              <w:t xml:space="preserve"> of the last agreement amount approved </w:t>
            </w:r>
            <w:r w:rsidR="00576792" w:rsidRPr="001F226C">
              <w:rPr>
                <w:rFonts w:eastAsia="Calibri" w:cs="Times New Roman"/>
              </w:rPr>
              <w:t>(minor</w:t>
            </w:r>
            <w:r w:rsidR="00BA4BDF">
              <w:rPr>
                <w:rStyle w:val="FootnoteReference"/>
                <w:rFonts w:eastAsia="Calibri" w:cs="Times New Roman"/>
              </w:rPr>
              <w:footnoteReference w:id="1"/>
            </w:r>
            <w:r w:rsidR="00576792" w:rsidRPr="001F226C">
              <w:rPr>
                <w:rFonts w:eastAsia="Calibri" w:cs="Times New Roman"/>
              </w:rPr>
              <w:t xml:space="preserve"> amendment), the CSGC Rep must ensure that the G101 form is also certified pursuant to the column B</w:t>
            </w:r>
            <w:r w:rsidR="00BA4BDF">
              <w:rPr>
                <w:rStyle w:val="FootnoteReference"/>
                <w:rFonts w:eastAsia="Calibri" w:cs="Times New Roman"/>
              </w:rPr>
              <w:footnoteReference w:id="2"/>
            </w:r>
            <w:r w:rsidR="00576792" w:rsidRPr="001F226C">
              <w:rPr>
                <w:rFonts w:eastAsia="Calibri" w:cs="Times New Roman"/>
              </w:rPr>
              <w:t xml:space="preserve"> (minor amendment) of the section 3 of the financial delegation </w:t>
            </w:r>
            <w:r w:rsidR="00D268B6" w:rsidRPr="001F226C">
              <w:rPr>
                <w:rFonts w:eastAsia="Calibri" w:cs="Times New Roman"/>
              </w:rPr>
              <w:t>instrument</w:t>
            </w:r>
            <w:r w:rsidR="00BA4BDF">
              <w:rPr>
                <w:rFonts w:eastAsia="Calibri" w:cs="Times New Roman"/>
              </w:rPr>
              <w:t>.</w:t>
            </w:r>
          </w:p>
          <w:p w14:paraId="3C1F8ECF" w14:textId="1F98AA22" w:rsidR="00014370" w:rsidRPr="001F226C" w:rsidDel="0004421F" w:rsidRDefault="00D268B6" w:rsidP="00D268B6">
            <w:pPr>
              <w:pStyle w:val="ListParagraph"/>
              <w:numPr>
                <w:ilvl w:val="0"/>
                <w:numId w:val="34"/>
              </w:numPr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</w:rPr>
              <w:t xml:space="preserve">Refer to the financial delegation instrument for more details: </w:t>
            </w:r>
            <w:r w:rsidR="00A364A5" w:rsidRPr="001F226C">
              <w:rPr>
                <w:rFonts w:eastAsia="Calibri" w:cs="Times New Roman"/>
              </w:rPr>
              <w:t>(</w:t>
            </w:r>
            <w:hyperlink r:id="rId16" w:history="1">
              <w:r w:rsidR="00A364A5" w:rsidRPr="00E6416A">
                <w:rPr>
                  <w:rStyle w:val="Hyperlink"/>
                  <w:rFonts w:eastAsia="Calibri"/>
                  <w:lang w:val="en-CA"/>
                </w:rPr>
                <w:t>http://iservice.prv/eng/finance/DELEG/2016/esdc_programs_section3.pdf</w:t>
              </w:r>
            </w:hyperlink>
            <w:r w:rsidR="00A364A5" w:rsidRPr="001F226C">
              <w:rPr>
                <w:rFonts w:eastAsia="Calibri" w:cs="Times New Roman"/>
              </w:rPr>
              <w:t>)</w:t>
            </w:r>
            <w:r w:rsidR="007E4F99" w:rsidRPr="001F226C">
              <w:rPr>
                <w:rFonts w:eastAsia="Calibri" w:cs="Times New Roman"/>
              </w:rPr>
              <w:t>.</w:t>
            </w:r>
          </w:p>
        </w:tc>
        <w:tc>
          <w:tcPr>
            <w:tcW w:w="1711" w:type="dxa"/>
          </w:tcPr>
          <w:p w14:paraId="21B6672E" w14:textId="6D64E3F4" w:rsidR="00014370" w:rsidRPr="0004421F" w:rsidRDefault="00014370" w:rsidP="004E6474">
            <w:r w:rsidRPr="00140230">
              <w:t>CSGC Rep</w:t>
            </w:r>
          </w:p>
        </w:tc>
      </w:tr>
      <w:tr w:rsidR="00D268B6" w14:paraId="77DF06A0" w14:textId="77777777" w:rsidTr="00B83764">
        <w:trPr>
          <w:jc w:val="center"/>
        </w:trPr>
        <w:tc>
          <w:tcPr>
            <w:tcW w:w="8359" w:type="dxa"/>
          </w:tcPr>
          <w:p w14:paraId="162F8E8D" w14:textId="7A7E946A" w:rsidR="00E276A6" w:rsidRDefault="0010673F">
            <w:r w:rsidRPr="00460DFF">
              <w:t xml:space="preserve">If the CSGC project is closed or if </w:t>
            </w:r>
            <w:r w:rsidR="00CB6A26" w:rsidRPr="00460DFF">
              <w:t xml:space="preserve">a minor amendment is included with </w:t>
            </w:r>
            <w:r w:rsidRPr="00460DFF">
              <w:t>the payment request, t</w:t>
            </w:r>
            <w:r w:rsidR="00C53B72" w:rsidRPr="00102259">
              <w:t xml:space="preserve">he CSGC Rep </w:t>
            </w:r>
            <w:r w:rsidRPr="00982DE6">
              <w:t xml:space="preserve">must request an update to </w:t>
            </w:r>
            <w:r w:rsidR="00BD7DBD" w:rsidRPr="00982DE6">
              <w:t xml:space="preserve">the funds </w:t>
            </w:r>
            <w:r w:rsidR="005531A9" w:rsidRPr="00982DE6">
              <w:t>commitment(s)</w:t>
            </w:r>
            <w:r w:rsidR="00BD7DBD" w:rsidRPr="00982DE6">
              <w:t xml:space="preserve"> </w:t>
            </w:r>
            <w:r w:rsidR="002B0915" w:rsidRPr="00982DE6">
              <w:t xml:space="preserve">in SAP </w:t>
            </w:r>
            <w:r w:rsidR="00C53B72" w:rsidRPr="00982DE6">
              <w:t xml:space="preserve">with the </w:t>
            </w:r>
            <w:r w:rsidRPr="00982DE6">
              <w:t>CFOB-</w:t>
            </w:r>
            <w:r w:rsidR="00C53B72" w:rsidRPr="00982DE6">
              <w:t>FMA</w:t>
            </w:r>
            <w:r w:rsidR="001F0B45" w:rsidRPr="00982DE6">
              <w:rPr>
                <w:rFonts w:asciiTheme="minorHAnsi" w:hAnsiTheme="minorHAnsi"/>
                <w:lang w:eastAsia="en-CA"/>
              </w:rPr>
              <w:t>.</w:t>
            </w:r>
          </w:p>
        </w:tc>
        <w:tc>
          <w:tcPr>
            <w:tcW w:w="1711" w:type="dxa"/>
          </w:tcPr>
          <w:p w14:paraId="397C7D48" w14:textId="40D8E4E4" w:rsidR="00E276A6" w:rsidRPr="00140230" w:rsidRDefault="001F0B45" w:rsidP="004E6474">
            <w:r w:rsidRPr="00140230">
              <w:t>CSGC Rep</w:t>
            </w:r>
          </w:p>
        </w:tc>
      </w:tr>
      <w:tr w:rsidR="00D268B6" w14:paraId="1E7C06BD" w14:textId="77777777" w:rsidTr="00B83764">
        <w:trPr>
          <w:jc w:val="center"/>
        </w:trPr>
        <w:tc>
          <w:tcPr>
            <w:tcW w:w="8359" w:type="dxa"/>
          </w:tcPr>
          <w:p w14:paraId="7E57830A" w14:textId="38CE4BF6" w:rsidR="0091181D" w:rsidRDefault="0091181D" w:rsidP="0010673F">
            <w:r>
              <w:t xml:space="preserve">When required, the CFOB-FMA proceeds to the required adjustments to the funds </w:t>
            </w:r>
            <w:r w:rsidR="0010673F">
              <w:t>commitment(s) in SAP.</w:t>
            </w:r>
          </w:p>
        </w:tc>
        <w:tc>
          <w:tcPr>
            <w:tcW w:w="1711" w:type="dxa"/>
          </w:tcPr>
          <w:p w14:paraId="7E4B0141" w14:textId="359B0B2F" w:rsidR="0091181D" w:rsidRPr="00140230" w:rsidRDefault="0091181D" w:rsidP="004E6474">
            <w:r>
              <w:t>CFOB-FMA</w:t>
            </w:r>
          </w:p>
        </w:tc>
      </w:tr>
      <w:tr w:rsidR="00D268B6" w14:paraId="06083B5F" w14:textId="77777777" w:rsidTr="00B83764">
        <w:trPr>
          <w:jc w:val="center"/>
        </w:trPr>
        <w:tc>
          <w:tcPr>
            <w:tcW w:w="8359" w:type="dxa"/>
          </w:tcPr>
          <w:p w14:paraId="616AE4A3" w14:textId="7F7BADF0" w:rsidR="00014370" w:rsidRDefault="004E6474" w:rsidP="004E6474">
            <w:r>
              <w:t>The</w:t>
            </w:r>
            <w:r w:rsidR="005725E3">
              <w:t xml:space="preserve"> </w:t>
            </w:r>
            <w:r w:rsidR="00014370" w:rsidRPr="005009A6">
              <w:t xml:space="preserve">CSGC Rep needs to validate with the </w:t>
            </w:r>
            <w:r w:rsidR="005725E3">
              <w:t>POB-</w:t>
            </w:r>
            <w:r w:rsidR="00014370" w:rsidRPr="005009A6">
              <w:t xml:space="preserve">COE by sending the </w:t>
            </w:r>
            <w:r w:rsidR="005725E3">
              <w:t>completed G101 Form</w:t>
            </w:r>
            <w:r w:rsidR="00014370" w:rsidRPr="005009A6">
              <w:t xml:space="preserve"> to the following email address: </w:t>
            </w:r>
            <w:hyperlink r:id="rId17" w:history="1">
              <w:r w:rsidR="00014370" w:rsidRPr="005009A6">
                <w:rPr>
                  <w:rStyle w:val="Hyperlink"/>
                </w:rPr>
                <w:t>NC-GCCE-CESC-GD</w:t>
              </w:r>
            </w:hyperlink>
            <w:r w:rsidR="00014370" w:rsidRPr="005009A6">
              <w:t xml:space="preserve"> (write in the subject “Manual Payment”). The payment must not be submitted to CFOB without an acknowledgement from the COE</w:t>
            </w:r>
            <w:r w:rsidR="005725E3">
              <w:t>.</w:t>
            </w:r>
          </w:p>
        </w:tc>
        <w:tc>
          <w:tcPr>
            <w:tcW w:w="1711" w:type="dxa"/>
          </w:tcPr>
          <w:p w14:paraId="5CD22CA9" w14:textId="59D6FDAD" w:rsidR="00014370" w:rsidRPr="0014412E" w:rsidRDefault="00014370" w:rsidP="004E6474">
            <w:r w:rsidRPr="00140230">
              <w:t>CSGC Rep</w:t>
            </w:r>
          </w:p>
        </w:tc>
      </w:tr>
      <w:tr w:rsidR="00D268B6" w14:paraId="5B653E99" w14:textId="77777777" w:rsidTr="00B83764">
        <w:trPr>
          <w:jc w:val="center"/>
        </w:trPr>
        <w:tc>
          <w:tcPr>
            <w:tcW w:w="8359" w:type="dxa"/>
          </w:tcPr>
          <w:p w14:paraId="5BEE129A" w14:textId="77777777" w:rsidR="00014370" w:rsidRDefault="00014370" w:rsidP="004E6474">
            <w:r>
              <w:t xml:space="preserve">Once G101 form is signed, the CSGC Rep submits the payment request to CFOB-NAP through the </w:t>
            </w:r>
            <w:hyperlink r:id="rId18" w:history="1">
              <w:proofErr w:type="spellStart"/>
              <w:r w:rsidRPr="00C658D2">
                <w:rPr>
                  <w:rStyle w:val="Hyperlink"/>
                </w:rPr>
                <w:t>iService</w:t>
              </w:r>
              <w:proofErr w:type="spellEnd"/>
              <w:r w:rsidRPr="00C658D2">
                <w:rPr>
                  <w:rStyle w:val="Hyperlink"/>
                </w:rPr>
                <w:t xml:space="preserve"> Catalogue</w:t>
              </w:r>
            </w:hyperlink>
            <w:r>
              <w:t xml:space="preserve">, selecting Grants &amp; Contributions as the category. </w:t>
            </w:r>
          </w:p>
          <w:p w14:paraId="56124DF4" w14:textId="3EC3965F" w:rsidR="005217F7" w:rsidRPr="00460DFF" w:rsidRDefault="005217F7" w:rsidP="00982DE6">
            <w:pPr>
              <w:pStyle w:val="ListParagraph"/>
              <w:numPr>
                <w:ilvl w:val="0"/>
                <w:numId w:val="35"/>
              </w:numPr>
              <w:rPr>
                <w:rFonts w:eastAsia="Calibri" w:cs="Times New Roman"/>
              </w:rPr>
            </w:pPr>
            <w:r w:rsidRPr="00460DFF">
              <w:rPr>
                <w:rFonts w:eastAsia="Calibri" w:cs="Times New Roman"/>
              </w:rPr>
              <w:t xml:space="preserve">The CSGC Rep must pay special attention to the closing notification from the ticket in </w:t>
            </w:r>
            <w:proofErr w:type="spellStart"/>
            <w:r w:rsidRPr="00460DFF">
              <w:rPr>
                <w:rFonts w:eastAsia="Calibri" w:cs="Times New Roman"/>
              </w:rPr>
              <w:t>iService</w:t>
            </w:r>
            <w:proofErr w:type="spellEnd"/>
            <w:r w:rsidRPr="00460DFF">
              <w:rPr>
                <w:rFonts w:eastAsia="Calibri" w:cs="Times New Roman"/>
              </w:rPr>
              <w:t xml:space="preserve">. When CFOB-NAP receives the documentation via </w:t>
            </w:r>
            <w:proofErr w:type="spellStart"/>
            <w:r w:rsidRPr="00460DFF">
              <w:rPr>
                <w:rFonts w:eastAsia="Calibri" w:cs="Times New Roman"/>
              </w:rPr>
              <w:t>iService</w:t>
            </w:r>
            <w:proofErr w:type="spellEnd"/>
            <w:r w:rsidRPr="00460DFF">
              <w:rPr>
                <w:rFonts w:eastAsia="Calibri" w:cs="Times New Roman"/>
              </w:rPr>
              <w:t>, if some documents are missing or not compliant with their process, the ticket will be closed with a comment without any payment being issued. In those situation</w:t>
            </w:r>
            <w:r w:rsidR="00982DE6">
              <w:rPr>
                <w:rFonts w:eastAsia="Calibri" w:cs="Times New Roman"/>
              </w:rPr>
              <w:t>s</w:t>
            </w:r>
            <w:r w:rsidRPr="00460DFF">
              <w:rPr>
                <w:rFonts w:eastAsia="Calibri" w:cs="Times New Roman"/>
              </w:rPr>
              <w:t xml:space="preserve">, the CSGC Rep will </w:t>
            </w:r>
            <w:r w:rsidR="00982DE6">
              <w:rPr>
                <w:rFonts w:eastAsia="Calibri" w:cs="Times New Roman"/>
              </w:rPr>
              <w:t>need</w:t>
            </w:r>
            <w:r w:rsidRPr="00460DFF">
              <w:rPr>
                <w:rFonts w:eastAsia="Calibri" w:cs="Times New Roman"/>
              </w:rPr>
              <w:t xml:space="preserve"> to submit a new request. </w:t>
            </w:r>
          </w:p>
        </w:tc>
        <w:tc>
          <w:tcPr>
            <w:tcW w:w="1711" w:type="dxa"/>
          </w:tcPr>
          <w:p w14:paraId="17455F49" w14:textId="7D93D0DE" w:rsidR="00014370" w:rsidRPr="0014412E" w:rsidRDefault="00014370" w:rsidP="004E6474">
            <w:r w:rsidRPr="0014412E">
              <w:t>CSGC Rep</w:t>
            </w:r>
          </w:p>
        </w:tc>
      </w:tr>
      <w:tr w:rsidR="00D268B6" w14:paraId="4CB1E674" w14:textId="77777777" w:rsidTr="00B83764">
        <w:trPr>
          <w:jc w:val="center"/>
        </w:trPr>
        <w:tc>
          <w:tcPr>
            <w:tcW w:w="8359" w:type="dxa"/>
          </w:tcPr>
          <w:p w14:paraId="561F4D92" w14:textId="4473949F" w:rsidR="00014370" w:rsidRDefault="00014370" w:rsidP="004E6474">
            <w:r>
              <w:t>CFOB-NAP issues the manual payment</w:t>
            </w:r>
          </w:p>
        </w:tc>
        <w:tc>
          <w:tcPr>
            <w:tcW w:w="1711" w:type="dxa"/>
          </w:tcPr>
          <w:p w14:paraId="09EFB9A7" w14:textId="3A61AE86" w:rsidR="00014370" w:rsidRPr="0014412E" w:rsidRDefault="00014370" w:rsidP="004E6474">
            <w:r w:rsidRPr="0014412E">
              <w:t>CFOB</w:t>
            </w:r>
            <w:r>
              <w:t>-NAP</w:t>
            </w:r>
          </w:p>
        </w:tc>
      </w:tr>
      <w:tr w:rsidR="00D268B6" w14:paraId="316677CE" w14:textId="77777777" w:rsidTr="00B83764">
        <w:trPr>
          <w:jc w:val="center"/>
        </w:trPr>
        <w:tc>
          <w:tcPr>
            <w:tcW w:w="8359" w:type="dxa"/>
          </w:tcPr>
          <w:p w14:paraId="5FE2BF1D" w14:textId="6F806AFF" w:rsidR="00014370" w:rsidRDefault="00014370" w:rsidP="004E6474">
            <w:r>
              <w:lastRenderedPageBreak/>
              <w:t xml:space="preserve">CFOB-NAP advises CSGC Rep when the payment is issued, with the relevant payment information (SAP document number), by means of closing the </w:t>
            </w:r>
            <w:proofErr w:type="spellStart"/>
            <w:r>
              <w:t>iService</w:t>
            </w:r>
            <w:proofErr w:type="spellEnd"/>
            <w:r>
              <w:t xml:space="preserve"> ticket with notification.</w:t>
            </w:r>
          </w:p>
        </w:tc>
        <w:tc>
          <w:tcPr>
            <w:tcW w:w="1711" w:type="dxa"/>
          </w:tcPr>
          <w:p w14:paraId="18CAA69C" w14:textId="1094FB2C" w:rsidR="00014370" w:rsidRPr="0014412E" w:rsidRDefault="00014370" w:rsidP="004E6474">
            <w:r w:rsidRPr="0014412E">
              <w:t>CFOB</w:t>
            </w:r>
            <w:r>
              <w:t>-NAP</w:t>
            </w:r>
          </w:p>
        </w:tc>
      </w:tr>
      <w:tr w:rsidR="00D268B6" w14:paraId="305360F1" w14:textId="77777777" w:rsidTr="00B83764">
        <w:trPr>
          <w:jc w:val="center"/>
        </w:trPr>
        <w:tc>
          <w:tcPr>
            <w:tcW w:w="8359" w:type="dxa"/>
          </w:tcPr>
          <w:p w14:paraId="430ED81A" w14:textId="7A0575FC" w:rsidR="00014370" w:rsidRDefault="00014370" w:rsidP="004E6474">
            <w:r>
              <w:t xml:space="preserve">CSGC Rep advises the GCP with the payment information. </w:t>
            </w:r>
          </w:p>
        </w:tc>
        <w:tc>
          <w:tcPr>
            <w:tcW w:w="1711" w:type="dxa"/>
          </w:tcPr>
          <w:p w14:paraId="2B85351D" w14:textId="2FBB260A" w:rsidR="00014370" w:rsidRPr="0014412E" w:rsidRDefault="00014370" w:rsidP="004E6474">
            <w:r w:rsidRPr="0014412E">
              <w:t>CSGC Rep</w:t>
            </w:r>
            <w:r>
              <w:t xml:space="preserve"> </w:t>
            </w:r>
          </w:p>
        </w:tc>
      </w:tr>
      <w:tr w:rsidR="00D268B6" w14:paraId="35356EAF" w14:textId="77777777" w:rsidTr="00B83764">
        <w:trPr>
          <w:jc w:val="center"/>
        </w:trPr>
        <w:tc>
          <w:tcPr>
            <w:tcW w:w="8359" w:type="dxa"/>
          </w:tcPr>
          <w:p w14:paraId="300A0FF7" w14:textId="06C45FFA" w:rsidR="00014370" w:rsidRDefault="00014370" w:rsidP="004E6474">
            <w:r>
              <w:t xml:space="preserve">The GCP </w:t>
            </w:r>
            <w:r w:rsidRPr="00693C6E">
              <w:t>upload</w:t>
            </w:r>
            <w:r>
              <w:t>s</w:t>
            </w:r>
            <w:r w:rsidRPr="00693C6E">
              <w:t xml:space="preserve"> the G101 form payment information </w:t>
            </w:r>
            <w:r>
              <w:t>in</w:t>
            </w:r>
            <w:r w:rsidRPr="00693C6E">
              <w:t xml:space="preserve"> the CSGC </w:t>
            </w:r>
            <w:r>
              <w:t xml:space="preserve">system under the </w:t>
            </w:r>
            <w:r w:rsidRPr="00693C6E">
              <w:t xml:space="preserve">project </w:t>
            </w:r>
            <w:r>
              <w:t>“</w:t>
            </w:r>
            <w:r w:rsidRPr="00693C6E">
              <w:t>Supporting Document</w:t>
            </w:r>
            <w:r>
              <w:t>”</w:t>
            </w:r>
            <w:r w:rsidRPr="00693C6E">
              <w:t>.</w:t>
            </w:r>
            <w:r>
              <w:t xml:space="preserve">  GCP advises the CSGC Rep once documentation is included in CSGC.</w:t>
            </w:r>
          </w:p>
        </w:tc>
        <w:tc>
          <w:tcPr>
            <w:tcW w:w="1711" w:type="dxa"/>
          </w:tcPr>
          <w:p w14:paraId="0D133719" w14:textId="4A1D68EF" w:rsidR="00014370" w:rsidRPr="00140230" w:rsidRDefault="00014370" w:rsidP="004E6474">
            <w:r>
              <w:t>GCP</w:t>
            </w:r>
          </w:p>
        </w:tc>
      </w:tr>
      <w:tr w:rsidR="00D268B6" w14:paraId="0EFA8189" w14:textId="77777777" w:rsidTr="00B83764">
        <w:trPr>
          <w:jc w:val="center"/>
        </w:trPr>
        <w:tc>
          <w:tcPr>
            <w:tcW w:w="8359" w:type="dxa"/>
          </w:tcPr>
          <w:p w14:paraId="09BADB5D" w14:textId="2494F101" w:rsidR="00014370" w:rsidRDefault="00014370" w:rsidP="004E6474">
            <w:r>
              <w:t>For open projects</w:t>
            </w:r>
            <w:r w:rsidRPr="00140230">
              <w:t xml:space="preserve">, </w:t>
            </w:r>
            <w:r>
              <w:t xml:space="preserve">the </w:t>
            </w:r>
            <w:r w:rsidRPr="0014412E">
              <w:rPr>
                <w:rFonts w:asciiTheme="minorHAnsi" w:hAnsiTheme="minorHAnsi" w:cstheme="minorHAnsi"/>
                <w:lang w:val="en"/>
              </w:rPr>
              <w:t>CSGC Rep open</w:t>
            </w:r>
            <w:r>
              <w:rPr>
                <w:rFonts w:asciiTheme="minorHAnsi" w:hAnsiTheme="minorHAnsi" w:cstheme="minorHAnsi"/>
                <w:lang w:val="en"/>
              </w:rPr>
              <w:t>s</w:t>
            </w:r>
            <w:r w:rsidRPr="0014412E">
              <w:rPr>
                <w:rFonts w:asciiTheme="minorHAnsi" w:hAnsiTheme="minorHAnsi" w:cstheme="minorHAnsi"/>
                <w:lang w:val="en"/>
              </w:rPr>
              <w:t xml:space="preserve"> a National Service Desk</w:t>
            </w:r>
            <w:r>
              <w:rPr>
                <w:rFonts w:asciiTheme="minorHAnsi" w:hAnsiTheme="minorHAnsi" w:cstheme="minorHAnsi"/>
                <w:lang w:val="en"/>
              </w:rPr>
              <w:t xml:space="preserve"> (NSD)</w:t>
            </w:r>
            <w:r w:rsidRPr="0014412E">
              <w:rPr>
                <w:rFonts w:asciiTheme="minorHAnsi" w:hAnsiTheme="minorHAnsi" w:cstheme="minorHAnsi"/>
                <w:lang w:val="en"/>
              </w:rPr>
              <w:t xml:space="preserve"> ticket requesting a data fix</w:t>
            </w:r>
            <w:r>
              <w:rPr>
                <w:rFonts w:asciiTheme="minorHAnsi" w:hAnsiTheme="minorHAnsi" w:cstheme="minorHAnsi"/>
                <w:lang w:val="en"/>
              </w:rPr>
              <w:t xml:space="preserve"> adjustment</w:t>
            </w:r>
            <w:r w:rsidRPr="0014412E">
              <w:rPr>
                <w:rFonts w:asciiTheme="minorHAnsi" w:hAnsiTheme="minorHAnsi" w:cstheme="minorHAnsi"/>
                <w:lang w:val="en"/>
              </w:rPr>
              <w:t xml:space="preserve"> to reflect the </w:t>
            </w:r>
            <w:r>
              <w:rPr>
                <w:rFonts w:asciiTheme="minorHAnsi" w:hAnsiTheme="minorHAnsi" w:cstheme="minorHAnsi"/>
                <w:lang w:val="en"/>
              </w:rPr>
              <w:t xml:space="preserve">exact </w:t>
            </w:r>
            <w:r w:rsidRPr="0014412E">
              <w:rPr>
                <w:rFonts w:asciiTheme="minorHAnsi" w:hAnsiTheme="minorHAnsi" w:cstheme="minorHAnsi"/>
                <w:lang w:val="en"/>
              </w:rPr>
              <w:t>manual payment</w:t>
            </w:r>
            <w:r>
              <w:rPr>
                <w:rFonts w:asciiTheme="minorHAnsi" w:hAnsiTheme="minorHAnsi" w:cstheme="minorHAnsi"/>
                <w:lang w:val="en"/>
              </w:rPr>
              <w:t xml:space="preserve"> amount</w:t>
            </w:r>
            <w:r w:rsidR="00835C45">
              <w:rPr>
                <w:rFonts w:asciiTheme="minorHAnsi" w:hAnsiTheme="minorHAnsi" w:cstheme="minorHAnsi"/>
                <w:lang w:val="en"/>
              </w:rPr>
              <w:t xml:space="preserve"> in CSGC</w:t>
            </w:r>
            <w:r>
              <w:rPr>
                <w:rFonts w:asciiTheme="minorHAnsi" w:hAnsiTheme="minorHAnsi" w:cstheme="minorHAnsi"/>
                <w:lang w:val="en"/>
              </w:rPr>
              <w:t>.</w:t>
            </w:r>
            <w:r w:rsidRPr="0014412E">
              <w:rPr>
                <w:rFonts w:asciiTheme="minorHAnsi" w:hAnsiTheme="minorHAnsi" w:cstheme="minorHAnsi"/>
                <w:lang w:val="en"/>
              </w:rPr>
              <w:t xml:space="preserve"> </w:t>
            </w:r>
            <w:r w:rsidRPr="00140230">
              <w:t xml:space="preserve"> </w:t>
            </w:r>
          </w:p>
          <w:p w14:paraId="607E4225" w14:textId="77777777" w:rsidR="00014370" w:rsidRDefault="00014370" w:rsidP="004E6474"/>
          <w:p w14:paraId="5CA6A69F" w14:textId="0ACF9BAB" w:rsidR="00014370" w:rsidRDefault="00014370" w:rsidP="004E6474">
            <w:r>
              <w:t>F</w:t>
            </w:r>
            <w:r w:rsidRPr="00140230">
              <w:t>or closed projects</w:t>
            </w:r>
            <w:r>
              <w:t>,</w:t>
            </w:r>
            <w:r w:rsidRPr="00140230">
              <w:t xml:space="preserve"> </w:t>
            </w:r>
            <w:r>
              <w:t xml:space="preserve">the GCP adds </w:t>
            </w:r>
            <w:r w:rsidRPr="00140230">
              <w:t xml:space="preserve">a note to file in CSGC </w:t>
            </w:r>
            <w:r>
              <w:t xml:space="preserve">since </w:t>
            </w:r>
            <w:r w:rsidRPr="00140230">
              <w:t xml:space="preserve">adjustments </w:t>
            </w:r>
            <w:r>
              <w:t>directly in</w:t>
            </w:r>
            <w:r w:rsidRPr="00140230">
              <w:t xml:space="preserve"> CSGC</w:t>
            </w:r>
            <w:r>
              <w:t xml:space="preserve"> are no longer possible</w:t>
            </w:r>
            <w:r w:rsidRPr="00140230">
              <w:t xml:space="preserve">. </w:t>
            </w:r>
            <w:bookmarkStart w:id="0" w:name="_GoBack"/>
            <w:bookmarkEnd w:id="0"/>
          </w:p>
        </w:tc>
        <w:tc>
          <w:tcPr>
            <w:tcW w:w="1711" w:type="dxa"/>
          </w:tcPr>
          <w:p w14:paraId="00531934" w14:textId="1FB85752" w:rsidR="00014370" w:rsidRPr="00D33ADD" w:rsidRDefault="00014370" w:rsidP="004E6474">
            <w:r w:rsidRPr="00140230">
              <w:t>CSGC Rep</w:t>
            </w:r>
            <w:r>
              <w:t xml:space="preserve"> and GCP</w:t>
            </w:r>
          </w:p>
        </w:tc>
      </w:tr>
      <w:tr w:rsidR="00D268B6" w14:paraId="33E22B66" w14:textId="77777777" w:rsidTr="00B83764">
        <w:trPr>
          <w:jc w:val="center"/>
        </w:trPr>
        <w:tc>
          <w:tcPr>
            <w:tcW w:w="8359" w:type="dxa"/>
          </w:tcPr>
          <w:p w14:paraId="3B482D9A" w14:textId="11C5C2C1" w:rsidR="00014370" w:rsidRDefault="00014370" w:rsidP="004E6474">
            <w:r w:rsidRPr="005C7029">
              <w:t>Once the adjustment</w:t>
            </w:r>
            <w:r>
              <w:t xml:space="preserve"> (data fix)</w:t>
            </w:r>
            <w:r w:rsidRPr="005C7029">
              <w:t xml:space="preserve"> or the note </w:t>
            </w:r>
            <w:r>
              <w:t xml:space="preserve">to file </w:t>
            </w:r>
            <w:r w:rsidRPr="005C7029">
              <w:t>is completed, the GCP and the CSGC Rep ensure that they are properly reflected in CSGC.</w:t>
            </w:r>
          </w:p>
        </w:tc>
        <w:tc>
          <w:tcPr>
            <w:tcW w:w="1711" w:type="dxa"/>
          </w:tcPr>
          <w:p w14:paraId="5B0A4411" w14:textId="6ACD24FA" w:rsidR="00014370" w:rsidRPr="0014412E" w:rsidRDefault="00014370" w:rsidP="004E6474">
            <w:r>
              <w:t>GCP &amp; CSGC Rep</w:t>
            </w:r>
          </w:p>
        </w:tc>
      </w:tr>
    </w:tbl>
    <w:p w14:paraId="51A92DDE" w14:textId="7B85CD9E" w:rsidR="00DD725A" w:rsidRDefault="00DD725A" w:rsidP="004E6474">
      <w:pPr>
        <w:spacing w:after="0"/>
        <w:rPr>
          <w:b/>
          <w:sz w:val="24"/>
          <w:szCs w:val="24"/>
          <w:lang w:eastAsia="en-CA"/>
        </w:rPr>
      </w:pPr>
    </w:p>
    <w:p w14:paraId="71C70A08" w14:textId="296818DE" w:rsidR="00F23C43" w:rsidRPr="006C49E8" w:rsidRDefault="00F23C43" w:rsidP="00B83764">
      <w:pPr>
        <w:pStyle w:val="CommentText"/>
        <w:numPr>
          <w:ilvl w:val="0"/>
          <w:numId w:val="34"/>
        </w:numPr>
        <w:spacing w:after="0"/>
        <w:contextualSpacing/>
        <w:rPr>
          <w:rFonts w:cstheme="minorHAnsi"/>
          <w:b/>
          <w:lang w:eastAsia="en-CA"/>
        </w:rPr>
        <w:sectPr w:rsidR="00F23C43" w:rsidRPr="006C49E8" w:rsidSect="004E6474">
          <w:headerReference w:type="default" r:id="rId19"/>
          <w:footerReference w:type="default" r:id="rId20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1C5F8CB9" w14:textId="7D3C4AC9" w:rsidR="00DD725A" w:rsidRDefault="00BD63C8" w:rsidP="004E6474">
      <w:pPr>
        <w:spacing w:after="0"/>
        <w:jc w:val="center"/>
        <w:rPr>
          <w:b/>
          <w:sz w:val="24"/>
          <w:szCs w:val="24"/>
          <w:lang w:eastAsia="en-CA"/>
        </w:rPr>
      </w:pPr>
      <w:r>
        <w:rPr>
          <w:b/>
          <w:sz w:val="24"/>
          <w:szCs w:val="24"/>
          <w:lang w:eastAsia="en-CA"/>
        </w:rPr>
        <w:lastRenderedPageBreak/>
        <w:t>Appendix B</w:t>
      </w:r>
      <w:r w:rsidR="003A13D8">
        <w:rPr>
          <w:b/>
        </w:rPr>
        <w:t xml:space="preserve"> - </w:t>
      </w:r>
      <w:r w:rsidR="00DD725A" w:rsidRPr="00E95CBE">
        <w:rPr>
          <w:b/>
        </w:rPr>
        <w:t xml:space="preserve">Manual Payments Process </w:t>
      </w:r>
      <w:r w:rsidR="00124FAD">
        <w:rPr>
          <w:b/>
        </w:rPr>
        <w:t>-</w:t>
      </w:r>
      <w:r w:rsidR="00DD725A" w:rsidRPr="00E95CBE">
        <w:rPr>
          <w:b/>
        </w:rPr>
        <w:t xml:space="preserve"> Roles and Responsibilities</w:t>
      </w:r>
      <w:r>
        <w:rPr>
          <w:b/>
        </w:rPr>
        <w:t xml:space="preserve"> flowchart</w:t>
      </w:r>
      <w:r w:rsidR="006926F2">
        <w:rPr>
          <w:noProof/>
          <w:lang w:eastAsia="en-CA"/>
        </w:rPr>
        <w:drawing>
          <wp:inline distT="0" distB="0" distL="0" distR="0" wp14:anchorId="0D0E03EC" wp14:editId="333F0CAB">
            <wp:extent cx="9367955" cy="5237683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391460" cy="5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65593" w14:textId="39F1EE72" w:rsidR="005702F1" w:rsidRDefault="005702F1" w:rsidP="004E6474">
      <w:pPr>
        <w:spacing w:after="0"/>
        <w:jc w:val="center"/>
        <w:rPr>
          <w:b/>
          <w:sz w:val="24"/>
          <w:szCs w:val="24"/>
          <w:lang w:eastAsia="en-CA"/>
        </w:rPr>
        <w:sectPr w:rsidR="005702F1" w:rsidSect="004E6474">
          <w:pgSz w:w="20160" w:h="12240" w:orient="landscape" w:code="5"/>
          <w:pgMar w:top="1440" w:right="1440" w:bottom="1440" w:left="1440" w:header="708" w:footer="708" w:gutter="0"/>
          <w:cols w:space="708"/>
          <w:docGrid w:linePitch="360"/>
        </w:sectPr>
      </w:pPr>
    </w:p>
    <w:p w14:paraId="402D9D01" w14:textId="77777777" w:rsidR="00E05062" w:rsidRDefault="00E1159D" w:rsidP="004E6474">
      <w:pPr>
        <w:spacing w:after="0"/>
        <w:jc w:val="center"/>
        <w:rPr>
          <w:b/>
          <w:sz w:val="24"/>
          <w:szCs w:val="24"/>
          <w:lang w:eastAsia="en-CA"/>
        </w:rPr>
      </w:pPr>
      <w:r>
        <w:rPr>
          <w:b/>
          <w:sz w:val="24"/>
          <w:szCs w:val="24"/>
          <w:lang w:eastAsia="en-CA"/>
        </w:rPr>
        <w:lastRenderedPageBreak/>
        <w:t>Appendix C</w:t>
      </w:r>
    </w:p>
    <w:p w14:paraId="30ECF679" w14:textId="724E4EFB" w:rsidR="00F5641F" w:rsidRDefault="003C4A26" w:rsidP="004E6474">
      <w:pPr>
        <w:spacing w:after="0"/>
        <w:jc w:val="center"/>
        <w:rPr>
          <w:b/>
          <w:sz w:val="24"/>
          <w:szCs w:val="24"/>
          <w:lang w:eastAsia="en-CA"/>
        </w:rPr>
      </w:pPr>
      <w:r>
        <w:rPr>
          <w:b/>
          <w:sz w:val="24"/>
          <w:szCs w:val="24"/>
          <w:lang w:eastAsia="en-CA"/>
        </w:rPr>
        <w:t xml:space="preserve">List of </w:t>
      </w:r>
      <w:r w:rsidR="00862A3C">
        <w:rPr>
          <w:b/>
          <w:sz w:val="24"/>
          <w:szCs w:val="24"/>
          <w:lang w:eastAsia="en-CA"/>
        </w:rPr>
        <w:t xml:space="preserve">current </w:t>
      </w:r>
      <w:r>
        <w:rPr>
          <w:b/>
          <w:sz w:val="24"/>
          <w:szCs w:val="24"/>
          <w:lang w:eastAsia="en-CA"/>
        </w:rPr>
        <w:t xml:space="preserve">exceptions </w:t>
      </w:r>
      <w:r w:rsidR="00862A3C">
        <w:rPr>
          <w:b/>
          <w:sz w:val="24"/>
          <w:szCs w:val="24"/>
          <w:lang w:eastAsia="en-CA"/>
        </w:rPr>
        <w:t>for</w:t>
      </w:r>
      <w:r w:rsidR="00467FE6">
        <w:rPr>
          <w:b/>
          <w:sz w:val="24"/>
          <w:szCs w:val="24"/>
          <w:lang w:eastAsia="en-CA"/>
        </w:rPr>
        <w:t xml:space="preserve"> CGSC</w:t>
      </w:r>
      <w:r w:rsidR="00862A3C">
        <w:rPr>
          <w:b/>
          <w:sz w:val="24"/>
          <w:szCs w:val="24"/>
          <w:lang w:eastAsia="en-CA"/>
        </w:rPr>
        <w:t xml:space="preserve"> manual payments</w:t>
      </w:r>
    </w:p>
    <w:p w14:paraId="4138F795" w14:textId="77777777" w:rsidR="00AA7F3E" w:rsidRDefault="00AA7F3E" w:rsidP="004E6474">
      <w:pPr>
        <w:spacing w:after="0"/>
        <w:jc w:val="center"/>
        <w:rPr>
          <w:b/>
          <w:sz w:val="24"/>
          <w:szCs w:val="24"/>
          <w:lang w:eastAsia="en-CA"/>
        </w:rPr>
      </w:pPr>
    </w:p>
    <w:p w14:paraId="0DB841E6" w14:textId="77777777" w:rsidR="003C4A26" w:rsidRPr="00941DF1" w:rsidRDefault="004F41B0" w:rsidP="004E6474">
      <w:pPr>
        <w:pStyle w:val="ListParagraph"/>
        <w:numPr>
          <w:ilvl w:val="0"/>
          <w:numId w:val="20"/>
        </w:numPr>
        <w:rPr>
          <w:lang w:eastAsia="en-CA"/>
        </w:rPr>
      </w:pPr>
      <w:r>
        <w:rPr>
          <w:lang w:eastAsia="en-CA"/>
        </w:rPr>
        <w:t xml:space="preserve">All </w:t>
      </w:r>
      <w:r w:rsidR="00471A3F">
        <w:rPr>
          <w:lang w:eastAsia="en-CA"/>
        </w:rPr>
        <w:t xml:space="preserve">payments not related to the Department’s </w:t>
      </w:r>
      <w:proofErr w:type="spellStart"/>
      <w:r w:rsidR="00471A3F">
        <w:rPr>
          <w:lang w:eastAsia="en-CA"/>
        </w:rPr>
        <w:t>Gs&amp;Cs</w:t>
      </w:r>
      <w:proofErr w:type="spellEnd"/>
      <w:r w:rsidR="00471A3F">
        <w:rPr>
          <w:lang w:eastAsia="en-CA"/>
        </w:rPr>
        <w:t xml:space="preserve"> programs</w:t>
      </w:r>
      <w:r w:rsidR="00AF473B">
        <w:rPr>
          <w:lang w:eastAsia="en-CA"/>
        </w:rPr>
        <w:t>.</w:t>
      </w:r>
    </w:p>
    <w:p w14:paraId="70C4C209" w14:textId="1CE92E77" w:rsidR="0009201E" w:rsidRPr="00941DF1" w:rsidRDefault="006F114A" w:rsidP="004E6474">
      <w:pPr>
        <w:pStyle w:val="ListParagraph"/>
        <w:numPr>
          <w:ilvl w:val="0"/>
          <w:numId w:val="20"/>
        </w:numPr>
        <w:rPr>
          <w:lang w:eastAsia="en-CA"/>
        </w:rPr>
      </w:pPr>
      <w:r w:rsidRPr="00941DF1">
        <w:rPr>
          <w:lang w:eastAsia="en-CA"/>
        </w:rPr>
        <w:t xml:space="preserve">Payments to provinces and territories </w:t>
      </w:r>
      <w:r w:rsidR="007475A6" w:rsidRPr="00941DF1">
        <w:rPr>
          <w:lang w:eastAsia="en-CA"/>
        </w:rPr>
        <w:t xml:space="preserve">(such as </w:t>
      </w:r>
      <w:r w:rsidR="00AF473B">
        <w:rPr>
          <w:lang w:eastAsia="en-CA"/>
        </w:rPr>
        <w:t>Workforce Development Agreements</w:t>
      </w:r>
      <w:r w:rsidR="007475A6" w:rsidRPr="00941DF1">
        <w:rPr>
          <w:lang w:eastAsia="en-CA"/>
        </w:rPr>
        <w:t xml:space="preserve">, </w:t>
      </w:r>
      <w:r w:rsidR="00AF473B">
        <w:rPr>
          <w:lang w:eastAsia="en-CA"/>
        </w:rPr>
        <w:t>Early Learning and Child Care, Canada Job Fund</w:t>
      </w:r>
      <w:r w:rsidR="007475A6" w:rsidRPr="00941DF1">
        <w:rPr>
          <w:lang w:eastAsia="en-CA"/>
        </w:rPr>
        <w:t>)</w:t>
      </w:r>
      <w:r w:rsidR="00877B3C">
        <w:rPr>
          <w:lang w:eastAsia="en-CA"/>
        </w:rPr>
        <w:t>.</w:t>
      </w:r>
    </w:p>
    <w:p w14:paraId="663F9B8B" w14:textId="23C3167A" w:rsidR="00877B3C" w:rsidRDefault="00877B3C" w:rsidP="004E6474">
      <w:pPr>
        <w:pStyle w:val="ListParagraph"/>
        <w:numPr>
          <w:ilvl w:val="0"/>
          <w:numId w:val="20"/>
        </w:numPr>
        <w:rPr>
          <w:lang w:eastAsia="en-CA"/>
        </w:rPr>
      </w:pPr>
      <w:proofErr w:type="spellStart"/>
      <w:r w:rsidRPr="00941DF1">
        <w:rPr>
          <w:lang w:eastAsia="en-CA"/>
        </w:rPr>
        <w:t>Labour</w:t>
      </w:r>
      <w:proofErr w:type="spellEnd"/>
      <w:r w:rsidRPr="00941DF1">
        <w:rPr>
          <w:lang w:eastAsia="en-CA"/>
        </w:rPr>
        <w:t xml:space="preserve"> payment</w:t>
      </w:r>
      <w:r>
        <w:rPr>
          <w:lang w:eastAsia="en-CA"/>
        </w:rPr>
        <w:t>s to international addresses and direct deposits to financial institutions outside of Canada</w:t>
      </w:r>
      <w:r w:rsidR="00406BE6">
        <w:rPr>
          <w:lang w:eastAsia="en-CA"/>
        </w:rPr>
        <w:t>, as CSGC is not capable of processing international payments</w:t>
      </w:r>
      <w:r>
        <w:rPr>
          <w:lang w:eastAsia="en-CA"/>
        </w:rPr>
        <w:t xml:space="preserve">. </w:t>
      </w:r>
    </w:p>
    <w:p w14:paraId="546BE841" w14:textId="023292D7" w:rsidR="00E073FC" w:rsidRDefault="00E073FC" w:rsidP="004E6474">
      <w:pPr>
        <w:pStyle w:val="ListParagraph"/>
        <w:rPr>
          <w:lang w:eastAsia="en-CA"/>
        </w:rPr>
      </w:pPr>
    </w:p>
    <w:p w14:paraId="17FA6C0E" w14:textId="77777777" w:rsidR="00193520" w:rsidRPr="001B14B4" w:rsidRDefault="00193520" w:rsidP="004E6474">
      <w:pPr>
        <w:spacing w:after="0"/>
        <w:ind w:firstLine="720"/>
        <w:rPr>
          <w:lang w:val="en-US"/>
        </w:rPr>
      </w:pPr>
    </w:p>
    <w:sectPr w:rsidR="00193520" w:rsidRPr="001B14B4" w:rsidSect="00DD7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DC9F" w14:textId="77777777" w:rsidR="00BC2F11" w:rsidRDefault="00BC2F11" w:rsidP="004F4441">
      <w:pPr>
        <w:spacing w:after="0" w:line="240" w:lineRule="auto"/>
      </w:pPr>
      <w:r>
        <w:separator/>
      </w:r>
    </w:p>
    <w:p w14:paraId="38A6A73D" w14:textId="77777777" w:rsidR="00BC2F11" w:rsidRDefault="00BC2F11"/>
  </w:endnote>
  <w:endnote w:type="continuationSeparator" w:id="0">
    <w:p w14:paraId="51FF20E3" w14:textId="77777777" w:rsidR="00BC2F11" w:rsidRDefault="00BC2F11" w:rsidP="004F4441">
      <w:pPr>
        <w:spacing w:after="0" w:line="240" w:lineRule="auto"/>
      </w:pPr>
      <w:r>
        <w:continuationSeparator/>
      </w:r>
    </w:p>
    <w:p w14:paraId="439D9096" w14:textId="77777777" w:rsidR="00BC2F11" w:rsidRDefault="00BC2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133540"/>
      <w:docPartObj>
        <w:docPartGallery w:val="Page Numbers (Bottom of Page)"/>
        <w:docPartUnique/>
      </w:docPartObj>
    </w:sdtPr>
    <w:sdtEndPr/>
    <w:sdtContent>
      <w:p w14:paraId="0723800B" w14:textId="1F690D9F" w:rsidR="004671AC" w:rsidRDefault="004671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764" w:rsidRPr="00B83764">
          <w:rPr>
            <w:noProof/>
            <w:lang w:val="fr-FR"/>
          </w:rPr>
          <w:t>7</w:t>
        </w:r>
        <w:r>
          <w:fldChar w:fldCharType="end"/>
        </w:r>
      </w:p>
    </w:sdtContent>
  </w:sdt>
  <w:p w14:paraId="77F3CB15" w14:textId="77777777" w:rsidR="004671AC" w:rsidRDefault="00467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C21DA" w14:textId="77777777" w:rsidR="00BC2F11" w:rsidRDefault="00BC2F11" w:rsidP="004F4441">
      <w:pPr>
        <w:spacing w:after="0" w:line="240" w:lineRule="auto"/>
      </w:pPr>
      <w:r>
        <w:separator/>
      </w:r>
    </w:p>
    <w:p w14:paraId="778B99C9" w14:textId="77777777" w:rsidR="00BC2F11" w:rsidRDefault="00BC2F11"/>
  </w:footnote>
  <w:footnote w:type="continuationSeparator" w:id="0">
    <w:p w14:paraId="70466A5A" w14:textId="77777777" w:rsidR="00BC2F11" w:rsidRDefault="00BC2F11" w:rsidP="004F4441">
      <w:pPr>
        <w:spacing w:after="0" w:line="240" w:lineRule="auto"/>
      </w:pPr>
      <w:r>
        <w:continuationSeparator/>
      </w:r>
    </w:p>
    <w:p w14:paraId="586AFDEC" w14:textId="77777777" w:rsidR="00BC2F11" w:rsidRDefault="00BC2F11"/>
  </w:footnote>
  <w:footnote w:id="1">
    <w:p w14:paraId="14FF9C50" w14:textId="77777777" w:rsidR="00BA4BDF" w:rsidRPr="00460DFF" w:rsidRDefault="00BA4BDF" w:rsidP="008F6EA5">
      <w:pPr>
        <w:pStyle w:val="CommentText"/>
        <w:spacing w:after="0"/>
        <w:contextualSpacing/>
        <w:rPr>
          <w:rFonts w:cstheme="minorHAnsi"/>
          <w:b/>
          <w:i/>
          <w:sz w:val="16"/>
          <w:szCs w:val="16"/>
          <w:lang w:eastAsia="en-CA"/>
        </w:rPr>
      </w:pPr>
      <w:r w:rsidRPr="00460DFF">
        <w:rPr>
          <w:rStyle w:val="FootnoteReference"/>
          <w:i/>
          <w:sz w:val="16"/>
          <w:szCs w:val="16"/>
        </w:rPr>
        <w:footnoteRef/>
      </w:r>
      <w:r w:rsidRPr="00460DFF">
        <w:rPr>
          <w:i/>
          <w:sz w:val="16"/>
          <w:szCs w:val="16"/>
        </w:rPr>
        <w:t xml:space="preserve"> </w:t>
      </w:r>
      <w:r w:rsidRPr="00460DFF">
        <w:rPr>
          <w:b/>
          <w:bCs/>
          <w:i/>
          <w:sz w:val="16"/>
          <w:szCs w:val="16"/>
        </w:rPr>
        <w:t xml:space="preserve">Minor: </w:t>
      </w:r>
      <w:r w:rsidRPr="00460DFF">
        <w:rPr>
          <w:i/>
          <w:sz w:val="16"/>
          <w:szCs w:val="16"/>
        </w:rPr>
        <w:t>Cumulative amendment value of less than 25% of the last agreement amount approved by column A. Minor amendment may be approved by the appropriate delegated authority of column B for the total value of the amended agreement.</w:t>
      </w:r>
    </w:p>
    <w:p w14:paraId="5354D72A" w14:textId="40BB5DB0" w:rsidR="00BA4BDF" w:rsidRPr="00460DFF" w:rsidRDefault="00BA4BDF" w:rsidP="008F6EA5">
      <w:pPr>
        <w:pStyle w:val="FootnoteText"/>
        <w:rPr>
          <w:i/>
          <w:sz w:val="16"/>
          <w:szCs w:val="16"/>
        </w:rPr>
      </w:pPr>
    </w:p>
  </w:footnote>
  <w:footnote w:id="2">
    <w:p w14:paraId="0F47EB73" w14:textId="77777777" w:rsidR="00BA4BDF" w:rsidRPr="00460DFF" w:rsidRDefault="00BA4BDF" w:rsidP="008F6EA5">
      <w:pPr>
        <w:pStyle w:val="CommentText"/>
        <w:spacing w:after="0"/>
        <w:contextualSpacing/>
        <w:rPr>
          <w:rFonts w:cstheme="minorHAnsi"/>
          <w:b/>
          <w:i/>
          <w:sz w:val="16"/>
          <w:szCs w:val="16"/>
          <w:lang w:eastAsia="en-CA"/>
        </w:rPr>
      </w:pPr>
      <w:r w:rsidRPr="00460DFF">
        <w:rPr>
          <w:rStyle w:val="FootnoteReference"/>
          <w:i/>
          <w:sz w:val="16"/>
          <w:szCs w:val="16"/>
        </w:rPr>
        <w:footnoteRef/>
      </w:r>
      <w:r w:rsidRPr="00460DFF">
        <w:rPr>
          <w:i/>
          <w:sz w:val="16"/>
          <w:szCs w:val="16"/>
        </w:rPr>
        <w:t xml:space="preserve"> </w:t>
      </w:r>
      <w:r w:rsidRPr="00460DFF">
        <w:rPr>
          <w:rFonts w:cstheme="minorHAnsi"/>
          <w:b/>
          <w:i/>
          <w:sz w:val="16"/>
          <w:szCs w:val="16"/>
        </w:rPr>
        <w:t xml:space="preserve">“Column B” - </w:t>
      </w:r>
      <w:r w:rsidRPr="00460DFF">
        <w:rPr>
          <w:rFonts w:cstheme="minorHAnsi"/>
          <w:b/>
          <w:bCs/>
          <w:i/>
          <w:sz w:val="16"/>
          <w:szCs w:val="16"/>
        </w:rPr>
        <w:t xml:space="preserve">B. Signing of agreements / Minor Amendment: </w:t>
      </w:r>
      <w:r w:rsidRPr="00460DFF">
        <w:rPr>
          <w:rFonts w:cstheme="minorHAnsi"/>
          <w:i/>
          <w:sz w:val="16"/>
          <w:szCs w:val="16"/>
        </w:rPr>
        <w:t>All funding agreements between the department and a recipient of a G&amp;C must be signed by an individual with delegated authority pursuant to Column B of the Delegations of Authority Instrument. Signature of the agreement by the department can only occur after approval of the application/ proposal by the appropriate delegated authority. Minor amendments as described below may also be approved in accordance with column B of the Delegations of Authorities Instrument.</w:t>
      </w:r>
    </w:p>
    <w:p w14:paraId="73AC03FF" w14:textId="200EDF56" w:rsidR="00BA4BDF" w:rsidRPr="00BA4BDF" w:rsidRDefault="00BA4BD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149A" w14:textId="60C21BA7" w:rsidR="004671AC" w:rsidRDefault="0048244E" w:rsidP="00AD468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</w:t>
    </w:r>
    <w:r w:rsidR="004671AC">
      <w:rPr>
        <w:b/>
        <w:sz w:val="24"/>
        <w:szCs w:val="24"/>
      </w:rPr>
      <w:t xml:space="preserve">pproval </w:t>
    </w:r>
    <w:r>
      <w:rPr>
        <w:b/>
        <w:sz w:val="24"/>
        <w:szCs w:val="24"/>
      </w:rPr>
      <w:t>P</w:t>
    </w:r>
    <w:r w:rsidR="004671AC">
      <w:rPr>
        <w:b/>
        <w:sz w:val="24"/>
        <w:szCs w:val="24"/>
      </w:rPr>
      <w:t xml:space="preserve">rocess for G&amp;Cs </w:t>
    </w:r>
    <w:r>
      <w:rPr>
        <w:b/>
        <w:sz w:val="24"/>
        <w:szCs w:val="24"/>
      </w:rPr>
      <w:t>M</w:t>
    </w:r>
    <w:r w:rsidR="004671AC">
      <w:rPr>
        <w:b/>
        <w:sz w:val="24"/>
        <w:szCs w:val="24"/>
      </w:rPr>
      <w:t xml:space="preserve">anual </w:t>
    </w:r>
    <w:r>
      <w:rPr>
        <w:b/>
        <w:sz w:val="24"/>
        <w:szCs w:val="24"/>
      </w:rPr>
      <w:t>P</w:t>
    </w:r>
    <w:r w:rsidR="004671AC">
      <w:rPr>
        <w:b/>
        <w:sz w:val="24"/>
        <w:szCs w:val="24"/>
      </w:rPr>
      <w:t>ayments</w:t>
    </w:r>
  </w:p>
  <w:p w14:paraId="43C7146A" w14:textId="77777777" w:rsidR="004671AC" w:rsidRDefault="0048244E" w:rsidP="00AD468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N</w:t>
    </w:r>
    <w:r w:rsidR="004671AC" w:rsidRPr="00745F45">
      <w:rPr>
        <w:b/>
        <w:sz w:val="24"/>
        <w:szCs w:val="24"/>
      </w:rPr>
      <w:t xml:space="preserve">ot </w:t>
    </w:r>
    <w:r>
      <w:rPr>
        <w:b/>
        <w:sz w:val="24"/>
        <w:szCs w:val="24"/>
      </w:rPr>
      <w:t>P</w:t>
    </w:r>
    <w:r w:rsidR="004671AC">
      <w:rPr>
        <w:b/>
        <w:sz w:val="24"/>
        <w:szCs w:val="24"/>
      </w:rPr>
      <w:t xml:space="preserve">rocessed </w:t>
    </w:r>
    <w:r>
      <w:rPr>
        <w:b/>
        <w:sz w:val="24"/>
        <w:szCs w:val="24"/>
      </w:rPr>
      <w:t>T</w:t>
    </w:r>
    <w:r w:rsidR="004671AC">
      <w:rPr>
        <w:b/>
        <w:sz w:val="24"/>
        <w:szCs w:val="24"/>
      </w:rPr>
      <w:t xml:space="preserve">hrough </w:t>
    </w:r>
    <w:r w:rsidR="004671AC" w:rsidRPr="00745F45">
      <w:rPr>
        <w:b/>
        <w:sz w:val="24"/>
        <w:szCs w:val="24"/>
      </w:rPr>
      <w:t>CSGC</w:t>
    </w:r>
  </w:p>
  <w:p w14:paraId="4766F063" w14:textId="77777777" w:rsidR="00C27CAF" w:rsidRDefault="00C27CAF" w:rsidP="00AD468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Step-by-step process</w:t>
    </w:r>
  </w:p>
  <w:p w14:paraId="5320E38D" w14:textId="77777777" w:rsidR="00AD468F" w:rsidRDefault="00AD468F" w:rsidP="0014412E">
    <w:pPr>
      <w:pStyle w:val="Header"/>
      <w:pBdr>
        <w:bottom w:val="single" w:sz="4" w:space="1" w:color="auto"/>
      </w:pBdr>
      <w:jc w:val="center"/>
      <w:rPr>
        <w:b/>
        <w:sz w:val="24"/>
        <w:szCs w:val="24"/>
      </w:rPr>
    </w:pPr>
  </w:p>
  <w:p w14:paraId="685C34C2" w14:textId="77777777" w:rsidR="00AD468F" w:rsidRPr="00745F45" w:rsidRDefault="00AD468F" w:rsidP="006420DB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EC0AAE"/>
    <w:multiLevelType w:val="hybridMultilevel"/>
    <w:tmpl w:val="CBBC6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908"/>
    <w:multiLevelType w:val="hybridMultilevel"/>
    <w:tmpl w:val="2D9E8458"/>
    <w:lvl w:ilvl="0" w:tplc="A5E27A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B62F0"/>
    <w:multiLevelType w:val="hybridMultilevel"/>
    <w:tmpl w:val="C07285F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630F2"/>
    <w:multiLevelType w:val="hybridMultilevel"/>
    <w:tmpl w:val="FD9E38B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923368B"/>
    <w:multiLevelType w:val="hybridMultilevel"/>
    <w:tmpl w:val="ECB0AF8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5C7"/>
    <w:multiLevelType w:val="hybridMultilevel"/>
    <w:tmpl w:val="46E88F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7C31"/>
    <w:multiLevelType w:val="hybridMultilevel"/>
    <w:tmpl w:val="940C19B8"/>
    <w:lvl w:ilvl="0" w:tplc="FF6A1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A5250">
      <w:start w:val="18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68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0A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A0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6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AF3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09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E9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10B76"/>
    <w:multiLevelType w:val="hybridMultilevel"/>
    <w:tmpl w:val="AB86AEC6"/>
    <w:lvl w:ilvl="0" w:tplc="1DF83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12B1"/>
    <w:multiLevelType w:val="hybridMultilevel"/>
    <w:tmpl w:val="B21C8E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47B1"/>
    <w:multiLevelType w:val="hybridMultilevel"/>
    <w:tmpl w:val="177A134E"/>
    <w:lvl w:ilvl="0" w:tplc="E064F5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F635A"/>
    <w:multiLevelType w:val="hybridMultilevel"/>
    <w:tmpl w:val="7FEC218C"/>
    <w:lvl w:ilvl="0" w:tplc="E064F5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A088B"/>
    <w:multiLevelType w:val="hybridMultilevel"/>
    <w:tmpl w:val="D0EEDBE2"/>
    <w:lvl w:ilvl="0" w:tplc="1DF83C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A746C"/>
    <w:multiLevelType w:val="hybridMultilevel"/>
    <w:tmpl w:val="3FE480C4"/>
    <w:lvl w:ilvl="0" w:tplc="78605B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AE9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C73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8C4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423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AB1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CEB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0D9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43D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B07031"/>
    <w:multiLevelType w:val="hybridMultilevel"/>
    <w:tmpl w:val="A6CED5FE"/>
    <w:lvl w:ilvl="0" w:tplc="2DF6A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89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4BD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6E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2B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43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44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62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1D3AAE"/>
    <w:multiLevelType w:val="hybridMultilevel"/>
    <w:tmpl w:val="F24022D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A95B43"/>
    <w:multiLevelType w:val="hybridMultilevel"/>
    <w:tmpl w:val="ADF28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30040"/>
    <w:multiLevelType w:val="hybridMultilevel"/>
    <w:tmpl w:val="BB486B62"/>
    <w:lvl w:ilvl="0" w:tplc="3D16EE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36D83"/>
    <w:multiLevelType w:val="hybridMultilevel"/>
    <w:tmpl w:val="8A043FE2"/>
    <w:lvl w:ilvl="0" w:tplc="A5E27A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6811C0"/>
    <w:multiLevelType w:val="multilevel"/>
    <w:tmpl w:val="59CEBFBA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67796"/>
    <w:multiLevelType w:val="hybridMultilevel"/>
    <w:tmpl w:val="FFD645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187237"/>
    <w:multiLevelType w:val="hybridMultilevel"/>
    <w:tmpl w:val="DDF457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1281B"/>
    <w:multiLevelType w:val="hybridMultilevel"/>
    <w:tmpl w:val="63B8E1A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02803"/>
    <w:multiLevelType w:val="hybridMultilevel"/>
    <w:tmpl w:val="8934F87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E171108"/>
    <w:multiLevelType w:val="hybridMultilevel"/>
    <w:tmpl w:val="FC58812E"/>
    <w:lvl w:ilvl="0" w:tplc="1DF83C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100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198703F"/>
    <w:multiLevelType w:val="multilevel"/>
    <w:tmpl w:val="04B6141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552147"/>
    <w:multiLevelType w:val="hybridMultilevel"/>
    <w:tmpl w:val="B3404C88"/>
    <w:lvl w:ilvl="0" w:tplc="A5E27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859A8"/>
    <w:multiLevelType w:val="hybridMultilevel"/>
    <w:tmpl w:val="9C68B5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563692"/>
    <w:multiLevelType w:val="hybridMultilevel"/>
    <w:tmpl w:val="165AD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C2B9F"/>
    <w:multiLevelType w:val="hybridMultilevel"/>
    <w:tmpl w:val="8D6262CA"/>
    <w:lvl w:ilvl="0" w:tplc="E064F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71FB"/>
    <w:multiLevelType w:val="hybridMultilevel"/>
    <w:tmpl w:val="E7CAF7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8204D"/>
    <w:multiLevelType w:val="hybridMultilevel"/>
    <w:tmpl w:val="B18A9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2ACA"/>
    <w:multiLevelType w:val="hybridMultilevel"/>
    <w:tmpl w:val="82EE4C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8C7"/>
    <w:multiLevelType w:val="hybridMultilevel"/>
    <w:tmpl w:val="CDEC7D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F73D53"/>
    <w:multiLevelType w:val="hybridMultilevel"/>
    <w:tmpl w:val="4A56517A"/>
    <w:lvl w:ilvl="0" w:tplc="488EC7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25"/>
  </w:num>
  <w:num w:numId="4">
    <w:abstractNumId w:val="29"/>
  </w:num>
  <w:num w:numId="5">
    <w:abstractNumId w:val="1"/>
  </w:num>
  <w:num w:numId="6">
    <w:abstractNumId w:val="17"/>
  </w:num>
  <w:num w:numId="7">
    <w:abstractNumId w:val="6"/>
  </w:num>
  <w:num w:numId="8">
    <w:abstractNumId w:val="4"/>
  </w:num>
  <w:num w:numId="9">
    <w:abstractNumId w:val="24"/>
  </w:num>
  <w:num w:numId="10">
    <w:abstractNumId w:val="18"/>
  </w:num>
  <w:num w:numId="11">
    <w:abstractNumId w:val="14"/>
  </w:num>
  <w:num w:numId="12">
    <w:abstractNumId w:val="22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16"/>
  </w:num>
  <w:num w:numId="18">
    <w:abstractNumId w:val="13"/>
  </w:num>
  <w:num w:numId="19">
    <w:abstractNumId w:val="12"/>
  </w:num>
  <w:num w:numId="20">
    <w:abstractNumId w:val="0"/>
  </w:num>
  <w:num w:numId="21">
    <w:abstractNumId w:val="30"/>
  </w:num>
  <w:num w:numId="22">
    <w:abstractNumId w:val="33"/>
  </w:num>
  <w:num w:numId="23">
    <w:abstractNumId w:val="19"/>
  </w:num>
  <w:num w:numId="24">
    <w:abstractNumId w:val="20"/>
  </w:num>
  <w:num w:numId="25">
    <w:abstractNumId w:val="32"/>
  </w:num>
  <w:num w:numId="26">
    <w:abstractNumId w:val="26"/>
  </w:num>
  <w:num w:numId="27">
    <w:abstractNumId w:val="28"/>
  </w:num>
  <w:num w:numId="28">
    <w:abstractNumId w:val="9"/>
  </w:num>
  <w:num w:numId="29">
    <w:abstractNumId w:val="2"/>
  </w:num>
  <w:num w:numId="30">
    <w:abstractNumId w:val="5"/>
  </w:num>
  <w:num w:numId="31">
    <w:abstractNumId w:val="10"/>
  </w:num>
  <w:num w:numId="32">
    <w:abstractNumId w:val="3"/>
  </w:num>
  <w:num w:numId="33">
    <w:abstractNumId w:val="15"/>
  </w:num>
  <w:num w:numId="34">
    <w:abstractNumId w:val="2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33"/>
    <w:rsid w:val="00003EAB"/>
    <w:rsid w:val="0001335C"/>
    <w:rsid w:val="00014370"/>
    <w:rsid w:val="00015291"/>
    <w:rsid w:val="00021A3D"/>
    <w:rsid w:val="00021B90"/>
    <w:rsid w:val="00043B23"/>
    <w:rsid w:val="0004421F"/>
    <w:rsid w:val="00044AEB"/>
    <w:rsid w:val="000502CF"/>
    <w:rsid w:val="0005180C"/>
    <w:rsid w:val="00051AE0"/>
    <w:rsid w:val="00053AA7"/>
    <w:rsid w:val="00055C06"/>
    <w:rsid w:val="00057E5F"/>
    <w:rsid w:val="00061E06"/>
    <w:rsid w:val="00062B66"/>
    <w:rsid w:val="00063572"/>
    <w:rsid w:val="00064B66"/>
    <w:rsid w:val="00072BE3"/>
    <w:rsid w:val="00073B18"/>
    <w:rsid w:val="00076C6E"/>
    <w:rsid w:val="000809DE"/>
    <w:rsid w:val="0008207A"/>
    <w:rsid w:val="00082FEB"/>
    <w:rsid w:val="00087275"/>
    <w:rsid w:val="0009201E"/>
    <w:rsid w:val="00096CD8"/>
    <w:rsid w:val="00096E9A"/>
    <w:rsid w:val="000A09CD"/>
    <w:rsid w:val="000A229B"/>
    <w:rsid w:val="000A4D9F"/>
    <w:rsid w:val="000B58B5"/>
    <w:rsid w:val="000B7F4D"/>
    <w:rsid w:val="000C0FAE"/>
    <w:rsid w:val="000C5812"/>
    <w:rsid w:val="000C5C2A"/>
    <w:rsid w:val="000D149C"/>
    <w:rsid w:val="000D3697"/>
    <w:rsid w:val="000D406D"/>
    <w:rsid w:val="000D5B63"/>
    <w:rsid w:val="000E1786"/>
    <w:rsid w:val="000E333D"/>
    <w:rsid w:val="000E5382"/>
    <w:rsid w:val="000E6235"/>
    <w:rsid w:val="000E7ACD"/>
    <w:rsid w:val="000F0B4E"/>
    <w:rsid w:val="000F2C86"/>
    <w:rsid w:val="00102259"/>
    <w:rsid w:val="001066AD"/>
    <w:rsid w:val="0010673F"/>
    <w:rsid w:val="00111E5A"/>
    <w:rsid w:val="00115BFA"/>
    <w:rsid w:val="00122987"/>
    <w:rsid w:val="00122A73"/>
    <w:rsid w:val="00124FAD"/>
    <w:rsid w:val="00125E45"/>
    <w:rsid w:val="00130454"/>
    <w:rsid w:val="00134F5C"/>
    <w:rsid w:val="0014110E"/>
    <w:rsid w:val="0014412E"/>
    <w:rsid w:val="001509FD"/>
    <w:rsid w:val="0016743D"/>
    <w:rsid w:val="00167CFE"/>
    <w:rsid w:val="00170714"/>
    <w:rsid w:val="001828F0"/>
    <w:rsid w:val="00183D90"/>
    <w:rsid w:val="00183DA2"/>
    <w:rsid w:val="00187AF2"/>
    <w:rsid w:val="00193520"/>
    <w:rsid w:val="001A1D7D"/>
    <w:rsid w:val="001A2E45"/>
    <w:rsid w:val="001B14B4"/>
    <w:rsid w:val="001C0CBD"/>
    <w:rsid w:val="001C566A"/>
    <w:rsid w:val="001D05E1"/>
    <w:rsid w:val="001D0F78"/>
    <w:rsid w:val="001D1A74"/>
    <w:rsid w:val="001D7333"/>
    <w:rsid w:val="001E02D1"/>
    <w:rsid w:val="001E3066"/>
    <w:rsid w:val="001E6C2C"/>
    <w:rsid w:val="001F0B45"/>
    <w:rsid w:val="001F226C"/>
    <w:rsid w:val="001F40B6"/>
    <w:rsid w:val="001F49AF"/>
    <w:rsid w:val="001F5921"/>
    <w:rsid w:val="001F66AE"/>
    <w:rsid w:val="001F7CDE"/>
    <w:rsid w:val="00204048"/>
    <w:rsid w:val="0021105F"/>
    <w:rsid w:val="002146D6"/>
    <w:rsid w:val="00215E25"/>
    <w:rsid w:val="002261AB"/>
    <w:rsid w:val="00231C97"/>
    <w:rsid w:val="00231F16"/>
    <w:rsid w:val="00235059"/>
    <w:rsid w:val="00240238"/>
    <w:rsid w:val="002468A2"/>
    <w:rsid w:val="00246AB4"/>
    <w:rsid w:val="002601D9"/>
    <w:rsid w:val="00261E7B"/>
    <w:rsid w:val="00266115"/>
    <w:rsid w:val="00273249"/>
    <w:rsid w:val="00274213"/>
    <w:rsid w:val="00276015"/>
    <w:rsid w:val="00280B32"/>
    <w:rsid w:val="002827A6"/>
    <w:rsid w:val="002839D0"/>
    <w:rsid w:val="00283FEE"/>
    <w:rsid w:val="002851CD"/>
    <w:rsid w:val="002851F6"/>
    <w:rsid w:val="0028535F"/>
    <w:rsid w:val="00285B84"/>
    <w:rsid w:val="0029024C"/>
    <w:rsid w:val="00292D2F"/>
    <w:rsid w:val="002937D3"/>
    <w:rsid w:val="00296B08"/>
    <w:rsid w:val="002B03FE"/>
    <w:rsid w:val="002B0915"/>
    <w:rsid w:val="002B0ABD"/>
    <w:rsid w:val="002B5A2F"/>
    <w:rsid w:val="002B5ED0"/>
    <w:rsid w:val="002B7576"/>
    <w:rsid w:val="002C5FC3"/>
    <w:rsid w:val="002D191F"/>
    <w:rsid w:val="002E3042"/>
    <w:rsid w:val="002E3E0F"/>
    <w:rsid w:val="002E4CAD"/>
    <w:rsid w:val="002E615D"/>
    <w:rsid w:val="002F0739"/>
    <w:rsid w:val="002F6258"/>
    <w:rsid w:val="002F7340"/>
    <w:rsid w:val="003007A2"/>
    <w:rsid w:val="003126EF"/>
    <w:rsid w:val="0031774B"/>
    <w:rsid w:val="003201E1"/>
    <w:rsid w:val="0032030D"/>
    <w:rsid w:val="0032697E"/>
    <w:rsid w:val="00326C74"/>
    <w:rsid w:val="00326D11"/>
    <w:rsid w:val="003377FB"/>
    <w:rsid w:val="0034139C"/>
    <w:rsid w:val="00342B20"/>
    <w:rsid w:val="00345F5B"/>
    <w:rsid w:val="00345FEA"/>
    <w:rsid w:val="00346E1A"/>
    <w:rsid w:val="00350194"/>
    <w:rsid w:val="00353E52"/>
    <w:rsid w:val="003546AE"/>
    <w:rsid w:val="00360EA9"/>
    <w:rsid w:val="00362868"/>
    <w:rsid w:val="00362A36"/>
    <w:rsid w:val="00362EE0"/>
    <w:rsid w:val="003631A3"/>
    <w:rsid w:val="003672CE"/>
    <w:rsid w:val="00373B1B"/>
    <w:rsid w:val="003740CB"/>
    <w:rsid w:val="00380520"/>
    <w:rsid w:val="00380723"/>
    <w:rsid w:val="00386111"/>
    <w:rsid w:val="00393BA4"/>
    <w:rsid w:val="00397475"/>
    <w:rsid w:val="0039785D"/>
    <w:rsid w:val="003A13D8"/>
    <w:rsid w:val="003A2BEE"/>
    <w:rsid w:val="003B2065"/>
    <w:rsid w:val="003C34A9"/>
    <w:rsid w:val="003C4A26"/>
    <w:rsid w:val="003D4680"/>
    <w:rsid w:val="003D56C2"/>
    <w:rsid w:val="003D5F79"/>
    <w:rsid w:val="003F481E"/>
    <w:rsid w:val="00406BE6"/>
    <w:rsid w:val="00407B34"/>
    <w:rsid w:val="00410A1B"/>
    <w:rsid w:val="00411A8C"/>
    <w:rsid w:val="00413811"/>
    <w:rsid w:val="00413A77"/>
    <w:rsid w:val="00415F0E"/>
    <w:rsid w:val="00424B0F"/>
    <w:rsid w:val="004257B1"/>
    <w:rsid w:val="004322BA"/>
    <w:rsid w:val="004337E6"/>
    <w:rsid w:val="004379E2"/>
    <w:rsid w:val="004438D0"/>
    <w:rsid w:val="00445182"/>
    <w:rsid w:val="00445FBE"/>
    <w:rsid w:val="00447A4C"/>
    <w:rsid w:val="0045220D"/>
    <w:rsid w:val="0045761F"/>
    <w:rsid w:val="00460DFF"/>
    <w:rsid w:val="00463111"/>
    <w:rsid w:val="004671AC"/>
    <w:rsid w:val="00467FE6"/>
    <w:rsid w:val="00471A3F"/>
    <w:rsid w:val="00477C0B"/>
    <w:rsid w:val="00477E90"/>
    <w:rsid w:val="0048244E"/>
    <w:rsid w:val="00482691"/>
    <w:rsid w:val="004879A5"/>
    <w:rsid w:val="00490475"/>
    <w:rsid w:val="004950E7"/>
    <w:rsid w:val="004972C9"/>
    <w:rsid w:val="004A20C6"/>
    <w:rsid w:val="004A281B"/>
    <w:rsid w:val="004A3D1A"/>
    <w:rsid w:val="004A4ECE"/>
    <w:rsid w:val="004C21B7"/>
    <w:rsid w:val="004C2385"/>
    <w:rsid w:val="004C6663"/>
    <w:rsid w:val="004C6CE7"/>
    <w:rsid w:val="004D1D20"/>
    <w:rsid w:val="004D2C86"/>
    <w:rsid w:val="004E41C7"/>
    <w:rsid w:val="004E5891"/>
    <w:rsid w:val="004E6474"/>
    <w:rsid w:val="004E7407"/>
    <w:rsid w:val="004F1244"/>
    <w:rsid w:val="004F18FB"/>
    <w:rsid w:val="004F1DE3"/>
    <w:rsid w:val="004F41B0"/>
    <w:rsid w:val="004F4441"/>
    <w:rsid w:val="004F7B50"/>
    <w:rsid w:val="005009A6"/>
    <w:rsid w:val="005009DA"/>
    <w:rsid w:val="00501F3B"/>
    <w:rsid w:val="005054EE"/>
    <w:rsid w:val="00505C38"/>
    <w:rsid w:val="00505ECF"/>
    <w:rsid w:val="00506163"/>
    <w:rsid w:val="005217F7"/>
    <w:rsid w:val="00527D33"/>
    <w:rsid w:val="00534BA3"/>
    <w:rsid w:val="005359D3"/>
    <w:rsid w:val="00542BE4"/>
    <w:rsid w:val="005440A8"/>
    <w:rsid w:val="00544D49"/>
    <w:rsid w:val="0054510F"/>
    <w:rsid w:val="005512B0"/>
    <w:rsid w:val="005531A9"/>
    <w:rsid w:val="00563B90"/>
    <w:rsid w:val="005702F1"/>
    <w:rsid w:val="005725E3"/>
    <w:rsid w:val="00575CBC"/>
    <w:rsid w:val="00576170"/>
    <w:rsid w:val="00576792"/>
    <w:rsid w:val="00580AAC"/>
    <w:rsid w:val="00580EDB"/>
    <w:rsid w:val="00583FF2"/>
    <w:rsid w:val="005865F0"/>
    <w:rsid w:val="0058784A"/>
    <w:rsid w:val="00590F4C"/>
    <w:rsid w:val="00592D47"/>
    <w:rsid w:val="005950C3"/>
    <w:rsid w:val="005B104C"/>
    <w:rsid w:val="005B127F"/>
    <w:rsid w:val="005B3102"/>
    <w:rsid w:val="005B3577"/>
    <w:rsid w:val="005B3C1B"/>
    <w:rsid w:val="005B64BF"/>
    <w:rsid w:val="005C4869"/>
    <w:rsid w:val="005C7A1D"/>
    <w:rsid w:val="005D101A"/>
    <w:rsid w:val="005D69A8"/>
    <w:rsid w:val="005E07AB"/>
    <w:rsid w:val="005E0CB6"/>
    <w:rsid w:val="005E456B"/>
    <w:rsid w:val="005E472D"/>
    <w:rsid w:val="005E58A7"/>
    <w:rsid w:val="005E6D8B"/>
    <w:rsid w:val="005F1A55"/>
    <w:rsid w:val="005F54F8"/>
    <w:rsid w:val="005F596D"/>
    <w:rsid w:val="005F6B99"/>
    <w:rsid w:val="005F73F4"/>
    <w:rsid w:val="00606587"/>
    <w:rsid w:val="006106E6"/>
    <w:rsid w:val="006168CA"/>
    <w:rsid w:val="006171C3"/>
    <w:rsid w:val="0062009E"/>
    <w:rsid w:val="0062012A"/>
    <w:rsid w:val="00623F4D"/>
    <w:rsid w:val="0062669D"/>
    <w:rsid w:val="00630AA0"/>
    <w:rsid w:val="006328F4"/>
    <w:rsid w:val="00636C06"/>
    <w:rsid w:val="0063708D"/>
    <w:rsid w:val="00641E48"/>
    <w:rsid w:val="006420DB"/>
    <w:rsid w:val="0064575A"/>
    <w:rsid w:val="0064776E"/>
    <w:rsid w:val="00650F09"/>
    <w:rsid w:val="006605E0"/>
    <w:rsid w:val="00660E18"/>
    <w:rsid w:val="00664F61"/>
    <w:rsid w:val="00674489"/>
    <w:rsid w:val="006838B6"/>
    <w:rsid w:val="00686CA9"/>
    <w:rsid w:val="00687ED3"/>
    <w:rsid w:val="006926F2"/>
    <w:rsid w:val="0069342A"/>
    <w:rsid w:val="00693C6E"/>
    <w:rsid w:val="0069462D"/>
    <w:rsid w:val="00695A11"/>
    <w:rsid w:val="006A76F5"/>
    <w:rsid w:val="006B14E6"/>
    <w:rsid w:val="006C1F42"/>
    <w:rsid w:val="006C49E8"/>
    <w:rsid w:val="006D035E"/>
    <w:rsid w:val="006D1E86"/>
    <w:rsid w:val="006D6B79"/>
    <w:rsid w:val="006F114A"/>
    <w:rsid w:val="006F1AEE"/>
    <w:rsid w:val="006F1FD2"/>
    <w:rsid w:val="006F6B53"/>
    <w:rsid w:val="00706AB5"/>
    <w:rsid w:val="00706B44"/>
    <w:rsid w:val="0071281E"/>
    <w:rsid w:val="0071485C"/>
    <w:rsid w:val="00715B60"/>
    <w:rsid w:val="0072253F"/>
    <w:rsid w:val="0072371E"/>
    <w:rsid w:val="00723F1D"/>
    <w:rsid w:val="0072741F"/>
    <w:rsid w:val="0074345B"/>
    <w:rsid w:val="00745F45"/>
    <w:rsid w:val="007463E5"/>
    <w:rsid w:val="007473BB"/>
    <w:rsid w:val="007475A6"/>
    <w:rsid w:val="00747E9C"/>
    <w:rsid w:val="00754758"/>
    <w:rsid w:val="00757488"/>
    <w:rsid w:val="00763AAD"/>
    <w:rsid w:val="00766FB2"/>
    <w:rsid w:val="00767396"/>
    <w:rsid w:val="00774E11"/>
    <w:rsid w:val="00781168"/>
    <w:rsid w:val="00781949"/>
    <w:rsid w:val="00782081"/>
    <w:rsid w:val="00783353"/>
    <w:rsid w:val="00785F64"/>
    <w:rsid w:val="00790D21"/>
    <w:rsid w:val="00791375"/>
    <w:rsid w:val="007952C9"/>
    <w:rsid w:val="00797BA7"/>
    <w:rsid w:val="007A0657"/>
    <w:rsid w:val="007B0F6E"/>
    <w:rsid w:val="007C0852"/>
    <w:rsid w:val="007C2F4B"/>
    <w:rsid w:val="007C3BC1"/>
    <w:rsid w:val="007C4613"/>
    <w:rsid w:val="007D5F34"/>
    <w:rsid w:val="007E0416"/>
    <w:rsid w:val="007E4F99"/>
    <w:rsid w:val="007F1A32"/>
    <w:rsid w:val="007F27E3"/>
    <w:rsid w:val="007F481D"/>
    <w:rsid w:val="0080542B"/>
    <w:rsid w:val="00806FAB"/>
    <w:rsid w:val="008077AD"/>
    <w:rsid w:val="0081227B"/>
    <w:rsid w:val="008151E3"/>
    <w:rsid w:val="00817CDB"/>
    <w:rsid w:val="00820009"/>
    <w:rsid w:val="00820798"/>
    <w:rsid w:val="00821749"/>
    <w:rsid w:val="00821D0E"/>
    <w:rsid w:val="0082626D"/>
    <w:rsid w:val="00835C45"/>
    <w:rsid w:val="00836913"/>
    <w:rsid w:val="00836E3C"/>
    <w:rsid w:val="00843665"/>
    <w:rsid w:val="008441C6"/>
    <w:rsid w:val="0084443C"/>
    <w:rsid w:val="008523E4"/>
    <w:rsid w:val="00852B88"/>
    <w:rsid w:val="0085329C"/>
    <w:rsid w:val="00857F77"/>
    <w:rsid w:val="00860538"/>
    <w:rsid w:val="00860CE0"/>
    <w:rsid w:val="00862A3C"/>
    <w:rsid w:val="00877A08"/>
    <w:rsid w:val="00877B3C"/>
    <w:rsid w:val="0088163B"/>
    <w:rsid w:val="00885198"/>
    <w:rsid w:val="008924C2"/>
    <w:rsid w:val="00892F63"/>
    <w:rsid w:val="00894F55"/>
    <w:rsid w:val="00897BF6"/>
    <w:rsid w:val="008A0E61"/>
    <w:rsid w:val="008B55EF"/>
    <w:rsid w:val="008B5D96"/>
    <w:rsid w:val="008B61B7"/>
    <w:rsid w:val="008B78E7"/>
    <w:rsid w:val="008C3D1D"/>
    <w:rsid w:val="008C7EE0"/>
    <w:rsid w:val="008D08CA"/>
    <w:rsid w:val="008D23F4"/>
    <w:rsid w:val="008D597C"/>
    <w:rsid w:val="008E11BC"/>
    <w:rsid w:val="008E2437"/>
    <w:rsid w:val="008E34AE"/>
    <w:rsid w:val="008E5A8D"/>
    <w:rsid w:val="008E7548"/>
    <w:rsid w:val="008F2BB2"/>
    <w:rsid w:val="008F4E11"/>
    <w:rsid w:val="008F6EA5"/>
    <w:rsid w:val="008F73B6"/>
    <w:rsid w:val="008F7F2E"/>
    <w:rsid w:val="009008CB"/>
    <w:rsid w:val="009024B7"/>
    <w:rsid w:val="009030F9"/>
    <w:rsid w:val="00905125"/>
    <w:rsid w:val="00906C87"/>
    <w:rsid w:val="00907CD3"/>
    <w:rsid w:val="0091181D"/>
    <w:rsid w:val="00916DFB"/>
    <w:rsid w:val="009203A3"/>
    <w:rsid w:val="00921055"/>
    <w:rsid w:val="00921915"/>
    <w:rsid w:val="00930C1F"/>
    <w:rsid w:val="00934862"/>
    <w:rsid w:val="009377FD"/>
    <w:rsid w:val="00937E80"/>
    <w:rsid w:val="0094003B"/>
    <w:rsid w:val="00941DF1"/>
    <w:rsid w:val="00946A8A"/>
    <w:rsid w:val="00961EB8"/>
    <w:rsid w:val="009661F8"/>
    <w:rsid w:val="009675F2"/>
    <w:rsid w:val="0097599A"/>
    <w:rsid w:val="00977390"/>
    <w:rsid w:val="00982DE6"/>
    <w:rsid w:val="00990829"/>
    <w:rsid w:val="009A3046"/>
    <w:rsid w:val="009B3224"/>
    <w:rsid w:val="009C7BF2"/>
    <w:rsid w:val="009D00AB"/>
    <w:rsid w:val="009D5B22"/>
    <w:rsid w:val="009D5C12"/>
    <w:rsid w:val="009D5FFB"/>
    <w:rsid w:val="009E06B9"/>
    <w:rsid w:val="009E0A28"/>
    <w:rsid w:val="009E6437"/>
    <w:rsid w:val="009E7BD2"/>
    <w:rsid w:val="009F23F1"/>
    <w:rsid w:val="009F6D39"/>
    <w:rsid w:val="00A00519"/>
    <w:rsid w:val="00A0510C"/>
    <w:rsid w:val="00A1424D"/>
    <w:rsid w:val="00A22569"/>
    <w:rsid w:val="00A23809"/>
    <w:rsid w:val="00A364A5"/>
    <w:rsid w:val="00A40162"/>
    <w:rsid w:val="00A43684"/>
    <w:rsid w:val="00A5656A"/>
    <w:rsid w:val="00A6186B"/>
    <w:rsid w:val="00A623A4"/>
    <w:rsid w:val="00A650A3"/>
    <w:rsid w:val="00A653B1"/>
    <w:rsid w:val="00A65793"/>
    <w:rsid w:val="00A6713F"/>
    <w:rsid w:val="00A67EA1"/>
    <w:rsid w:val="00A70D91"/>
    <w:rsid w:val="00A73221"/>
    <w:rsid w:val="00A831BC"/>
    <w:rsid w:val="00A83E06"/>
    <w:rsid w:val="00A868D6"/>
    <w:rsid w:val="00A86FBA"/>
    <w:rsid w:val="00A909B0"/>
    <w:rsid w:val="00AA215D"/>
    <w:rsid w:val="00AA2DA0"/>
    <w:rsid w:val="00AA46E1"/>
    <w:rsid w:val="00AA4DAC"/>
    <w:rsid w:val="00AA7F3E"/>
    <w:rsid w:val="00AB41F4"/>
    <w:rsid w:val="00AB5BA6"/>
    <w:rsid w:val="00AB5D7C"/>
    <w:rsid w:val="00AC0BE8"/>
    <w:rsid w:val="00AC646E"/>
    <w:rsid w:val="00AD12D6"/>
    <w:rsid w:val="00AD4360"/>
    <w:rsid w:val="00AD468F"/>
    <w:rsid w:val="00AD5849"/>
    <w:rsid w:val="00AE0666"/>
    <w:rsid w:val="00AE5BB0"/>
    <w:rsid w:val="00AE6702"/>
    <w:rsid w:val="00AE6FDE"/>
    <w:rsid w:val="00AF256B"/>
    <w:rsid w:val="00AF473B"/>
    <w:rsid w:val="00AF4D12"/>
    <w:rsid w:val="00AF5D21"/>
    <w:rsid w:val="00AF7A14"/>
    <w:rsid w:val="00AF7EFF"/>
    <w:rsid w:val="00B01908"/>
    <w:rsid w:val="00B04A1F"/>
    <w:rsid w:val="00B226E5"/>
    <w:rsid w:val="00B22878"/>
    <w:rsid w:val="00B25A18"/>
    <w:rsid w:val="00B3237F"/>
    <w:rsid w:val="00B33295"/>
    <w:rsid w:val="00B3573F"/>
    <w:rsid w:val="00B516FE"/>
    <w:rsid w:val="00B54201"/>
    <w:rsid w:val="00B57482"/>
    <w:rsid w:val="00B66567"/>
    <w:rsid w:val="00B67AC9"/>
    <w:rsid w:val="00B73A7E"/>
    <w:rsid w:val="00B73E19"/>
    <w:rsid w:val="00B74AFE"/>
    <w:rsid w:val="00B83764"/>
    <w:rsid w:val="00B903B4"/>
    <w:rsid w:val="00B955A4"/>
    <w:rsid w:val="00BA32CD"/>
    <w:rsid w:val="00BA4BDF"/>
    <w:rsid w:val="00BA7B8D"/>
    <w:rsid w:val="00BB0B9E"/>
    <w:rsid w:val="00BB1821"/>
    <w:rsid w:val="00BC0FA2"/>
    <w:rsid w:val="00BC2F11"/>
    <w:rsid w:val="00BC5404"/>
    <w:rsid w:val="00BC7FBD"/>
    <w:rsid w:val="00BD0A26"/>
    <w:rsid w:val="00BD63C8"/>
    <w:rsid w:val="00BD7DBD"/>
    <w:rsid w:val="00BE0231"/>
    <w:rsid w:val="00BE02AB"/>
    <w:rsid w:val="00BE06C8"/>
    <w:rsid w:val="00BE1D62"/>
    <w:rsid w:val="00BF2255"/>
    <w:rsid w:val="00C0101A"/>
    <w:rsid w:val="00C03F8D"/>
    <w:rsid w:val="00C0475E"/>
    <w:rsid w:val="00C157D9"/>
    <w:rsid w:val="00C21CA1"/>
    <w:rsid w:val="00C233EA"/>
    <w:rsid w:val="00C27CAF"/>
    <w:rsid w:val="00C40E87"/>
    <w:rsid w:val="00C45A85"/>
    <w:rsid w:val="00C477FE"/>
    <w:rsid w:val="00C529D3"/>
    <w:rsid w:val="00C53B72"/>
    <w:rsid w:val="00C612F1"/>
    <w:rsid w:val="00C658D2"/>
    <w:rsid w:val="00C678E2"/>
    <w:rsid w:val="00C67DD0"/>
    <w:rsid w:val="00C77E90"/>
    <w:rsid w:val="00C87232"/>
    <w:rsid w:val="00C87453"/>
    <w:rsid w:val="00C876EA"/>
    <w:rsid w:val="00C934DD"/>
    <w:rsid w:val="00C93989"/>
    <w:rsid w:val="00C94477"/>
    <w:rsid w:val="00C96444"/>
    <w:rsid w:val="00CA232D"/>
    <w:rsid w:val="00CA30FE"/>
    <w:rsid w:val="00CA3B26"/>
    <w:rsid w:val="00CA774F"/>
    <w:rsid w:val="00CB6A26"/>
    <w:rsid w:val="00CD2EAA"/>
    <w:rsid w:val="00CE2EDB"/>
    <w:rsid w:val="00CE3737"/>
    <w:rsid w:val="00CF38C6"/>
    <w:rsid w:val="00D002B3"/>
    <w:rsid w:val="00D05901"/>
    <w:rsid w:val="00D10A73"/>
    <w:rsid w:val="00D123FA"/>
    <w:rsid w:val="00D12507"/>
    <w:rsid w:val="00D1361E"/>
    <w:rsid w:val="00D15467"/>
    <w:rsid w:val="00D2120D"/>
    <w:rsid w:val="00D234FE"/>
    <w:rsid w:val="00D268B6"/>
    <w:rsid w:val="00D33769"/>
    <w:rsid w:val="00D33ADD"/>
    <w:rsid w:val="00D43205"/>
    <w:rsid w:val="00D46E65"/>
    <w:rsid w:val="00D50575"/>
    <w:rsid w:val="00D576DF"/>
    <w:rsid w:val="00D7596F"/>
    <w:rsid w:val="00D802E2"/>
    <w:rsid w:val="00D81DF7"/>
    <w:rsid w:val="00D82E47"/>
    <w:rsid w:val="00DA1B61"/>
    <w:rsid w:val="00DA3B5B"/>
    <w:rsid w:val="00DA60CE"/>
    <w:rsid w:val="00DB2C8F"/>
    <w:rsid w:val="00DB4480"/>
    <w:rsid w:val="00DB4EA6"/>
    <w:rsid w:val="00DC149C"/>
    <w:rsid w:val="00DD725A"/>
    <w:rsid w:val="00DE4A81"/>
    <w:rsid w:val="00DE5812"/>
    <w:rsid w:val="00DE60BA"/>
    <w:rsid w:val="00DF020D"/>
    <w:rsid w:val="00DF5C3B"/>
    <w:rsid w:val="00DF643B"/>
    <w:rsid w:val="00E00B44"/>
    <w:rsid w:val="00E05062"/>
    <w:rsid w:val="00E073FC"/>
    <w:rsid w:val="00E1159D"/>
    <w:rsid w:val="00E1634D"/>
    <w:rsid w:val="00E21C13"/>
    <w:rsid w:val="00E23A4B"/>
    <w:rsid w:val="00E25671"/>
    <w:rsid w:val="00E276A6"/>
    <w:rsid w:val="00E314CC"/>
    <w:rsid w:val="00E345FA"/>
    <w:rsid w:val="00E42087"/>
    <w:rsid w:val="00E4690C"/>
    <w:rsid w:val="00E624DB"/>
    <w:rsid w:val="00E62D07"/>
    <w:rsid w:val="00E6392D"/>
    <w:rsid w:val="00E6416A"/>
    <w:rsid w:val="00E701E9"/>
    <w:rsid w:val="00E81585"/>
    <w:rsid w:val="00E84818"/>
    <w:rsid w:val="00E86012"/>
    <w:rsid w:val="00E86E20"/>
    <w:rsid w:val="00E93DC1"/>
    <w:rsid w:val="00E946EF"/>
    <w:rsid w:val="00E96FC4"/>
    <w:rsid w:val="00EA3D3E"/>
    <w:rsid w:val="00EA7459"/>
    <w:rsid w:val="00EB0446"/>
    <w:rsid w:val="00EB0A47"/>
    <w:rsid w:val="00EC1EF8"/>
    <w:rsid w:val="00EC29BF"/>
    <w:rsid w:val="00EC5321"/>
    <w:rsid w:val="00EC7E9F"/>
    <w:rsid w:val="00ED42C1"/>
    <w:rsid w:val="00EE0AF1"/>
    <w:rsid w:val="00EE4379"/>
    <w:rsid w:val="00EE75E2"/>
    <w:rsid w:val="00EE793D"/>
    <w:rsid w:val="00EF0718"/>
    <w:rsid w:val="00EF7187"/>
    <w:rsid w:val="00F1239B"/>
    <w:rsid w:val="00F137C4"/>
    <w:rsid w:val="00F15FF8"/>
    <w:rsid w:val="00F20ACF"/>
    <w:rsid w:val="00F23C43"/>
    <w:rsid w:val="00F27672"/>
    <w:rsid w:val="00F27BE6"/>
    <w:rsid w:val="00F30D09"/>
    <w:rsid w:val="00F35C51"/>
    <w:rsid w:val="00F36355"/>
    <w:rsid w:val="00F411E0"/>
    <w:rsid w:val="00F51845"/>
    <w:rsid w:val="00F54BC1"/>
    <w:rsid w:val="00F5641F"/>
    <w:rsid w:val="00F578F4"/>
    <w:rsid w:val="00F61AE2"/>
    <w:rsid w:val="00F654A8"/>
    <w:rsid w:val="00F70E85"/>
    <w:rsid w:val="00F74E4B"/>
    <w:rsid w:val="00F75791"/>
    <w:rsid w:val="00F76C8D"/>
    <w:rsid w:val="00F808C8"/>
    <w:rsid w:val="00F900DD"/>
    <w:rsid w:val="00F93B0A"/>
    <w:rsid w:val="00FA5A74"/>
    <w:rsid w:val="00FB639F"/>
    <w:rsid w:val="00FC1049"/>
    <w:rsid w:val="00FC313C"/>
    <w:rsid w:val="00FC39CB"/>
    <w:rsid w:val="00FC47E4"/>
    <w:rsid w:val="00FC6587"/>
    <w:rsid w:val="00FD1521"/>
    <w:rsid w:val="00FD6EF4"/>
    <w:rsid w:val="00FE5C2D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0D050"/>
  <w15:docId w15:val="{227D8D52-8273-43BD-A1E1-686C09C0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441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41"/>
  </w:style>
  <w:style w:type="paragraph" w:styleId="Footer">
    <w:name w:val="footer"/>
    <w:basedOn w:val="Normal"/>
    <w:link w:val="FooterChar"/>
    <w:uiPriority w:val="99"/>
    <w:unhideWhenUsed/>
    <w:rsid w:val="004F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41"/>
  </w:style>
  <w:style w:type="paragraph" w:customStyle="1" w:styleId="Default">
    <w:name w:val="Default"/>
    <w:rsid w:val="007C3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50A3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01F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3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1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2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D23F4"/>
    <w:rPr>
      <w:color w:val="800080" w:themeColor="followedHyperlink"/>
      <w:u w:val="single"/>
    </w:rPr>
  </w:style>
  <w:style w:type="character" w:customStyle="1" w:styleId="normal1">
    <w:name w:val="normal1"/>
    <w:basedOn w:val="DefaultParagraphFont"/>
    <w:rsid w:val="00183DA2"/>
    <w:rPr>
      <w:b w:val="0"/>
      <w:bCs w:val="0"/>
    </w:rPr>
  </w:style>
  <w:style w:type="table" w:styleId="TableGrid">
    <w:name w:val="Table Grid"/>
    <w:basedOn w:val="TableNormal"/>
    <w:uiPriority w:val="59"/>
    <w:rsid w:val="00E05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44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4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27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35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68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32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59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7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68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49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73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8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1925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22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79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68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68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s-lois.justice.gc.ca/eng/acts/F-11/index.html" TargetMode="External"/><Relationship Id="rId13" Type="http://schemas.openxmlformats.org/officeDocument/2006/relationships/hyperlink" Target="http://iservice.prv/eng/service_catalogues/finance_services.shtml" TargetMode="External"/><Relationship Id="rId18" Type="http://schemas.openxmlformats.org/officeDocument/2006/relationships/hyperlink" Target="http://iservice.prv/eng/service_catalogues/finance_services.s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esdc.prv/en/service-canada/pob/coegc/csgc/index.shtml" TargetMode="External"/><Relationship Id="rId17" Type="http://schemas.openxmlformats.org/officeDocument/2006/relationships/hyperlink" Target="mailto:NC-GCCE-CESC-GD?subject=Paiement%20manuel%20/%20Manual%20Pai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ervice.prv/eng/finance/DELEG/2016/esdc_programs_section3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bs-sct.gc.ca/pol/doc-eng.aspx?id=272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ervice.prv/eng/service_catalogues/finance_services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bs-sct.gc.ca/pol/doc-eng.aspx?id=1420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bs-sct.gc.ca/pol/doc-eng.aspx?id=32530" TargetMode="External"/><Relationship Id="rId14" Type="http://schemas.openxmlformats.org/officeDocument/2006/relationships/hyperlink" Target="http://iservice.prv/eng/service_catalogues/finance_services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7FB9-75D1-4551-92DE-DC52CF4C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Péladeau, Annie [NC]</dc:creator>
  <cp:lastModifiedBy>Pion, Lyne L [NC]</cp:lastModifiedBy>
  <cp:revision>3</cp:revision>
  <cp:lastPrinted>2019-09-19T14:43:00Z</cp:lastPrinted>
  <dcterms:created xsi:type="dcterms:W3CDTF">2020-01-17T14:14:00Z</dcterms:created>
  <dcterms:modified xsi:type="dcterms:W3CDTF">2020-01-17T14:14:00Z</dcterms:modified>
</cp:coreProperties>
</file>